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/>
        <w:shd w:val="clear" w:fill="auto"/>
        <w:spacing w:before="240" w:after="240"/>
        <w:rPr/>
      </w:pPr>
      <w:r>
        <w:rPr/>
        <w:t>План тестування продукту «ФінКит»</w:t>
      </w:r>
    </w:p>
    <w:p>
      <w:pPr>
        <w:pStyle w:val="normal1"/>
        <w:pBdr/>
        <w:shd w:val="clear" w:fill="auto"/>
        <w:spacing w:lineRule="auto" w:line="300"/>
        <w:rPr>
          <w:rFonts w:ascii="Arial" w:hAnsi="Arial" w:eastAsia="Arial" w:cs="Arial"/>
        </w:rPr>
      </w:pPr>
      <w:r>
        <w:rPr>
          <w:rFonts w:eastAsia="Arial" w:cs="Arial"/>
          <w:b/>
          <w:bCs/>
        </w:rPr>
        <w:t>Продукт:</w:t>
      </w:r>
      <w:r>
        <w:rPr>
          <w:rFonts w:eastAsia="Arial" w:cs="Arial"/>
        </w:rPr>
        <w:t xml:space="preserve"> Онлайн-банкінг для фізичних осіб «ФінКит» (finkit)</w:t>
      </w:r>
    </w:p>
    <w:p>
      <w:pPr>
        <w:pStyle w:val="normal1"/>
        <w:pBdr/>
        <w:shd w:val="clear" w:fill="auto"/>
        <w:spacing w:lineRule="auto" w:line="300"/>
        <w:rPr>
          <w:rFonts w:ascii="Arial" w:hAnsi="Arial" w:eastAsia="Arial" w:cs="Arial"/>
        </w:rPr>
      </w:pPr>
      <w:r>
        <w:rPr>
          <w:rFonts w:eastAsia="Arial" w:cs="Arial"/>
          <w:b/>
          <w:bCs/>
        </w:rPr>
        <w:t>Документ складено:</w:t>
      </w:r>
      <w:r>
        <w:rPr>
          <w:rFonts w:eastAsia="Arial" w:cs="Arial"/>
        </w:rPr>
        <w:t xml:space="preserve"> Дарія (Керівник тестування, КТ) разом з інженером з тестування (ІТ, Ліза) та тест-аналітиком (ТА, Марія)</w:t>
      </w:r>
    </w:p>
    <w:p>
      <w:pPr>
        <w:pStyle w:val="normal1"/>
        <w:pBdr/>
        <w:shd w:val="clear" w:fill="auto"/>
        <w:spacing w:lineRule="auto" w:line="300"/>
        <w:rPr>
          <w:rFonts w:ascii="Arial" w:hAnsi="Arial" w:eastAsia="Arial" w:cs="Arial"/>
        </w:rPr>
      </w:pPr>
      <w:r>
        <w:rPr>
          <w:rFonts w:eastAsia="Arial" w:cs="Arial"/>
          <w:b/>
          <w:bCs/>
        </w:rPr>
        <w:t>Статус:</w:t>
      </w:r>
      <w:r>
        <w:rPr>
          <w:rFonts w:eastAsia="Arial" w:cs="Arial"/>
        </w:rPr>
        <w:t xml:space="preserve"> Затверджено Дарією (КТ) для виконання у Спринтах 2–5</w:t>
      </w:r>
    </w:p>
    <w:p>
      <w:pPr>
        <w:pStyle w:val="normal1"/>
        <w:pBdr/>
        <w:shd w:val="clear" w:fill="auto"/>
        <w:spacing w:lineRule="auto" w:line="300" w:before="0" w:after="225"/>
        <w:rPr>
          <w:rFonts w:ascii="Arial" w:hAnsi="Arial" w:eastAsia="Arial" w:cs="Arial"/>
        </w:rPr>
      </w:pPr>
      <w:r>
        <w:rPr>
          <w:rFonts w:eastAsia="Arial" w:cs="Arial"/>
          <w:b/>
          <w:bCs/>
        </w:rPr>
        <w:t>Версія SRS для аудиту:</w:t>
      </w:r>
      <w:r>
        <w:rPr>
          <w:rFonts w:eastAsia="Arial" w:cs="Arial"/>
        </w:rPr>
        <w:t xml:space="preserve"> 1.0 (Вересень 2026)</w:t>
      </w:r>
    </w:p>
    <w:p>
      <w:pPr>
        <w:pStyle w:val="Heading2"/>
        <w:pBdr/>
        <w:shd w:val="clear" w:fill="auto"/>
        <w:spacing w:lineRule="auto" w:line="240" w:before="0" w:after="225"/>
        <w:rPr/>
      </w:pPr>
      <w:r>
        <w:rPr/>
        <w:t>1. Межі тестування продукту (Scope)</w:t>
      </w:r>
    </w:p>
    <w:p>
      <w:pPr>
        <w:pStyle w:val="normal1"/>
        <w:pBdr/>
        <w:shd w:val="clear" w:fill="auto"/>
        <w:spacing w:lineRule="auto" w:line="300"/>
        <w:rPr>
          <w:rFonts w:ascii="Arial" w:hAnsi="Arial" w:eastAsia="Arial" w:cs="Arial"/>
          <w:b/>
          <w:bCs/>
        </w:rPr>
      </w:pPr>
      <w:r>
        <w:rPr>
          <w:rFonts w:eastAsia="Arial" w:cs="Arial"/>
          <w:b/>
          <w:bCs/>
        </w:rPr>
        <w:t>Входить до обсягу тестування (In-Scope):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300"/>
        <w:ind w:hanging="360" w:start="600"/>
        <w:rPr/>
      </w:pPr>
      <w:r>
        <w:rPr>
          <w:rFonts w:eastAsia="Arial" w:cs="Arial"/>
          <w:b/>
          <w:bCs/>
        </w:rPr>
        <w:t>Веб-кабінет клієнта:</w:t>
      </w:r>
      <w:r>
        <w:rPr>
          <w:rFonts w:eastAsia="Arial" w:cs="Arial"/>
        </w:rPr>
        <w:t xml:space="preserve"> Реєстрація користувача, автентифікація/вхід, відновлення доступу, огляд та деталі рахунків, відкриття нових рахунків (поточний/ощадний), перекази між власними рахунками, оплата рахунків за реквізитами, пошук та фільтрація транзакцій, оновлення контактних даних, подання заявки на кредит, форма звернення до служби підтримки, вихід із системи.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300"/>
        <w:ind w:hanging="360" w:start="600"/>
        <w:rPr/>
      </w:pPr>
      <w:r>
        <w:rPr>
          <w:rFonts w:eastAsia="Arial" w:cs="Arial"/>
          <w:b/>
          <w:bCs/>
        </w:rPr>
        <w:t>Модуль бізнес-логіки Java 17 (ua.kpi.tzyapz.finkit):</w:t>
      </w:r>
    </w:p>
    <w:p>
      <w:pPr>
        <w:pStyle w:val="normal1"/>
        <w:numPr>
          <w:ilvl w:val="1"/>
          <w:numId w:val="2"/>
        </w:numPr>
        <w:pBdr/>
        <w:shd w:val="clear" w:fill="auto"/>
        <w:spacing w:lineRule="auto" w:line="300"/>
        <w:ind w:hanging="360" w:start="1200"/>
        <w:rPr/>
      </w:pPr>
      <w:r>
        <w:rPr>
          <w:rFonts w:eastAsia="Arial" w:cs="Arial"/>
        </w:rPr>
        <w:t>LoanCalculator: обчислення ануїтетного щомісячного платежу (BL-10), загальної переплати (BL-20), граничні перевірки параметрів (BL-30).</w:t>
      </w:r>
    </w:p>
    <w:p>
      <w:pPr>
        <w:pStyle w:val="normal1"/>
        <w:numPr>
          <w:ilvl w:val="1"/>
          <w:numId w:val="2"/>
        </w:numPr>
        <w:pBdr/>
        <w:shd w:val="clear" w:fill="auto"/>
        <w:spacing w:lineRule="auto" w:line="300"/>
        <w:ind w:hanging="360" w:start="1200"/>
        <w:rPr/>
      </w:pPr>
      <w:r>
        <w:rPr>
          <w:rFonts w:eastAsia="Arial" w:cs="Arial"/>
        </w:rPr>
        <w:t>TransferValidator: валідація суми, балансу, денного ліміту, збігу рахунків (BL-40), перевірка формату IBAN (BL-50).</w:t>
      </w:r>
    </w:p>
    <w:p>
      <w:pPr>
        <w:pStyle w:val="normal1"/>
        <w:numPr>
          <w:ilvl w:val="1"/>
          <w:numId w:val="2"/>
        </w:numPr>
        <w:pBdr/>
        <w:shd w:val="clear" w:fill="auto"/>
        <w:spacing w:lineRule="auto" w:line="300"/>
        <w:ind w:hanging="360" w:start="1200"/>
        <w:rPr/>
      </w:pPr>
      <w:r>
        <w:rPr>
          <w:rFonts w:eastAsia="Arial" w:cs="Arial"/>
        </w:rPr>
        <w:t>AccountLedger: внесення коштів, зняття коштів, перевірка овердрафту та збереження історії (BL-70, BL-80).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300"/>
        <w:ind w:hanging="360" w:start="600"/>
        <w:rPr/>
      </w:pPr>
      <w:r>
        <w:rPr>
          <w:rFonts w:eastAsia="Arial" w:cs="Arial"/>
          <w:b/>
          <w:bCs/>
        </w:rPr>
        <w:t>Демо-застосунок ParaBank:</w:t>
      </w:r>
      <w:r>
        <w:rPr>
          <w:rFonts w:eastAsia="Arial" w:cs="Arial"/>
        </w:rPr>
        <w:t xml:space="preserve"> Функціональна та UI-перевірка на середовищі parabank.parasoft.com (з урахуванням гривневого еквіваленту 1:1 та скидання даних).</w:t>
      </w:r>
    </w:p>
    <w:p>
      <w:pPr>
        <w:pStyle w:val="normal1"/>
        <w:pBdr/>
        <w:shd w:val="clear" w:fill="auto"/>
        <w:spacing w:lineRule="auto" w:line="300"/>
        <w:rPr>
          <w:rFonts w:ascii="Arial" w:hAnsi="Arial" w:eastAsia="Arial" w:cs="Arial"/>
          <w:b/>
          <w:bCs/>
        </w:rPr>
      </w:pPr>
      <w:r>
        <w:rPr>
          <w:rFonts w:eastAsia="Arial" w:cs="Arial"/>
          <w:b/>
          <w:bCs/>
        </w:rPr>
        <w:t>Поза обсягом тестування (Out-of-Scope):</w:t>
      </w:r>
    </w:p>
    <w:p>
      <w:pPr>
        <w:pStyle w:val="normal1"/>
        <w:numPr>
          <w:ilvl w:val="0"/>
          <w:numId w:val="3"/>
        </w:numPr>
        <w:pBdr/>
        <w:shd w:val="clear" w:fill="auto"/>
        <w:spacing w:lineRule="auto" w:line="300"/>
        <w:ind w:hanging="360" w:start="600"/>
        <w:rPr/>
      </w:pPr>
      <w:r>
        <w:rPr>
          <w:rFonts w:eastAsia="Arial" w:cs="Arial"/>
        </w:rPr>
        <w:t>Мобільний застосунок iOS/Android.</w:t>
      </w:r>
    </w:p>
    <w:p>
      <w:pPr>
        <w:pStyle w:val="normal1"/>
        <w:numPr>
          <w:ilvl w:val="0"/>
          <w:numId w:val="3"/>
        </w:numPr>
        <w:pBdr/>
        <w:shd w:val="clear" w:fill="auto"/>
        <w:spacing w:lineRule="auto" w:line="300"/>
        <w:ind w:hanging="360" w:start="600"/>
        <w:rPr/>
      </w:pPr>
      <w:r>
        <w:rPr>
          <w:rFonts w:eastAsia="Arial" w:cs="Arial"/>
        </w:rPr>
        <w:t>АРМ операціоніста, ризик-менеджера та адміністратора банку (відсутні в демо-середовищі ParaBank).</w:t>
      </w:r>
    </w:p>
    <w:p>
      <w:pPr>
        <w:pStyle w:val="normal1"/>
        <w:numPr>
          <w:ilvl w:val="0"/>
          <w:numId w:val="3"/>
        </w:numPr>
        <w:pBdr/>
        <w:shd w:val="clear" w:fill="auto"/>
        <w:spacing w:lineRule="auto" w:line="300"/>
        <w:ind w:hanging="360" w:start="600"/>
        <w:rPr/>
      </w:pPr>
      <w:r>
        <w:rPr>
          <w:rFonts w:eastAsia="Arial" w:cs="Arial"/>
        </w:rPr>
        <w:t>Карткові продукти та інтеграція з процесинговими центрами Visa/Mastercard.</w:t>
      </w:r>
    </w:p>
    <w:p>
      <w:pPr>
        <w:pStyle w:val="normal1"/>
        <w:numPr>
          <w:ilvl w:val="0"/>
          <w:numId w:val="3"/>
        </w:numPr>
        <w:pBdr/>
        <w:shd w:val="clear" w:fill="auto"/>
        <w:spacing w:lineRule="auto" w:line="300"/>
        <w:ind w:hanging="360" w:start="600"/>
        <w:rPr/>
      </w:pPr>
      <w:r>
        <w:rPr>
          <w:rFonts w:eastAsia="Arial" w:cs="Arial"/>
        </w:rPr>
        <w:t>Реальне надсилання SMS/Email сповіщень.</w:t>
      </w:r>
    </w:p>
    <w:p>
      <w:pPr>
        <w:pStyle w:val="Heading2"/>
        <w:pBdr/>
        <w:shd w:val="clear" w:fill="auto"/>
        <w:spacing w:lineRule="auto" w:line="240" w:before="300" w:after="225"/>
        <w:rPr/>
      </w:pPr>
      <w:r>
        <w:rPr/>
        <w:t>2</w:t>
      </w:r>
      <w:r>
        <w:rPr/>
        <w:t>. Офіційний перелік питань Замовнику від Керівника тестування (КТ) з тегом [ПІДТВ.]</w:t>
      </w:r>
    </w:p>
    <w:p>
      <w:pPr>
        <w:pStyle w:val="normal1"/>
        <w:numPr>
          <w:ilvl w:val="0"/>
          <w:numId w:val="4"/>
        </w:numPr>
        <w:pBdr/>
        <w:shd w:val="clear" w:fill="auto"/>
        <w:spacing w:lineRule="auto" w:line="300"/>
        <w:ind w:hanging="360" w:start="600"/>
        <w:rPr/>
      </w:pPr>
      <w:r>
        <w:rPr>
          <w:rFonts w:eastAsia="Arial" w:cs="Arial"/>
          <w:b/>
          <w:bCs/>
        </w:rPr>
        <w:t>Щодо денного ліміту переказів (F-70 vs BL-40) [ПІДТВ.]:</w:t>
      </w:r>
      <w:r>
        <w:rPr>
          <w:rFonts w:eastAsia="Arial" w:cs="Arial"/>
        </w:rPr>
        <w:t xml:space="preserve"> У вимозі F-70 вказано денний ліміт 100 000 грн, тоді як у правилах модуля BL-40 вказано 50 000 грн. Яке значення вважати еталонним для розробки та тестування? </w:t>
      </w:r>
      <w:r>
        <w:rPr>
          <w:rFonts w:eastAsia="Arial" w:cs="Arial"/>
          <w:i/>
          <w:iCs/>
        </w:rPr>
        <w:t>(Рекомендація Дарії: затвердити 100 000 грн)</w:t>
      </w:r>
      <w:r>
        <w:rPr>
          <w:rFonts w:eastAsia="Arial" w:cs="Arial"/>
        </w:rPr>
        <w:t>.</w:t>
      </w:r>
    </w:p>
    <w:p>
      <w:pPr>
        <w:pStyle w:val="normal1"/>
        <w:numPr>
          <w:ilvl w:val="0"/>
          <w:numId w:val="4"/>
        </w:numPr>
        <w:pBdr/>
        <w:shd w:val="clear" w:fill="auto"/>
        <w:spacing w:lineRule="auto" w:line="300"/>
        <w:ind w:hanging="360" w:start="600"/>
        <w:rPr/>
      </w:pPr>
      <w:r>
        <w:rPr>
          <w:rFonts w:eastAsia="Arial" w:cs="Arial"/>
          <w:b/>
          <w:bCs/>
        </w:rPr>
        <w:t>Щодо підтвердження рахунку-одержувача (F-80 &amp; BL-60) [ПІДТВ.]:</w:t>
      </w:r>
      <w:r>
        <w:rPr>
          <w:rFonts w:eastAsia="Arial" w:cs="Arial"/>
        </w:rPr>
        <w:t xml:space="preserve"> Перевірка платоспроможності в усіх банках світу в режимі реального часу неможлива без зовнішніх API. Чи підтверджує замовник заміну цієї вимоги на синтаксичну перевірку IBAN та контрольного розряду MOD-97?</w:t>
      </w:r>
    </w:p>
    <w:p>
      <w:pPr>
        <w:pStyle w:val="normal1"/>
        <w:numPr>
          <w:ilvl w:val="0"/>
          <w:numId w:val="4"/>
        </w:numPr>
        <w:pBdr/>
        <w:shd w:val="clear" w:fill="auto"/>
        <w:spacing w:lineRule="auto" w:line="300"/>
        <w:ind w:hanging="360" w:start="600"/>
        <w:rPr/>
      </w:pPr>
      <w:r>
        <w:rPr>
          <w:rFonts w:eastAsia="Arial" w:cs="Arial"/>
          <w:b/>
          <w:bCs/>
        </w:rPr>
        <w:t>Щодо вимог до відновлення доступу (GUI-20 vs F-30) [ПІДТВ.]:</w:t>
      </w:r>
      <w:r>
        <w:rPr>
          <w:rFonts w:eastAsia="Arial" w:cs="Arial"/>
        </w:rPr>
        <w:t xml:space="preserve"> Чи повинна форма відновлення містити 7 полів (згідно з F-30), чи достатньо 4 полів (згідно з GUI-20)? </w:t>
      </w:r>
      <w:r>
        <w:rPr>
          <w:rFonts w:eastAsia="Arial" w:cs="Arial"/>
          <w:i/>
          <w:iCs/>
        </w:rPr>
        <w:t>(Рекомендація КТ: затвердити 7 полів)</w:t>
      </w:r>
      <w:r>
        <w:rPr>
          <w:rFonts w:eastAsia="Arial" w:cs="Arial"/>
        </w:rPr>
        <w:t>.</w:t>
      </w:r>
    </w:p>
    <w:p>
      <w:pPr>
        <w:pStyle w:val="normal1"/>
        <w:numPr>
          <w:ilvl w:val="0"/>
          <w:numId w:val="4"/>
        </w:numPr>
        <w:pBdr/>
        <w:shd w:val="clear" w:fill="auto"/>
        <w:spacing w:lineRule="auto" w:line="300"/>
        <w:ind w:hanging="360" w:start="600"/>
        <w:rPr/>
      </w:pPr>
      <w:r>
        <w:rPr>
          <w:rFonts w:eastAsia="Arial" w:cs="Arial"/>
          <w:b/>
          <w:bCs/>
        </w:rPr>
        <w:t>Щодо максимальної суми кредиту та параметрів скорингу (F-110) [ПІДТВ.]:</w:t>
      </w:r>
      <w:r>
        <w:rPr>
          <w:rFonts w:eastAsia="Arial" w:cs="Arial"/>
        </w:rPr>
        <w:t xml:space="preserve"> Яка максимальна сума онлайн-кредиту дозволена без ручного розгляду ризик-менеджером? </w:t>
      </w:r>
      <w:r>
        <w:rPr>
          <w:rFonts w:eastAsia="Arial" w:cs="Arial"/>
          <w:i/>
          <w:iCs/>
        </w:rPr>
        <w:t>(Пропозиція: 100 000 грн)</w:t>
      </w:r>
      <w:r>
        <w:rPr>
          <w:rFonts w:eastAsia="Arial" w:cs="Arial"/>
        </w:rPr>
        <w:t>.</w:t>
      </w:r>
    </w:p>
    <w:p>
      <w:pPr>
        <w:pStyle w:val="normal1"/>
        <w:numPr>
          <w:ilvl w:val="0"/>
          <w:numId w:val="4"/>
        </w:numPr>
        <w:pBdr/>
        <w:shd w:val="clear" w:fill="auto"/>
        <w:spacing w:lineRule="auto" w:line="300"/>
        <w:ind w:hanging="360" w:start="600"/>
        <w:rPr/>
      </w:pPr>
      <w:r>
        <w:rPr>
          <w:rFonts w:eastAsia="Arial" w:cs="Arial"/>
          <w:b/>
          <w:bCs/>
        </w:rPr>
        <w:t>Щодо формату відображення сум та валюти [ПІДТВ.]:</w:t>
      </w:r>
      <w:r>
        <w:rPr>
          <w:rFonts w:eastAsia="Arial" w:cs="Arial"/>
        </w:rPr>
        <w:t xml:space="preserve"> У демо-застосунку суми відображаються у доларах ($). Чи підтверджується припущення розд. 2.3 п. 1, що в інтерфейсі числові значення вважаються гривнями (1:1)?</w:t>
      </w:r>
    </w:p>
    <w:p>
      <w:pPr>
        <w:pStyle w:val="normal1"/>
        <w:numPr>
          <w:ilvl w:val="0"/>
          <w:numId w:val="4"/>
        </w:numPr>
        <w:pBdr/>
        <w:shd w:val="clear" w:fill="auto"/>
        <w:spacing w:lineRule="auto" w:line="300"/>
        <w:ind w:hanging="360" w:start="600"/>
        <w:rPr/>
      </w:pPr>
      <w:r>
        <w:rPr>
          <w:rFonts w:eastAsia="Arial" w:cs="Arial"/>
          <w:b/>
          <w:bCs/>
        </w:rPr>
        <w:t>Щодо регламенту виписок (F-50) [ПІДТВ.]:</w:t>
      </w:r>
      <w:r>
        <w:rPr>
          <w:rFonts w:eastAsia="Arial" w:cs="Arial"/>
        </w:rPr>
        <w:t xml:space="preserve"> Оскільки документ «Регламент виписок ФК-РВ-2» відсутній, чи затверджує замовник наведений у Додатку А до SRS 1.1 перелік полів?</w:t>
      </w:r>
    </w:p>
    <w:p>
      <w:pPr>
        <w:pStyle w:val="Heading2"/>
        <w:pBdr/>
        <w:shd w:val="clear" w:fill="auto"/>
        <w:rPr/>
      </w:pPr>
      <w:r>
        <w:rPr/>
        <w:t>3</w:t>
      </w:r>
      <w:r>
        <w:rPr/>
        <w:t>. Сім рівнів тестування продукту «ФінКит»</w:t>
      </w:r>
    </w:p>
    <w:tbl>
      <w:tblPr>
        <w:tblStyle w:val="Table2"/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60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E9ECEF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Рівень тестування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E9ECEF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Ціль (що і навіщо перевіряємо)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E9ECEF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Опис (як саме виконується)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E9ECEF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Хто і коли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E9ECEF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Інструменти та середовище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 </w:t>
            </w:r>
          </w:p>
        </w:tc>
      </w:tr>
      <w:tr>
        <w:trPr/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1. Модульне (Unit)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Перевірка математичної точності ануїтету LoanCalculator, коректності валідацій TransferValidator та правил овердрафту AccountLedger.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Автоматизовані юніт-тести JUnit 5 для класів модуля ua.kpi.tzyapz.finkit. Граничні значення (1000, 1000000 грн) та перевірка винятків assertThrows.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Ліза (ІТ), Спринти 4–5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JDK 17, Maven, JUnit 5, IntelliJ IDEA</w:t>
            </w:r>
          </w:p>
        </w:tc>
      </w:tr>
      <w:tr>
        <w:trPr/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hd w:fill="auto" w:val="clear"/>
              </w:rPr>
            </w:pPr>
            <w:r>
              <w:rPr>
                <w:rFonts w:eastAsia="Arial" w:cs="Arial"/>
                <w:b/>
                <w:bCs/>
                <w:shd w:fill="auto" w:val="clear"/>
              </w:rPr>
              <w:t>2. Інтеграційне (Integration)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Перевірка взаємодії модуля валідації переказів із ліджером рахунку та оновленням балансу.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Тестування ланцюжка: TransferValidator.validate() -&gt; AccountLedger.withdraw() -&gt; AccountLedger.deposit(). Перевірка атомарності транзакції.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Ліза (ІТ), Спринти 4–5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JUnit 5, Mockito, Spring Test Context</w:t>
            </w:r>
          </w:p>
        </w:tc>
      </w:tr>
      <w:tr>
        <w:trPr/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3. Приймальне в тестування (Smoke)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Швидка перевірка доступності та базової працездатності демо-середовища ParaBank перед виконанням тест-кейсів.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Проходження короткого чек-листа (8 перевірок): відкриття головної сторінки, вхід зареєстрованого користувача, відображення балансу, відкриття форми переказу.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Марія (ТА) / Ліза (ІТ), щодня перед сесією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Google Chrome, Selenium IDE / Ручний чек-лист</w:t>
            </w:r>
          </w:p>
        </w:tc>
      </w:tr>
      <w:tr>
        <w:trPr/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hd w:fill="auto" w:val="clear"/>
              </w:rPr>
            </w:pPr>
            <w:r>
              <w:rPr>
                <w:rFonts w:eastAsia="Arial" w:cs="Arial"/>
                <w:b/>
                <w:bCs/>
                <w:shd w:fill="auto" w:val="clear"/>
              </w:rPr>
              <w:t>4. Системне (System)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Повне комплексування та перевірка відповідності кабінету банкінгу всім вимогам SRS 1.1 через веб-інтерфейс.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Виконання розроблених тест-кейсів (TC-01..TC-50): наскрізні сценарії реєстрації, переказу, відкриття рахунків, оплати та подання кредитної заявки.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Уся команда, Спринти 3 та 5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Chrome, Firefox, ParaBank Demo, TestRail / Sheets</w:t>
            </w:r>
          </w:p>
        </w:tc>
      </w:tr>
      <w:tr>
        <w:trPr/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5. Альфа-тестування (Alpha)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Перевірка системи внутрішніми працівниками банку (операціоністами, фокус-групою) в умовах, наближених до реальних.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Внутрішнє тестування реальних банківських сценаріїв (відкриття 5 рахунків поспіль, виписки за рік, денні ліміти) на внутрішньому тестовому стенді.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Внутрішні тестувальники та банківські аналітики, Т-11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Внутрішній Staging-сервер, тестові БД PostgreSQL</w:t>
            </w:r>
          </w:p>
        </w:tc>
      </w:tr>
      <w:tr>
        <w:trPr/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hd w:fill="auto" w:val="clear"/>
              </w:rPr>
            </w:pPr>
            <w:r>
              <w:rPr>
                <w:rFonts w:eastAsia="Arial" w:cs="Arial"/>
                <w:b/>
                <w:bCs/>
                <w:shd w:fill="auto" w:val="clear"/>
              </w:rPr>
              <w:t>6. Бета-тестування (Beta)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Отримання зворотного зв'язку від обмеженої групи реальних клієнтів банку (100–200 осіб) до офіційного релізу.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Надання доступу фокус-групі клієнтів із можливістю відправки відгуків через форму зворотного зв'язку та моніторингом збоїв.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Зовнішні фокус-клієнти, Т-12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Beta-середовище банкінгу, форма фідбеку</w:t>
            </w:r>
          </w:p>
        </w:tc>
      </w:tr>
      <w:tr>
        <w:trPr/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7. Приймальне замовником (Acceptance / UAT)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Підтвердження замовником (керівництвом банку) готовності продукту до здачі в промислову експлуатацію.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Проходження контрольного набору бізнес-сценаріїв (Acceptance Test Suite) у присутності Замовника за актом приймання.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Замовник, КТ (Дарія), Тиждень 12</w:t>
            </w:r>
          </w:p>
        </w:tc>
        <w:tc>
          <w:tcPr>
            <w:tcW w:w="18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Production Candidate Staging</w:t>
            </w:r>
          </w:p>
        </w:tc>
      </w:tr>
    </w:tbl>
    <w:p>
      <w:pPr>
        <w:pStyle w:val="Heading2"/>
        <w:pBdr/>
        <w:shd w:val="clear" w:fill="auto"/>
        <w:spacing w:lineRule="auto" w:line="240" w:before="300" w:after="225"/>
        <w:rPr/>
      </w:pPr>
      <w:r>
        <w:rPr/>
        <w:t>4</w:t>
      </w:r>
      <w:r>
        <w:rPr/>
        <w:t>. Характеристика типів тестування (13 застосовних та 2 незастосовні)</w:t>
      </w:r>
    </w:p>
    <w:tbl>
      <w:tblPr>
        <w:tblStyle w:val="Table3"/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600"/>
      </w:tblPr>
      <w:tblGrid>
        <w:gridCol w:w="1560"/>
        <w:gridCol w:w="1559"/>
        <w:gridCol w:w="1561"/>
        <w:gridCol w:w="1560"/>
        <w:gridCol w:w="1559"/>
        <w:gridCol w:w="1561"/>
      </w:tblGrid>
      <w:tr>
        <w:trPr>
          <w:tblHeader w:val="true"/>
        </w:trPr>
        <w:tc>
          <w:tcPr>
            <w:tcW w:w="156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E9ECEF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Тип тестування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E9ECEF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Застосовність</w:t>
            </w:r>
          </w:p>
        </w:tc>
        <w:tc>
          <w:tcPr>
            <w:tcW w:w="1561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E9ECEF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Ціль (що перевіряємо)</w:t>
            </w:r>
          </w:p>
        </w:tc>
        <w:tc>
          <w:tcPr>
            <w:tcW w:w="156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E9ECEF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Опис (як перевіряємо)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E9ECEF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Пріоритет</w:t>
            </w:r>
          </w:p>
        </w:tc>
        <w:tc>
          <w:tcPr>
            <w:tcW w:w="1561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E9ECEF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Інструменти / Дані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 </w:t>
            </w:r>
          </w:p>
        </w:tc>
      </w:tr>
      <w:tr>
        <w:trPr/>
        <w:tc>
          <w:tcPr>
            <w:tcW w:w="156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1. Функціональне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Так</w:t>
            </w:r>
          </w:p>
        </w:tc>
        <w:tc>
          <w:tcPr>
            <w:tcW w:w="1561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Переконатися, що бізнес-функції (перекази, оплата, відкриття рахунку, заявка) відповідають F-10..F-130.</w:t>
            </w:r>
          </w:p>
        </w:tc>
        <w:tc>
          <w:tcPr>
            <w:tcW w:w="156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Ручне виконання тест-кейсів: переказ коштів, перевірка зписання і зарахування, відмова при сумі понад баланс.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High</w:t>
            </w:r>
          </w:p>
        </w:tc>
        <w:tc>
          <w:tcPr>
            <w:tcW w:w="1561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Chrome, ParaBank Demo, обліковий запис клієнта</w:t>
            </w:r>
          </w:p>
        </w:tc>
      </w:tr>
      <w:tr>
        <w:trPr/>
        <w:tc>
          <w:tcPr>
            <w:tcW w:w="156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hd w:fill="auto" w:val="clear"/>
              </w:rPr>
            </w:pPr>
            <w:r>
              <w:rPr>
                <w:rFonts w:eastAsia="Arial" w:cs="Arial"/>
                <w:b/>
                <w:bCs/>
                <w:shd w:fill="auto" w:val="clear"/>
              </w:rPr>
              <w:t>2. Графічного інтерфейсу (GUI)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Так</w:t>
            </w:r>
          </w:p>
        </w:tc>
        <w:tc>
          <w:tcPr>
            <w:tcW w:w="1561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Перевірка полів форм, повідомлень валідації, кнопок та колірного оформлення помилок (червоний колір).</w:t>
            </w:r>
          </w:p>
        </w:tc>
        <w:tc>
          <w:tcPr>
            <w:tcW w:w="156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Заповнення форм порожніми значеннями, від'ємними сумами, некоректними даними та перевірка підказок.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High</w:t>
            </w:r>
          </w:p>
        </w:tc>
        <w:tc>
          <w:tcPr>
            <w:tcW w:w="1561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Chrome, DevTools, складені форми реєстрації</w:t>
            </w:r>
          </w:p>
        </w:tc>
      </w:tr>
      <w:tr>
        <w:trPr/>
        <w:tc>
          <w:tcPr>
            <w:tcW w:w="156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3. Захищеності (Security)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Так</w:t>
            </w:r>
          </w:p>
        </w:tc>
        <w:tc>
          <w:tcPr>
            <w:tcW w:w="1561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Перевірка недоступності приватних сторінок кабінету без входу та таймауту сесії (15 хв).</w:t>
            </w:r>
          </w:p>
        </w:tc>
        <w:tc>
          <w:tcPr>
            <w:tcW w:w="156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Прямий перехід за URL кабінету без сесії авторизації; перевірка виходу за кнопкою «Вихід».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High</w:t>
            </w:r>
          </w:p>
        </w:tc>
        <w:tc>
          <w:tcPr>
            <w:tcW w:w="1561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Chrome Incognito, OWASP ZAP (локально)</w:t>
            </w:r>
          </w:p>
        </w:tc>
      </w:tr>
      <w:tr>
        <w:trPr/>
        <w:tc>
          <w:tcPr>
            <w:tcW w:w="156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hd w:fill="auto" w:val="clear"/>
              </w:rPr>
            </w:pPr>
            <w:r>
              <w:rPr>
                <w:rFonts w:eastAsia="Arial" w:cs="Arial"/>
                <w:b/>
                <w:bCs/>
                <w:shd w:fill="auto" w:val="clear"/>
              </w:rPr>
              <w:t>4. Потоків даних (Data Flow)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Так</w:t>
            </w:r>
          </w:p>
        </w:tc>
        <w:tc>
          <w:tcPr>
            <w:tcW w:w="1561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Перевірка точного збереження та передачі суми транзакції від форми введення до виписки й ліджера.</w:t>
            </w:r>
          </w:p>
        </w:tc>
        <w:tc>
          <w:tcPr>
            <w:tcW w:w="156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Виконання переказу на 123.45 грн та перевірка відповідного запису в деталях рахунку та загальному балансі.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High</w:t>
            </w:r>
          </w:p>
        </w:tc>
        <w:tc>
          <w:tcPr>
            <w:tcW w:w="1561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ParaBank, AccountLedger Test</w:t>
            </w:r>
          </w:p>
        </w:tc>
      </w:tr>
      <w:tr>
        <w:trPr/>
        <w:tc>
          <w:tcPr>
            <w:tcW w:w="156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5. Юзабіліті (Usability)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Так</w:t>
            </w:r>
          </w:p>
        </w:tc>
        <w:tc>
          <w:tcPr>
            <w:tcW w:w="1561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Оцінка зручності навігації кабінетом та простоти заповнення кредитної заявки.</w:t>
            </w:r>
          </w:p>
        </w:tc>
        <w:tc>
          <w:tcPr>
            <w:tcW w:w="156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Проходження сценарію новою людиною з фіксацією часу та кількості помилкових кліків (до 3 хв).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Medium</w:t>
            </w:r>
          </w:p>
        </w:tc>
        <w:tc>
          <w:tcPr>
            <w:tcW w:w="1561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Чек-лист юзабіліті, секундомір</w:t>
            </w:r>
          </w:p>
        </w:tc>
      </w:tr>
      <w:tr>
        <w:trPr/>
        <w:tc>
          <w:tcPr>
            <w:tcW w:w="156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hd w:fill="auto" w:val="clear"/>
              </w:rPr>
            </w:pPr>
            <w:r>
              <w:rPr>
                <w:rFonts w:eastAsia="Arial" w:cs="Arial"/>
                <w:b/>
                <w:bCs/>
                <w:shd w:fill="auto" w:val="clear"/>
              </w:rPr>
              <w:t>6. Конфігураційне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Так</w:t>
            </w:r>
          </w:p>
        </w:tc>
        <w:tc>
          <w:tcPr>
            <w:tcW w:w="1561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Перевірка працездатності веб-кабінету у браузерах Chrome та Firefox на настільних та мобільних екранах.</w:t>
            </w:r>
          </w:p>
        </w:tc>
        <w:tc>
          <w:tcPr>
            <w:tcW w:w="156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Виконання кейсів авторизації та переказу в Google Chrome 128 та Mozilla Firefox 129 при роздільності 1920x1080 та 375x812.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Medium</w:t>
            </w:r>
          </w:p>
        </w:tc>
        <w:tc>
          <w:tcPr>
            <w:tcW w:w="1561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Chrome, Firefox, Responsive Design Mode</w:t>
            </w:r>
          </w:p>
        </w:tc>
      </w:tr>
      <w:tr>
        <w:trPr/>
        <w:tc>
          <w:tcPr>
            <w:tcW w:w="156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7. Навантажувальне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Так</w:t>
            </w:r>
          </w:p>
        </w:tc>
        <w:tc>
          <w:tcPr>
            <w:tcW w:w="1561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Перевірка часу відповіді API та стабільності при навантаженні до 200 одночасних клієнтів.</w:t>
            </w:r>
          </w:p>
        </w:tc>
        <w:tc>
          <w:tcPr>
            <w:tcW w:w="156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Поступове збільшення користувачів (1, 50, 100, 200) з фіксацією 95-го перцентилю часу відповіді.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Medium</w:t>
            </w:r>
          </w:p>
        </w:tc>
        <w:tc>
          <w:tcPr>
            <w:tcW w:w="1561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JMeter / k6 (на локальному Docker-стенді)</w:t>
            </w:r>
          </w:p>
        </w:tc>
      </w:tr>
      <w:tr>
        <w:trPr/>
        <w:tc>
          <w:tcPr>
            <w:tcW w:w="156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hd w:fill="auto" w:val="clear"/>
              </w:rPr>
            </w:pPr>
            <w:r>
              <w:rPr>
                <w:rFonts w:eastAsia="Arial" w:cs="Arial"/>
                <w:b/>
                <w:bCs/>
                <w:shd w:fill="auto" w:val="clear"/>
              </w:rPr>
              <w:t>8. Об'ємне (Volume)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Так</w:t>
            </w:r>
          </w:p>
        </w:tc>
        <w:tc>
          <w:tcPr>
            <w:tcW w:w="1561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Перевірка швидкості відображення та фільтрації виписки рахунку з понад 10 000 транзакціями.</w:t>
            </w:r>
          </w:p>
        </w:tc>
        <w:tc>
          <w:tcPr>
            <w:tcW w:w="156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Генерація 10 000 записів в історії AccountLedger та перевірка коректності роботи фільтрів за датами.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Medium</w:t>
            </w:r>
          </w:p>
        </w:tc>
        <w:tc>
          <w:tcPr>
            <w:tcW w:w="1561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Тестові скрипти генерації даних, AccountLedger</w:t>
            </w:r>
          </w:p>
        </w:tc>
      </w:tr>
      <w:tr>
        <w:trPr/>
        <w:tc>
          <w:tcPr>
            <w:tcW w:w="156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9. Надійності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Так</w:t>
            </w:r>
          </w:p>
        </w:tc>
        <w:tc>
          <w:tcPr>
            <w:tcW w:w="1561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Перевірка коректності обробки помилок та збереження цілісності балансу при некоректних вхідних даних.</w:t>
            </w:r>
          </w:p>
        </w:tc>
        <w:tc>
          <w:tcPr>
            <w:tcW w:w="156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Перевірка кидання IllegalArgumentException у класах модуля без спотворення стану балансу.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Medium</w:t>
            </w:r>
          </w:p>
        </w:tc>
        <w:tc>
          <w:tcPr>
            <w:tcW w:w="1561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JUnit 5, assertThrows</w:t>
            </w:r>
          </w:p>
        </w:tc>
      </w:tr>
      <w:tr>
        <w:trPr/>
        <w:tc>
          <w:tcPr>
            <w:tcW w:w="156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hd w:fill="auto" w:val="clear"/>
              </w:rPr>
            </w:pPr>
            <w:r>
              <w:rPr>
                <w:rFonts w:eastAsia="Arial" w:cs="Arial"/>
                <w:b/>
                <w:bCs/>
                <w:shd w:fill="auto" w:val="clear"/>
              </w:rPr>
              <w:t>10. Відновлення (Failover)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Так</w:t>
            </w:r>
          </w:p>
        </w:tc>
        <w:tc>
          <w:tcPr>
            <w:tcW w:w="1561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Перевірка збереження даних рахунків та історії після раптового перезапуску сервера застосунку.</w:t>
            </w:r>
          </w:p>
        </w:tc>
        <w:tc>
          <w:tcPr>
            <w:tcW w:w="156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Перезапуск Docker-контейнера ParaBank після виконання переказу коштів та перевірка збереження балансу.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Medium</w:t>
            </w:r>
          </w:p>
        </w:tc>
        <w:tc>
          <w:tcPr>
            <w:tcW w:w="1561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Docker Compose, ParaBank Local Container</w:t>
            </w:r>
          </w:p>
        </w:tc>
      </w:tr>
      <w:tr>
        <w:trPr/>
        <w:tc>
          <w:tcPr>
            <w:tcW w:w="156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11. Локалізації (l10n)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Так</w:t>
            </w:r>
          </w:p>
        </w:tc>
        <w:tc>
          <w:tcPr>
            <w:tcW w:w="1561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Перевірка правильного відображення грошових сум у гривнях із двома знаками та українських дат.</w:t>
            </w:r>
          </w:p>
        </w:tc>
        <w:tc>
          <w:tcPr>
            <w:tcW w:w="156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Перевірка форматування сум (наприклад, 1 234,50 грн) та назв полів українською мовою.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Low</w:t>
            </w:r>
          </w:p>
        </w:tc>
        <w:tc>
          <w:tcPr>
            <w:tcW w:w="1561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Chrome, тестові набори сум із копійками</w:t>
            </w:r>
          </w:p>
        </w:tc>
      </w:tr>
      <w:tr>
        <w:trPr/>
        <w:tc>
          <w:tcPr>
            <w:tcW w:w="156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hd w:fill="auto" w:val="clear"/>
              </w:rPr>
            </w:pPr>
            <w:r>
              <w:rPr>
                <w:rFonts w:eastAsia="Arial" w:cs="Arial"/>
                <w:b/>
                <w:bCs/>
                <w:shd w:fill="auto" w:val="clear"/>
              </w:rPr>
              <w:t>12. Документації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Так</w:t>
            </w:r>
          </w:p>
        </w:tc>
        <w:tc>
          <w:tcPr>
            <w:tcW w:w="1561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Перевірка відповідності інструкцій користувача та адміністратора фактичній поведінці системи.</w:t>
            </w:r>
          </w:p>
        </w:tc>
        <w:tc>
          <w:tcPr>
            <w:tcW w:w="156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Виконання кроків з інструкції адміністратора щодо процедури скидання даних (D-20).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Low</w:t>
            </w:r>
          </w:p>
        </w:tc>
        <w:tc>
          <w:tcPr>
            <w:tcW w:w="1561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Інструкції користувача та адміністратора</w:t>
            </w:r>
          </w:p>
        </w:tc>
      </w:tr>
      <w:tr>
        <w:trPr/>
        <w:tc>
          <w:tcPr>
            <w:tcW w:w="156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13. Умов гонок (Race Conditions)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Так</w:t>
            </w:r>
          </w:p>
        </w:tc>
        <w:tc>
          <w:tcPr>
            <w:tcW w:w="1561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Перевірка недопущення подвійного списання при двох паралельних запитах переказу останніх коштів.</w:t>
            </w:r>
          </w:p>
        </w:tc>
        <w:tc>
          <w:tcPr>
            <w:tcW w:w="156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Одночасне надсилання двох запитів переказу всієї суми балансу в декілька потоків.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High</w:t>
            </w:r>
          </w:p>
        </w:tc>
        <w:tc>
          <w:tcPr>
            <w:tcW w:w="1561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JUnit 5 Multi-threading / Postman Runner</w:t>
            </w:r>
          </w:p>
        </w:tc>
      </w:tr>
      <w:tr>
        <w:trPr/>
        <w:tc>
          <w:tcPr>
            <w:tcW w:w="156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  <w:shd w:fill="auto" w:val="clear"/>
              </w:rPr>
            </w:pPr>
            <w:r>
              <w:rPr>
                <w:rFonts w:eastAsia="Arial" w:cs="Arial"/>
                <w:b/>
                <w:bCs/>
                <w:shd w:fill="auto" w:val="clear"/>
              </w:rPr>
              <w:t>14. Інсталяційне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Ні</w:t>
            </w:r>
          </w:p>
        </w:tc>
        <w:tc>
          <w:tcPr>
            <w:tcW w:w="6241" w:type="dxa"/>
            <w:gridSpan w:val="4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b/>
                <w:bCs/>
                <w:shd w:fill="auto" w:val="clear"/>
              </w:rPr>
              <w:t>Обґрунтування незастосовності:</w:t>
            </w:r>
            <w:r>
              <w:rPr>
                <w:rFonts w:eastAsia="Arial" w:cs="Arial"/>
                <w:shd w:fill="auto" w:val="clear"/>
              </w:rPr>
              <w:t xml:space="preserve"> Продукт є хмарним веб-застосунком (SaaS). Кінцевий користувач не інсталює дистрибутивів на свій ПК. Для команди інсталяція зводиться до звичайного розгортання Maven-проєкту та запусків у Docker.</w:t>
            </w:r>
          </w:p>
        </w:tc>
      </w:tr>
      <w:tr>
        <w:trPr/>
        <w:tc>
          <w:tcPr>
            <w:tcW w:w="156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15. Порівняльне (Benchmarking)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Ні</w:t>
            </w:r>
          </w:p>
        </w:tc>
        <w:tc>
          <w:tcPr>
            <w:tcW w:w="6241" w:type="dxa"/>
            <w:gridSpan w:val="4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/>
                <w:bCs/>
              </w:rPr>
              <w:t>Обґрунтування незастосовності:</w:t>
            </w:r>
            <w:r>
              <w:rPr>
                <w:rFonts w:eastAsia="Arial" w:cs="Arial"/>
              </w:rPr>
              <w:t xml:space="preserve"> Замовник не надав еталонного продукту-конкурента для порівняння метрик продуктивності та часу розрахунку ануїтету. Порівняльні вимірювання не входять до вимог SRS 1.1.</w:t>
            </w:r>
          </w:p>
        </w:tc>
      </w:tr>
    </w:tbl>
    <w:p>
      <w:pPr>
        <w:pStyle w:val="Heading2"/>
        <w:pBdr/>
        <w:shd w:val="clear" w:fill="auto"/>
        <w:spacing w:lineRule="auto" w:line="240" w:before="300" w:after="225"/>
        <w:rPr/>
      </w:pPr>
      <w:r>
        <w:rPr/>
        <w:t>5</w:t>
      </w:r>
      <w:r>
        <w:rPr/>
        <w:t>. Тестове середовище, тестові дані та аналіз ризиків</w:t>
      </w:r>
    </w:p>
    <w:p>
      <w:pPr>
        <w:pStyle w:val="normal1"/>
        <w:pBdr/>
        <w:shd w:val="clear" w:fill="auto"/>
        <w:spacing w:lineRule="auto" w:line="300"/>
        <w:rPr>
          <w:rFonts w:ascii="Arial" w:hAnsi="Arial" w:eastAsia="Arial" w:cs="Arial"/>
          <w:b/>
          <w:bCs/>
        </w:rPr>
      </w:pPr>
      <w:r>
        <w:rPr>
          <w:rFonts w:eastAsia="Arial" w:cs="Arial"/>
          <w:b/>
          <w:bCs/>
        </w:rPr>
        <w:t>Тестове середовище:</w:t>
      </w:r>
    </w:p>
    <w:p>
      <w:pPr>
        <w:pStyle w:val="normal1"/>
        <w:numPr>
          <w:ilvl w:val="0"/>
          <w:numId w:val="5"/>
        </w:numPr>
        <w:pBdr/>
        <w:shd w:val="clear" w:fill="auto"/>
        <w:spacing w:lineRule="auto" w:line="300"/>
        <w:ind w:hanging="360" w:start="600"/>
        <w:rPr/>
      </w:pPr>
      <w:r>
        <w:rPr>
          <w:rFonts w:eastAsia="Arial" w:cs="Arial"/>
          <w:b/>
          <w:bCs/>
        </w:rPr>
        <w:t>Основне demo-середовище:</w:t>
      </w:r>
      <w:r>
        <w:rPr>
          <w:rFonts w:eastAsia="Arial" w:cs="Arial"/>
        </w:rPr>
        <w:t xml:space="preserve"> ParaBank (parabank.parasoft.com).</w:t>
      </w:r>
    </w:p>
    <w:p>
      <w:pPr>
        <w:pStyle w:val="normal1"/>
        <w:numPr>
          <w:ilvl w:val="0"/>
          <w:numId w:val="5"/>
        </w:numPr>
        <w:pBdr/>
        <w:shd w:val="clear" w:fill="auto"/>
        <w:spacing w:lineRule="auto" w:line="300"/>
        <w:ind w:hanging="360" w:start="600"/>
        <w:rPr/>
      </w:pPr>
      <w:r>
        <w:rPr>
          <w:rFonts w:eastAsia="Arial" w:cs="Arial"/>
          <w:b/>
          <w:bCs/>
        </w:rPr>
        <w:t>Резервне середовище:</w:t>
      </w:r>
      <w:r>
        <w:rPr>
          <w:rFonts w:eastAsia="Arial" w:cs="Arial"/>
        </w:rPr>
        <w:t xml:space="preserve"> GlobalSQA Banking Project (globalsqa.com/angularJs-protractor/BankingProject/) або локальний запуск у Docker.</w:t>
      </w:r>
    </w:p>
    <w:p>
      <w:pPr>
        <w:pStyle w:val="normal1"/>
        <w:numPr>
          <w:ilvl w:val="0"/>
          <w:numId w:val="5"/>
        </w:numPr>
        <w:pBdr/>
        <w:shd w:val="clear" w:fill="auto"/>
        <w:spacing w:lineRule="auto" w:line="300"/>
        <w:ind w:hanging="360" w:start="600"/>
        <w:rPr/>
      </w:pPr>
      <w:r>
        <w:rPr>
          <w:rFonts w:eastAsia="Arial" w:cs="Arial"/>
          <w:b/>
          <w:bCs/>
        </w:rPr>
        <w:t>Робоче середовище автоматизації:</w:t>
      </w:r>
      <w:r>
        <w:rPr>
          <w:rFonts w:eastAsia="Arial" w:cs="Arial"/>
        </w:rPr>
        <w:t xml:space="preserve"> JDK 17 (Temurin), Maven 3.9, JUnit 5, Selenium WebDriver (Chrome/Firefox).</w:t>
      </w:r>
    </w:p>
    <w:p>
      <w:pPr>
        <w:pStyle w:val="normal1"/>
        <w:pBdr/>
        <w:shd w:val="clear" w:fill="auto"/>
        <w:spacing w:lineRule="auto" w:line="300"/>
        <w:rPr>
          <w:rFonts w:ascii="Arial" w:hAnsi="Arial" w:eastAsia="Arial" w:cs="Arial"/>
          <w:b/>
          <w:bCs/>
        </w:rPr>
      </w:pPr>
      <w:r>
        <w:rPr>
          <w:rFonts w:eastAsia="Arial" w:cs="Arial"/>
          <w:b/>
          <w:bCs/>
        </w:rPr>
        <w:t>Правила підготовки тестових даних (Згідно з розділом 9 Каталогу):</w:t>
      </w:r>
    </w:p>
    <w:p>
      <w:pPr>
        <w:pStyle w:val="normal1"/>
        <w:numPr>
          <w:ilvl w:val="0"/>
          <w:numId w:val="6"/>
        </w:numPr>
        <w:pBdr/>
        <w:shd w:val="clear" w:fill="auto"/>
        <w:spacing w:lineRule="auto" w:line="300"/>
        <w:ind w:hanging="360" w:start="600"/>
        <w:rPr/>
      </w:pPr>
      <w:r>
        <w:rPr>
          <w:rFonts w:eastAsia="Arial" w:cs="Arial"/>
        </w:rPr>
        <w:t>Використання вигаданих імен (наприклад, «Тест Тестенко», «Ганна Прикладова»). Real PII строго заборонено!</w:t>
      </w:r>
    </w:p>
    <w:p>
      <w:pPr>
        <w:pStyle w:val="normal1"/>
        <w:numPr>
          <w:ilvl w:val="0"/>
          <w:numId w:val="6"/>
        </w:numPr>
        <w:pBdr/>
        <w:shd w:val="clear" w:fill="auto"/>
        <w:spacing w:lineRule="auto" w:line="300"/>
        <w:ind w:hanging="360" w:start="600"/>
        <w:rPr/>
      </w:pPr>
      <w:r>
        <w:rPr>
          <w:rFonts w:eastAsia="Arial" w:cs="Arial"/>
        </w:rPr>
        <w:t>Логіни створюються з префіксом команди: T2_finkit_user1, T2_finkit_user2.</w:t>
      </w:r>
    </w:p>
    <w:p>
      <w:pPr>
        <w:pStyle w:val="normal1"/>
        <w:numPr>
          <w:ilvl w:val="0"/>
          <w:numId w:val="6"/>
        </w:numPr>
        <w:pBdr/>
        <w:shd w:val="clear" w:fill="auto"/>
        <w:spacing w:lineRule="auto" w:line="300"/>
        <w:ind w:hanging="360" w:start="600"/>
        <w:rPr/>
      </w:pPr>
      <w:r>
        <w:rPr>
          <w:rFonts w:eastAsia="Arial" w:cs="Arial"/>
        </w:rPr>
        <w:t>Email-адреси виключно на тестових доменах @example.com, @example.org.</w:t>
      </w:r>
    </w:p>
    <w:p>
      <w:pPr>
        <w:pStyle w:val="normal1"/>
        <w:numPr>
          <w:ilvl w:val="0"/>
          <w:numId w:val="6"/>
        </w:numPr>
        <w:pBdr/>
        <w:shd w:val="clear" w:fill="auto"/>
        <w:spacing w:lineRule="auto" w:line="300"/>
        <w:ind w:hanging="360" w:start="600"/>
        <w:rPr/>
      </w:pPr>
      <w:r>
        <w:rPr>
          <w:rFonts w:eastAsia="Arial" w:cs="Arial"/>
        </w:rPr>
        <w:t>IBAN: UA + 27 вигаданих цифр (наприклад, UA123456789012345678901234567). РНОКПП: 10 вигаданих цифр.</w:t>
      </w:r>
    </w:p>
    <w:p>
      <w:pPr>
        <w:pStyle w:val="normal1"/>
        <w:pBdr/>
        <w:shd w:val="clear" w:fill="auto"/>
        <w:spacing w:lineRule="auto" w:line="300"/>
        <w:rPr>
          <w:rFonts w:ascii="Arial" w:hAnsi="Arial" w:eastAsia="Arial" w:cs="Arial"/>
          <w:b/>
          <w:bCs/>
        </w:rPr>
      </w:pPr>
      <w:r>
        <w:rPr>
          <w:rFonts w:eastAsia="Arial" w:cs="Arial"/>
          <w:b/>
          <w:bCs/>
        </w:rPr>
        <w:t>Матриця ризиків Спринта 2 та шляхи їх мінімізації:</w:t>
      </w:r>
    </w:p>
    <w:tbl>
      <w:tblPr>
        <w:tblStyle w:val="Table4"/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60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E9ECEF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Опис ризику</w:t>
            </w:r>
          </w:p>
        </w:tc>
        <w:tc>
          <w:tcPr>
            <w:tcW w:w="312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E9ECEF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Ймовірність / Вплив</w:t>
            </w:r>
          </w:p>
        </w:tc>
        <w:tc>
          <w:tcPr>
            <w:tcW w:w="312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E9ECEF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Заходи мінімізації / План дій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 </w:t>
            </w:r>
          </w:p>
        </w:tc>
      </w:tr>
      <w:tr>
        <w:trPr/>
        <w:tc>
          <w:tcPr>
            <w:tcW w:w="312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Періодичне скидання даних на публічному ParaBank Demo</w:t>
            </w:r>
          </w:p>
        </w:tc>
        <w:tc>
          <w:tcPr>
            <w:tcW w:w="312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Висока / Високий</w:t>
            </w:r>
          </w:p>
        </w:tc>
        <w:tc>
          <w:tcPr>
            <w:tcW w:w="312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Перед кожною сесією перевіряти наявність тестового користувача; автоматизувати швидку реєстрацію у @BeforeAll.</w:t>
            </w:r>
          </w:p>
        </w:tc>
      </w:tr>
      <w:tr>
        <w:trPr/>
        <w:tc>
          <w:tcPr>
            <w:tcW w:w="312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Розбіжність лімітів у SRS (F-70 100 тис. грн vs BL-40 50 тис. грн) [ПІДТВ.]</w:t>
            </w:r>
          </w:p>
        </w:tc>
        <w:tc>
          <w:tcPr>
            <w:tcW w:w="312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Середня / Високий</w:t>
            </w:r>
          </w:p>
        </w:tc>
        <w:tc>
          <w:tcPr>
            <w:tcW w:w="312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9F9F9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Направити офіційне питання Замовнику на Демо під тегом [ПІДТВ.]; у тестуванні модуля спиратися на значення з BL-40 до уточнення.</w:t>
            </w:r>
          </w:p>
        </w:tc>
      </w:tr>
      <w:tr>
        <w:trPr/>
        <w:tc>
          <w:tcPr>
            <w:tcW w:w="312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Неможливість виконання кейсів через недоступність ParaBank</w:t>
            </w:r>
          </w:p>
        </w:tc>
        <w:tc>
          <w:tcPr>
            <w:tcW w:w="312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Низька / Середній</w:t>
            </w:r>
          </w:p>
        </w:tc>
        <w:tc>
          <w:tcPr>
            <w:tcW w:w="312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300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За дозволом викладача перейти на резервне середовище GlobalSQA або локальний Docker; кейси позначати «blocked» з опис причин.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</w:rPr>
      </w:pPr>
      <w:r>
        <w:rPr>
          <w:rFonts w:eastAsia="Arial" w:cs="Arial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pPr>
      <w:pBdr/>
      <w:shd w:val="clear" w:fill="auto"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1"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pPr>
      <w:pBdr/>
      <w:shd w:val="clear" w:fill="auto"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normal1" w:default="1">
    <w:name w:val="normal1"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LibreOffice/26.8.1.1$Linux_X86_64 LibreOffice_project/0fee9b7af4ed8823fb6ed0b53e2a3e73b2087f4b</Application>
  <AppVersion>15.0000</AppVersion>
  <Pages>12</Pages>
  <Words>1425</Words>
  <Characters>9853</Characters>
  <CharactersWithSpaces>11074</CharactersWithSpaces>
  <Paragraphs>183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2026-10-16T15:43:45Z</dcterms:modified>
  <cp:revision>1</cp:revision>
  <dc:subject/>
  <dc:title/>
</cp:coreProperties>
</file>