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3877"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Тема диссертации:</w:t>
      </w:r>
      <w:r>
        <w:rPr>
          <w:rFonts w:ascii="Times New Roman" w:eastAsia="Times New Roman" w:hAnsi="Times New Roman" w:cs="Times New Roman"/>
          <w:sz w:val="28"/>
          <w:szCs w:val="28"/>
        </w:rPr>
        <w:t xml:space="preserve"> Разработка алгоритмов поиска поведенчески релевантных нейрональных источников в многоканальных нейрофизиологических данных с использованием методов нелинейного вложения.</w:t>
      </w:r>
    </w:p>
    <w:p w14:paraId="00000002" w14:textId="77777777" w:rsidR="003C3877" w:rsidRDefault="003C3877">
      <w:pPr>
        <w:jc w:val="both"/>
        <w:rPr>
          <w:rFonts w:ascii="Times New Roman" w:eastAsia="Times New Roman" w:hAnsi="Times New Roman" w:cs="Times New Roman"/>
          <w:sz w:val="28"/>
          <w:szCs w:val="28"/>
        </w:rPr>
      </w:pPr>
    </w:p>
    <w:p w14:paraId="00000003" w14:textId="77777777" w:rsidR="003C3877"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Текущая глава/подтема в разработке:</w:t>
      </w:r>
      <w:r>
        <w:rPr>
          <w:rFonts w:ascii="Times New Roman" w:eastAsia="Times New Roman" w:hAnsi="Times New Roman" w:cs="Times New Roman"/>
          <w:sz w:val="28"/>
          <w:szCs w:val="28"/>
        </w:rPr>
        <w:t xml:space="preserve"> Алгоритм поиска индуцированной активности с использованием внешней поведенческой переменной.</w:t>
      </w:r>
    </w:p>
    <w:p w14:paraId="00000004" w14:textId="77777777" w:rsidR="003C3877" w:rsidRDefault="003C3877">
      <w:pPr>
        <w:jc w:val="both"/>
        <w:rPr>
          <w:rFonts w:ascii="Times New Roman" w:eastAsia="Times New Roman" w:hAnsi="Times New Roman" w:cs="Times New Roman"/>
          <w:sz w:val="28"/>
          <w:szCs w:val="28"/>
        </w:rPr>
      </w:pPr>
    </w:p>
    <w:p w14:paraId="00000005" w14:textId="77777777" w:rsidR="003C3877" w:rsidRDefault="00000000">
      <w:pPr>
        <w:jc w:val="both"/>
        <w:rPr>
          <w:rFonts w:ascii="Times New Roman" w:eastAsia="Times New Roman" w:hAnsi="Times New Roman" w:cs="Times New Roman"/>
          <w:sz w:val="28"/>
          <w:szCs w:val="28"/>
        </w:rPr>
      </w:pPr>
      <w:r>
        <w:pict w14:anchorId="02676CE6">
          <v:rect id="_x0000_i1025" style="width:0;height:1.5pt" o:hralign="center" o:hrstd="t" o:hr="t" fillcolor="#a0a0a0" stroked="f"/>
        </w:pict>
      </w:r>
    </w:p>
    <w:p w14:paraId="00000006" w14:textId="77777777" w:rsidR="003C3877" w:rsidRDefault="00000000">
      <w:pPr>
        <w:pStyle w:val="Heading2"/>
      </w:pPr>
      <w:bookmarkStart w:id="0" w:name="_doozgwbkzee4" w:colFirst="0" w:colLast="0"/>
      <w:bookmarkEnd w:id="0"/>
      <w:r>
        <w:t>Введение</w:t>
      </w:r>
    </w:p>
    <w:p w14:paraId="00000007" w14:textId="77777777" w:rsidR="003C3877"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 анализа многоканальных нейрофизиологических данных заключается в выявлении и интерпретации компонент, отражающих текущее функциональное состояние мозга или его отдельных областей в зависимости от экспериментального условия. В рамках линейной квазистатической модели распространения ЭЭГ/МЭГ сигнала, наблюдаемая сенсорная активность представляется как линейная суперпозиция вкладов распределённых источников:</w:t>
      </w:r>
    </w:p>
    <w:p w14:paraId="00000008" w14:textId="77777777" w:rsidR="003C3877" w:rsidRDefault="00000000">
      <w:pPr>
        <w:spacing w:before="240" w:after="240" w:line="360" w:lineRule="auto"/>
        <w:jc w:val="center"/>
        <w:rPr>
          <w:rFonts w:ascii="Times New Roman" w:eastAsia="Times New Roman" w:hAnsi="Times New Roman" w:cs="Times New Roman"/>
          <w:sz w:val="28"/>
          <w:szCs w:val="28"/>
        </w:rPr>
      </w:pPr>
      <m:oMath>
        <m:r>
          <w:rPr>
            <w:rFonts w:ascii="Times New Roman" w:eastAsia="Times New Roman" w:hAnsi="Times New Roman" w:cs="Times New Roman"/>
            <w:sz w:val="28"/>
            <w:szCs w:val="28"/>
          </w:rPr>
          <m:t>X=AS + η</m:t>
        </m:r>
      </m:oMath>
      <w:r>
        <w:rPr>
          <w:rFonts w:ascii="Times New Roman" w:eastAsia="Times New Roman" w:hAnsi="Times New Roman" w:cs="Times New Roman"/>
          <w:sz w:val="28"/>
          <w:szCs w:val="28"/>
        </w:rPr>
        <w:t>,</w:t>
      </w:r>
    </w:p>
    <w:p w14:paraId="00000009" w14:textId="77777777" w:rsidR="003C387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r>
          <w:rPr>
            <w:rFonts w:ascii="Times New Roman" w:eastAsia="Times New Roman" w:hAnsi="Times New Roman" w:cs="Times New Roman"/>
            <w:sz w:val="28"/>
            <w:szCs w:val="28"/>
          </w:rPr>
          <m:t>X</m:t>
        </m:r>
      </m:oMath>
      <w:r>
        <w:rPr>
          <w:rFonts w:ascii="Times New Roman" w:eastAsia="Times New Roman" w:hAnsi="Times New Roman" w:cs="Times New Roman"/>
          <w:sz w:val="28"/>
          <w:szCs w:val="28"/>
        </w:rPr>
        <w:t xml:space="preserve"> — матрица временных рядов в сенсорном пространстве, </w:t>
      </w:r>
      <m:oMath>
        <m:r>
          <w:rPr>
            <w:rFonts w:ascii="Times New Roman" w:eastAsia="Times New Roman" w:hAnsi="Times New Roman" w:cs="Times New Roman"/>
            <w:sz w:val="28"/>
            <w:szCs w:val="28"/>
          </w:rPr>
          <m:t>A</m:t>
        </m:r>
      </m:oMath>
      <w:r>
        <w:rPr>
          <w:rFonts w:ascii="Times New Roman" w:eastAsia="Times New Roman" w:hAnsi="Times New Roman" w:cs="Times New Roman"/>
          <w:sz w:val="28"/>
          <w:szCs w:val="28"/>
        </w:rPr>
        <w:t xml:space="preserve"> — матрица прямой модели (оператор смешивания), </w:t>
      </w:r>
      <m:oMath>
        <m:r>
          <w:rPr>
            <w:rFonts w:ascii="Times New Roman" w:eastAsia="Times New Roman" w:hAnsi="Times New Roman" w:cs="Times New Roman"/>
            <w:sz w:val="28"/>
            <w:szCs w:val="28"/>
          </w:rPr>
          <m:t>S</m:t>
        </m:r>
      </m:oMath>
      <w:r>
        <w:rPr>
          <w:rFonts w:ascii="Times New Roman" w:eastAsia="Times New Roman" w:hAnsi="Times New Roman" w:cs="Times New Roman"/>
          <w:sz w:val="28"/>
          <w:szCs w:val="28"/>
        </w:rPr>
        <w:t xml:space="preserve"> — временные ряды в пространстве источников, а </w:t>
      </w:r>
      <m:oMath>
        <m:r>
          <w:rPr>
            <w:rFonts w:ascii="Cambria Math" w:hAnsi="Cambria Math"/>
          </w:rPr>
          <m:t>η</m:t>
        </m:r>
      </m:oMath>
      <w:r>
        <w:rPr>
          <w:rFonts w:ascii="Times New Roman" w:eastAsia="Times New Roman" w:hAnsi="Times New Roman" w:cs="Times New Roman"/>
          <w:sz w:val="28"/>
          <w:szCs w:val="28"/>
        </w:rPr>
        <w:t xml:space="preserve"> — шумовая компонента.</w:t>
      </w:r>
    </w:p>
    <w:p w14:paraId="0000000A" w14:textId="77777777" w:rsidR="003C3877"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данной постановке анализ данных часто сводится к поиску пространственных фильтров </w:t>
      </w:r>
      <m:oMath>
        <m:r>
          <w:rPr>
            <w:rFonts w:ascii="Times New Roman" w:eastAsia="Times New Roman" w:hAnsi="Times New Roman" w:cs="Times New Roman"/>
            <w:sz w:val="28"/>
            <w:szCs w:val="28"/>
          </w:rPr>
          <m:t>w</m:t>
        </m:r>
      </m:oMath>
      <w:r>
        <w:rPr>
          <w:rFonts w:ascii="Times New Roman" w:eastAsia="Times New Roman" w:hAnsi="Times New Roman" w:cs="Times New Roman"/>
          <w:sz w:val="28"/>
          <w:szCs w:val="28"/>
        </w:rPr>
        <w:t>, таких что</w:t>
      </w:r>
    </w:p>
    <w:p w14:paraId="0000000B" w14:textId="77777777" w:rsidR="003C3877" w:rsidRDefault="00000000">
      <w:pPr>
        <w:spacing w:before="240" w:after="240" w:line="360" w:lineRule="auto"/>
        <w:jc w:val="center"/>
        <w:rPr>
          <w:rFonts w:ascii="Times New Roman" w:eastAsia="Times New Roman" w:hAnsi="Times New Roman" w:cs="Times New Roman"/>
          <w:sz w:val="28"/>
          <w:szCs w:val="28"/>
        </w:rPr>
      </w:pPr>
      <m:oMathPara>
        <m:oMath>
          <m:acc>
            <m:accPr>
              <m:ctrlPr>
                <w:rPr>
                  <w:rFonts w:ascii="Cambria Math" w:hAnsi="Cambria Math"/>
                </w:rPr>
              </m:ctrlPr>
            </m:accPr>
            <m:e>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s</m:t>
                  </m:r>
                </m:e>
                <m:sub>
                  <m:r>
                    <w:rPr>
                      <w:rFonts w:ascii="Times New Roman" w:eastAsia="Times New Roman" w:hAnsi="Times New Roman" w:cs="Times New Roman"/>
                      <w:sz w:val="28"/>
                      <w:szCs w:val="28"/>
                    </w:rPr>
                    <m:t>i</m:t>
                  </m:r>
                </m:sub>
              </m:sSub>
            </m:e>
          </m:acc>
          <m:r>
            <w:rPr>
              <w:rFonts w:ascii="Times New Roman" w:eastAsia="Times New Roman" w:hAnsi="Times New Roman" w:cs="Times New Roman"/>
              <w:sz w:val="28"/>
              <w:szCs w:val="28"/>
            </w:rPr>
            <m:t>=</m:t>
          </m:r>
          <m:sSubSup>
            <m:sSubSupPr>
              <m:ctrlPr>
                <w:rPr>
                  <w:rFonts w:ascii="Times New Roman" w:eastAsia="Times New Roman" w:hAnsi="Times New Roman" w:cs="Times New Roman"/>
                  <w:sz w:val="28"/>
                  <w:szCs w:val="28"/>
                </w:rPr>
              </m:ctrlPr>
            </m:sSubSupPr>
            <m:e>
              <m:r>
                <w:rPr>
                  <w:rFonts w:ascii="Times New Roman" w:eastAsia="Times New Roman" w:hAnsi="Times New Roman" w:cs="Times New Roman"/>
                  <w:sz w:val="28"/>
                  <w:szCs w:val="28"/>
                </w:rPr>
                <m:t>w</m:t>
              </m:r>
            </m:e>
            <m:sub>
              <m:r>
                <w:rPr>
                  <w:rFonts w:ascii="Times New Roman" w:eastAsia="Times New Roman" w:hAnsi="Times New Roman" w:cs="Times New Roman"/>
                  <w:sz w:val="28"/>
                  <w:szCs w:val="28"/>
                </w:rPr>
                <m:t>i</m:t>
              </m:r>
            </m:sub>
            <m:sup>
              <m:r>
                <w:rPr>
                  <w:rFonts w:ascii="Times New Roman" w:eastAsia="Times New Roman" w:hAnsi="Times New Roman" w:cs="Times New Roman"/>
                  <w:sz w:val="28"/>
                  <w:szCs w:val="28"/>
                </w:rPr>
                <m:t>T</m:t>
              </m:r>
            </m:sup>
          </m:sSubSup>
          <m:r>
            <w:rPr>
              <w:rFonts w:ascii="Times New Roman" w:eastAsia="Times New Roman" w:hAnsi="Times New Roman" w:cs="Times New Roman"/>
              <w:sz w:val="28"/>
              <w:szCs w:val="28"/>
            </w:rPr>
            <m:t>X</m:t>
          </m:r>
        </m:oMath>
      </m:oMathPara>
    </w:p>
    <w:p w14:paraId="0000000C" w14:textId="77777777" w:rsidR="003C387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w:t>
      </w:r>
      <m:oMath>
        <m:acc>
          <m:accPr>
            <m:ctrlPr>
              <w:rPr>
                <w:rFonts w:ascii="Cambria Math" w:hAnsi="Cambria Math"/>
              </w:rPr>
            </m:ctrlPr>
          </m:accPr>
          <m:e>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s</m:t>
                </m:r>
              </m:e>
              <m:sub>
                <m:r>
                  <w:rPr>
                    <w:rFonts w:ascii="Times New Roman" w:eastAsia="Times New Roman" w:hAnsi="Times New Roman" w:cs="Times New Roman"/>
                    <w:sz w:val="28"/>
                    <w:szCs w:val="28"/>
                  </w:rPr>
                  <m:t>i</m:t>
                </m:r>
              </m:sub>
            </m:sSub>
          </m:e>
        </m:acc>
      </m:oMath>
      <w:r>
        <w:rPr>
          <w:rFonts w:ascii="Times New Roman" w:eastAsia="Times New Roman" w:hAnsi="Times New Roman" w:cs="Times New Roman"/>
          <w:sz w:val="28"/>
          <w:szCs w:val="28"/>
        </w:rPr>
        <w:t xml:space="preserve"> — выделенная компонента (оценка сигнала i-го источника), а </w:t>
      </w:r>
      <m:oMath>
        <m:acc>
          <m:accPr>
            <m:ctrlPr>
              <w:rPr>
                <w:rFonts w:ascii="Cambria Math" w:hAnsi="Cambria Math"/>
              </w:rPr>
            </m:ctrlPr>
          </m:accPr>
          <m:e>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s</m:t>
                </m:r>
              </m:e>
              <m:sub>
                <m:r>
                  <w:rPr>
                    <w:rFonts w:ascii="Times New Roman" w:eastAsia="Times New Roman" w:hAnsi="Times New Roman" w:cs="Times New Roman"/>
                    <w:sz w:val="28"/>
                    <w:szCs w:val="28"/>
                  </w:rPr>
                  <m:t>i</m:t>
                </m:r>
              </m:sub>
            </m:sSub>
          </m:e>
        </m:acc>
      </m:oMath>
      <w:r>
        <w:rPr>
          <w:rFonts w:ascii="Times New Roman" w:eastAsia="Times New Roman" w:hAnsi="Times New Roman" w:cs="Times New Roman"/>
          <w:sz w:val="28"/>
          <w:szCs w:val="28"/>
        </w:rPr>
        <w:t xml:space="preserve"> — соответствующий источнику пространственный фильтр. Полученные </w:t>
      </w:r>
      <w:r>
        <w:rPr>
          <w:rFonts w:ascii="Times New Roman" w:eastAsia="Times New Roman" w:hAnsi="Times New Roman" w:cs="Times New Roman"/>
          <w:sz w:val="28"/>
          <w:szCs w:val="28"/>
        </w:rPr>
        <w:lastRenderedPageBreak/>
        <w:t>компоненты могут быть соотнесены с нейрофизиологическими источниками и использованы для локализации их местоположения в мозге и оценки вклада в наблюдаемую сенсорную активность.</w:t>
      </w:r>
    </w:p>
    <w:p w14:paraId="0000000D" w14:textId="77777777" w:rsidR="003C3877"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Однако задача восстановления источников в рамках данной модели является недоопределенной и допускает множество эквивалентных решений. В практических методах это приводит к необходимости введения дополнительных предположений и ограничений, таких как статистическая независимость источников, максимизация дисперсии или ковариация с внешними переменными.</w:t>
      </w:r>
    </w:p>
    <w:p w14:paraId="0000000E" w14:textId="77777777" w:rsidR="003C3877" w:rsidRDefault="00000000">
      <w:pPr>
        <w:pStyle w:val="Heading2"/>
        <w:keepNext w:val="0"/>
        <w:keepLines w:val="0"/>
        <w:spacing w:before="360" w:after="80"/>
        <w:ind w:firstLine="720"/>
        <w:rPr>
          <w:rFonts w:ascii="Times New Roman" w:eastAsia="Times New Roman" w:hAnsi="Times New Roman" w:cs="Times New Roman"/>
          <w:sz w:val="34"/>
          <w:szCs w:val="34"/>
        </w:rPr>
      </w:pPr>
      <w:bookmarkStart w:id="1" w:name="_2qyd4i9p8rel" w:colFirst="0" w:colLast="0"/>
      <w:bookmarkEnd w:id="1"/>
      <w:r>
        <w:rPr>
          <w:rFonts w:ascii="Times New Roman" w:eastAsia="Times New Roman" w:hAnsi="Times New Roman" w:cs="Times New Roman"/>
          <w:sz w:val="34"/>
          <w:szCs w:val="34"/>
        </w:rPr>
        <w:t>Линейные методы разложения</w:t>
      </w:r>
    </w:p>
    <w:p w14:paraId="293DB6B9" w14:textId="77777777" w:rsidR="00121032" w:rsidRDefault="00000000">
      <w:pPr>
        <w:spacing w:before="240" w:after="24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В рамках описанной модели предложен широкий класс методов линейного разложения: </w:t>
      </w:r>
    </w:p>
    <w:p w14:paraId="144FEEEC" w14:textId="77777777" w:rsidR="00121032" w:rsidRPr="00121032" w:rsidRDefault="00000000" w:rsidP="00121032">
      <w:pPr>
        <w:pStyle w:val="ListParagraph"/>
        <w:numPr>
          <w:ilvl w:val="0"/>
          <w:numId w:val="3"/>
        </w:numPr>
        <w:spacing w:before="240" w:after="240" w:line="360" w:lineRule="auto"/>
        <w:jc w:val="both"/>
        <w:rPr>
          <w:rFonts w:ascii="Times New Roman" w:eastAsia="Times New Roman" w:hAnsi="Times New Roman" w:cs="Times New Roman"/>
          <w:sz w:val="28"/>
          <w:szCs w:val="28"/>
        </w:rPr>
      </w:pPr>
      <w:r w:rsidRPr="00121032">
        <w:rPr>
          <w:rFonts w:ascii="Times New Roman" w:eastAsia="Times New Roman" w:hAnsi="Times New Roman" w:cs="Times New Roman"/>
          <w:sz w:val="28"/>
          <w:szCs w:val="28"/>
        </w:rPr>
        <w:t>метод главных компонент (PCA)</w:t>
      </w:r>
      <w:r w:rsidR="00121032" w:rsidRPr="00121032">
        <w:rPr>
          <w:rFonts w:ascii="Times New Roman" w:eastAsia="Times New Roman" w:hAnsi="Times New Roman" w:cs="Times New Roman"/>
          <w:sz w:val="28"/>
          <w:szCs w:val="28"/>
          <w:lang w:val="ru-RU"/>
        </w:rPr>
        <w:t xml:space="preserve">: </w:t>
      </w:r>
      <w:r w:rsidR="00121032" w:rsidRPr="00121032">
        <w:rPr>
          <w:rFonts w:ascii="Times New Roman" w:eastAsia="Times New Roman" w:hAnsi="Times New Roman" w:cs="Times New Roman"/>
          <w:sz w:val="28"/>
          <w:szCs w:val="28"/>
        </w:rPr>
        <w:t>Направлен на поиск ортогональных проекций, максимизирующих дисперсию трансформированных данных. Задача сводится к максимизации функционала:</w:t>
      </w:r>
    </w:p>
    <w:p w14:paraId="6EA7B19E" w14:textId="2DFF5CD6" w:rsidR="00121032" w:rsidRPr="00121032" w:rsidRDefault="00121032" w:rsidP="00121032">
      <w:pPr>
        <w:spacing w:before="240" w:after="240" w:line="360" w:lineRule="auto"/>
        <w:ind w:left="360"/>
        <w:jc w:val="both"/>
        <w:rPr>
          <w:rFonts w:ascii="Times New Roman" w:eastAsia="Times New Roman" w:hAnsi="Times New Roman" w:cs="Times New Roman"/>
          <w:sz w:val="28"/>
          <w:szCs w:val="28"/>
        </w:rPr>
      </w:pPr>
      <m:oMath>
        <m:r>
          <w:rPr>
            <w:rFonts w:ascii="Cambria Math" w:eastAsia="Times New Roman" w:hAnsi="Cambria Math" w:cs="Times New Roman"/>
            <w:sz w:val="28"/>
            <w:szCs w:val="28"/>
          </w:rPr>
          <m:t>J</m:t>
        </m:r>
      </m:oMath>
      <w:r w:rsidR="00000000" w:rsidRPr="00121032">
        <w:rPr>
          <w:rFonts w:ascii="Times New Roman" w:eastAsia="Times New Roman" w:hAnsi="Times New Roman" w:cs="Times New Roman"/>
          <w:sz w:val="28"/>
          <w:szCs w:val="28"/>
        </w:rPr>
        <w:t xml:space="preserve">, </w:t>
      </w:r>
    </w:p>
    <w:p w14:paraId="5EF682CD" w14:textId="77777777" w:rsidR="00121032" w:rsidRPr="00121032" w:rsidRDefault="00000000" w:rsidP="00121032">
      <w:pPr>
        <w:pStyle w:val="ListParagraph"/>
        <w:numPr>
          <w:ilvl w:val="0"/>
          <w:numId w:val="3"/>
        </w:numPr>
        <w:spacing w:before="240" w:after="240" w:line="360" w:lineRule="auto"/>
        <w:jc w:val="both"/>
        <w:rPr>
          <w:rFonts w:ascii="Times New Roman" w:eastAsia="Times New Roman" w:hAnsi="Times New Roman" w:cs="Times New Roman"/>
          <w:sz w:val="28"/>
          <w:szCs w:val="28"/>
        </w:rPr>
      </w:pPr>
      <w:r w:rsidRPr="00121032">
        <w:rPr>
          <w:rFonts w:ascii="Times New Roman" w:eastAsia="Times New Roman" w:hAnsi="Times New Roman" w:cs="Times New Roman"/>
          <w:sz w:val="28"/>
          <w:szCs w:val="28"/>
        </w:rPr>
        <w:t xml:space="preserve">анализ независимых компонент (ICA), </w:t>
      </w:r>
    </w:p>
    <w:p w14:paraId="01073DBC" w14:textId="77777777" w:rsidR="00121032" w:rsidRPr="00121032" w:rsidRDefault="00000000" w:rsidP="00121032">
      <w:pPr>
        <w:pStyle w:val="ListParagraph"/>
        <w:numPr>
          <w:ilvl w:val="0"/>
          <w:numId w:val="3"/>
        </w:numPr>
        <w:spacing w:before="240" w:after="240" w:line="360" w:lineRule="auto"/>
        <w:jc w:val="both"/>
        <w:rPr>
          <w:rFonts w:ascii="Times New Roman" w:eastAsia="Times New Roman" w:hAnsi="Times New Roman" w:cs="Times New Roman"/>
          <w:sz w:val="28"/>
          <w:szCs w:val="28"/>
        </w:rPr>
      </w:pPr>
      <w:r w:rsidRPr="00121032">
        <w:rPr>
          <w:rFonts w:ascii="Times New Roman" w:eastAsia="Times New Roman" w:hAnsi="Times New Roman" w:cs="Times New Roman"/>
          <w:sz w:val="28"/>
          <w:szCs w:val="28"/>
        </w:rPr>
        <w:t xml:space="preserve">канонический корреляционный анализ (CCA), </w:t>
      </w:r>
    </w:p>
    <w:p w14:paraId="3190BFBA" w14:textId="77777777" w:rsidR="00121032" w:rsidRPr="00121032" w:rsidRDefault="00000000" w:rsidP="00121032">
      <w:pPr>
        <w:pStyle w:val="ListParagraph"/>
        <w:numPr>
          <w:ilvl w:val="0"/>
          <w:numId w:val="3"/>
        </w:numPr>
        <w:spacing w:before="240" w:after="240" w:line="360" w:lineRule="auto"/>
        <w:jc w:val="both"/>
        <w:rPr>
          <w:rFonts w:ascii="Times New Roman" w:eastAsia="Times New Roman" w:hAnsi="Times New Roman" w:cs="Times New Roman"/>
          <w:sz w:val="28"/>
          <w:szCs w:val="28"/>
        </w:rPr>
      </w:pPr>
      <w:r w:rsidRPr="00121032">
        <w:rPr>
          <w:rFonts w:ascii="Times New Roman" w:eastAsia="Times New Roman" w:hAnsi="Times New Roman" w:cs="Times New Roman"/>
          <w:sz w:val="28"/>
          <w:szCs w:val="28"/>
        </w:rPr>
        <w:t xml:space="preserve">линейный дискриминантный анализ (LDA). </w:t>
      </w:r>
    </w:p>
    <w:p w14:paraId="0000000F" w14:textId="19181BED" w:rsidR="003C3877" w:rsidRPr="00121032" w:rsidRDefault="00000000" w:rsidP="00121032">
      <w:pPr>
        <w:spacing w:before="240" w:after="240" w:line="360" w:lineRule="auto"/>
        <w:ind w:left="360"/>
        <w:jc w:val="both"/>
        <w:rPr>
          <w:rFonts w:ascii="Times New Roman" w:eastAsia="Times New Roman" w:hAnsi="Times New Roman" w:cs="Times New Roman"/>
          <w:sz w:val="28"/>
          <w:szCs w:val="28"/>
        </w:rPr>
      </w:pPr>
      <w:r w:rsidRPr="00121032">
        <w:rPr>
          <w:rFonts w:ascii="Times New Roman" w:eastAsia="Times New Roman" w:hAnsi="Times New Roman" w:cs="Times New Roman"/>
          <w:sz w:val="28"/>
          <w:szCs w:val="28"/>
        </w:rPr>
        <w:t xml:space="preserve">Развитие этих подходов привело к появлению методов, учитывающих сложную структуру данных. В частности, анализ независимых векторов (IVA) [2, 3] обобщает ICA на случай мультивариантных (векторных) источников (например, когда активность одного генератора описывается не </w:t>
      </w:r>
      <w:r w:rsidRPr="00121032">
        <w:rPr>
          <w:rFonts w:ascii="Times New Roman" w:eastAsia="Times New Roman" w:hAnsi="Times New Roman" w:cs="Times New Roman"/>
          <w:sz w:val="28"/>
          <w:szCs w:val="28"/>
        </w:rPr>
        <w:lastRenderedPageBreak/>
        <w:t xml:space="preserve">одиночным скалярным сигналом, а вектором его спектральных или пространственных компонент), моделируя статистическую зависимость между элементами внутри каждого источника. В свою очередь, метод комодуляции мощности источников (SPoC) [4] направлен на поиск компонентов, мощность которых систематически имеет изменчивость, согласованную с внешними переменными. Важным преимуществом данных методов является их интерпретируемость: </w:t>
      </w:r>
      <w:commentRangeStart w:id="2"/>
      <w:r w:rsidRPr="00121032">
        <w:rPr>
          <w:rFonts w:ascii="Times New Roman" w:eastAsia="Times New Roman" w:hAnsi="Times New Roman" w:cs="Times New Roman"/>
          <w:sz w:val="28"/>
          <w:szCs w:val="28"/>
        </w:rPr>
        <w:t>они позволяют оценить пространственный паттерн источника и ранжировать компоненты по уровню значимости их вклада.</w:t>
      </w:r>
      <w:commentRangeEnd w:id="2"/>
      <w:r>
        <w:commentReference w:id="2"/>
      </w:r>
    </w:p>
    <w:p w14:paraId="00000010" w14:textId="77777777" w:rsidR="003C3877" w:rsidRDefault="00000000">
      <w:pPr>
        <w:pStyle w:val="Heading2"/>
        <w:keepNext w:val="0"/>
        <w:keepLines w:val="0"/>
        <w:spacing w:before="360" w:after="80"/>
        <w:ind w:firstLine="720"/>
        <w:rPr>
          <w:rFonts w:ascii="Times New Roman" w:eastAsia="Times New Roman" w:hAnsi="Times New Roman" w:cs="Times New Roman"/>
          <w:sz w:val="34"/>
          <w:szCs w:val="34"/>
        </w:rPr>
      </w:pPr>
      <w:bookmarkStart w:id="3" w:name="_rwjhborxcai3" w:colFirst="0" w:colLast="0"/>
      <w:bookmarkEnd w:id="3"/>
      <w:commentRangeStart w:id="4"/>
      <w:r>
        <w:rPr>
          <w:rFonts w:ascii="Times New Roman" w:eastAsia="Times New Roman" w:hAnsi="Times New Roman" w:cs="Times New Roman"/>
          <w:sz w:val="34"/>
          <w:szCs w:val="34"/>
        </w:rPr>
        <w:t>Нелинейные методы и графовые вложения</w:t>
      </w:r>
      <w:commentRangeEnd w:id="4"/>
      <w:r>
        <w:commentReference w:id="4"/>
      </w:r>
    </w:p>
    <w:p w14:paraId="00000011" w14:textId="77777777" w:rsidR="003C387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Альтернативный подход основан на рассмотрении геометрической структуры данных. Методы нелинейного понижения размерности строят низкоразмерные вложения, опираясь на локальные соотношения между наблюдениями (графы ближайших соседей). К классическим представителям этого класса относят Изомап (Isomap) [5], Лапласовы собственные карты (Laplacian Eigenmaps) [6] и диффузионные карты (Diffusion Maps) [7], которые предполагают наличие гладкого нелинейного многообразия в исходном пространстве признаков. Позднее были разработаны вероятностные методы визуализации, такие как t-SNE [8] и LargeVis [9].</w:t>
      </w:r>
    </w:p>
    <w:p w14:paraId="00000012" w14:textId="77777777" w:rsidR="003C3877"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последние годы широкое распространение получил метод Uniform Manifold Approximation and Projection (UMAP) [10]. В области анализа ЭЭГ UMAP подтвердил свою эффективность для классификации моторных намерений [11], стадий сна [12], а также для оценки топологических признаков при поиске биомаркеров когнитивных нарушений и деменции [13, 14].</w:t>
      </w:r>
    </w:p>
    <w:p w14:paraId="00000013" w14:textId="5ECD688A" w:rsidR="003C3877"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Преимуществом данных подходов является их чувствительность к локальной изменчивости данных. Координаты вложения отражают геометрическую организацию данных, где различные режимы активности проявляются в виде компактных областей </w:t>
      </w:r>
      <w:commentRangeStart w:id="5"/>
      <w:r>
        <w:rPr>
          <w:rFonts w:ascii="Times New Roman" w:eastAsia="Times New Roman" w:hAnsi="Times New Roman" w:cs="Times New Roman"/>
          <w:sz w:val="28"/>
          <w:szCs w:val="28"/>
        </w:rPr>
        <w:t>манифолда</w:t>
      </w:r>
      <w:commentRangeEnd w:id="5"/>
      <w:r>
        <w:commentReference w:id="5"/>
      </w:r>
      <w:r>
        <w:rPr>
          <w:rFonts w:ascii="Times New Roman" w:eastAsia="Times New Roman" w:hAnsi="Times New Roman" w:cs="Times New Roman"/>
          <w:sz w:val="28"/>
          <w:szCs w:val="28"/>
        </w:rPr>
        <w:t>. Однако на текущий момент отсутствует единый методологический подход, позволяющий одновременно учитывать нелинейную структуру данных и сохранять интерпретируемость решений в рамках стандартной прямой модели ЭЭГ/МЭГ. Это ограничивает использование графовых вложений для объяснимого анализа нейрофизиологических данных.</w:t>
      </w:r>
    </w:p>
    <w:p w14:paraId="00000014" w14:textId="77777777" w:rsidR="003C3877" w:rsidRDefault="00000000">
      <w:pPr>
        <w:pStyle w:val="Heading2"/>
        <w:keepNext w:val="0"/>
        <w:keepLines w:val="0"/>
        <w:spacing w:before="360" w:after="80"/>
        <w:ind w:left="720" w:hanging="360"/>
        <w:rPr>
          <w:rFonts w:ascii="Times New Roman" w:eastAsia="Times New Roman" w:hAnsi="Times New Roman" w:cs="Times New Roman"/>
          <w:sz w:val="34"/>
          <w:szCs w:val="34"/>
        </w:rPr>
      </w:pPr>
      <w:bookmarkStart w:id="6" w:name="_qcke4cc18e50" w:colFirst="0" w:colLast="0"/>
      <w:bookmarkEnd w:id="6"/>
      <w:r>
        <w:rPr>
          <w:rFonts w:ascii="Times New Roman" w:eastAsia="Times New Roman" w:hAnsi="Times New Roman" w:cs="Times New Roman"/>
          <w:sz w:val="34"/>
          <w:szCs w:val="34"/>
        </w:rPr>
        <w:t>Поиск индуцированной активности</w:t>
      </w:r>
    </w:p>
    <w:p w14:paraId="00000015" w14:textId="77777777" w:rsidR="003C387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Традиционно в парадигме с многократными пробами выделяют два типа активности [15–18]:</w:t>
      </w:r>
    </w:p>
    <w:p w14:paraId="00000016" w14:textId="77777777" w:rsidR="003C3877" w:rsidRDefault="00000000">
      <w:pPr>
        <w:numPr>
          <w:ilvl w:val="0"/>
          <w:numId w:val="1"/>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Вызванная активность (evoked activity):</w:t>
      </w:r>
      <w:r>
        <w:rPr>
          <w:rFonts w:ascii="Times New Roman" w:eastAsia="Times New Roman" w:hAnsi="Times New Roman" w:cs="Times New Roman"/>
          <w:sz w:val="28"/>
          <w:szCs w:val="28"/>
        </w:rPr>
        <w:t xml:space="preserve"> жестко привязана к стимулу по времени и фазе. Её выделение считается относительно «прямолинейной» задачей: усреднение эпох по пробам подавляет шум и сохраняет фазово-синхронизированный сигнал [19, 20]. Это повышает соотношение сигнал/шум (SNR), позволяя решать обратную задачу с использованием ковариационной матрицы усреднённой эпохи.</w:t>
      </w:r>
    </w:p>
    <w:p w14:paraId="00000017" w14:textId="77777777" w:rsidR="003C3877" w:rsidRDefault="00000000">
      <w:pPr>
        <w:numPr>
          <w:ilvl w:val="0"/>
          <w:numId w:val="1"/>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Индуцированная активность (induced activity):</w:t>
      </w:r>
      <w:r>
        <w:rPr>
          <w:rFonts w:ascii="Times New Roman" w:eastAsia="Times New Roman" w:hAnsi="Times New Roman" w:cs="Times New Roman"/>
          <w:sz w:val="28"/>
          <w:szCs w:val="28"/>
        </w:rPr>
        <w:t xml:space="preserve"> связана с событием по времени, но обладает высокой вариабельностью фазы между пробами. При усреднении такие сигналы взаимно вычитаются, что делает стандартные подходы неприменимыми. Для их локализации требуются методы, основанные на анализе мощности огибающей.</w:t>
      </w:r>
    </w:p>
    <w:p w14:paraId="00000018" w14:textId="77777777" w:rsidR="003C3877" w:rsidRDefault="00000000">
      <w:pPr>
        <w:spacing w:before="240" w:after="24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При наличии внешней переменной проблема решается семейством методов SPoC. Метод </w:t>
      </w:r>
      <w:r>
        <w:rPr>
          <w:rFonts w:ascii="Times New Roman" w:eastAsia="Times New Roman" w:hAnsi="Times New Roman" w:cs="Times New Roman"/>
          <w:b/>
          <w:bCs/>
          <w:sz w:val="28"/>
          <w:szCs w:val="28"/>
        </w:rPr>
        <w:t>mSPoC</w:t>
      </w:r>
      <w:r>
        <w:rPr>
          <w:rFonts w:ascii="Times New Roman" w:eastAsia="Times New Roman" w:hAnsi="Times New Roman" w:cs="Times New Roman"/>
          <w:sz w:val="28"/>
          <w:szCs w:val="28"/>
        </w:rPr>
        <w:t xml:space="preserve"> [21] предназначен для поиска компонентов, огибающая которых максимально комодулирует с проекцией многомерных внешних переменных. </w:t>
      </w:r>
      <w:r>
        <w:rPr>
          <w:rFonts w:ascii="Times New Roman" w:eastAsia="Times New Roman" w:hAnsi="Times New Roman" w:cs="Times New Roman"/>
          <w:b/>
          <w:bCs/>
          <w:sz w:val="28"/>
          <w:szCs w:val="28"/>
        </w:rPr>
        <w:t>SPoC</w:t>
      </w:r>
      <w:r>
        <w:rPr>
          <w:rFonts w:ascii="Times New Roman" w:eastAsia="Times New Roman" w:hAnsi="Times New Roman" w:cs="Times New Roman"/>
          <w:sz w:val="28"/>
          <w:szCs w:val="28"/>
        </w:rPr>
        <w:t xml:space="preserve"> [4] предоставляет линейное решение для одномерной переменной. Алгоритм </w:t>
      </w:r>
      <w:r>
        <w:rPr>
          <w:rFonts w:ascii="Times New Roman" w:eastAsia="Times New Roman" w:hAnsi="Times New Roman" w:cs="Times New Roman"/>
          <w:b/>
          <w:bCs/>
          <w:sz w:val="28"/>
          <w:szCs w:val="28"/>
        </w:rPr>
        <w:t>cSPoC</w:t>
      </w:r>
      <w:r>
        <w:rPr>
          <w:rFonts w:ascii="Times New Roman" w:eastAsia="Times New Roman" w:hAnsi="Times New Roman" w:cs="Times New Roman"/>
          <w:sz w:val="28"/>
          <w:szCs w:val="28"/>
        </w:rPr>
        <w:t xml:space="preserve"> [22] реализует поиск компонент в двух наборах данных, огибающие которых коррелируют между собой, что актуально для задач гиперсканирования, но не всегда оптимально для многопробной парадигмы без внешних переменных.</w:t>
      </w:r>
    </w:p>
    <w:p w14:paraId="00000019" w14:textId="77777777" w:rsidR="003C3877" w:rsidRPr="0068310C" w:rsidRDefault="00000000">
      <w:pPr>
        <w:pStyle w:val="Heading2"/>
        <w:rPr>
          <w:lang w:val="en-US"/>
        </w:rPr>
      </w:pPr>
      <w:bookmarkStart w:id="7" w:name="_q8pkaj5p53m3" w:colFirst="0" w:colLast="0"/>
      <w:bookmarkEnd w:id="7"/>
      <w:r w:rsidRPr="0068310C">
        <w:rPr>
          <w:lang w:val="en-US"/>
        </w:rPr>
        <w:t>Extended Source Power Comodulation (</w:t>
      </w:r>
      <w:r w:rsidRPr="0068310C">
        <w:rPr>
          <w:rFonts w:ascii="Times New Roman" w:eastAsia="Times New Roman" w:hAnsi="Times New Roman" w:cs="Times New Roman"/>
          <w:sz w:val="28"/>
          <w:szCs w:val="28"/>
          <w:lang w:val="en-US"/>
        </w:rPr>
        <w:t>eSPoC</w:t>
      </w:r>
      <w:r w:rsidRPr="0068310C">
        <w:rPr>
          <w:lang w:val="en-US"/>
        </w:rPr>
        <w:t>)</w:t>
      </w:r>
    </w:p>
    <w:p w14:paraId="0000001A" w14:textId="77777777" w:rsidR="003C3877"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данной работе предлагается метод </w:t>
      </w:r>
      <w:r>
        <w:rPr>
          <w:rFonts w:ascii="Times New Roman" w:eastAsia="Times New Roman" w:hAnsi="Times New Roman" w:cs="Times New Roman"/>
          <w:b/>
          <w:bCs/>
          <w:sz w:val="28"/>
          <w:szCs w:val="28"/>
        </w:rPr>
        <w:t>eSPoC</w:t>
      </w:r>
      <w:r>
        <w:rPr>
          <w:rFonts w:ascii="Times New Roman" w:eastAsia="Times New Roman" w:hAnsi="Times New Roman" w:cs="Times New Roman"/>
          <w:sz w:val="28"/>
          <w:szCs w:val="28"/>
        </w:rPr>
        <w:t>, использующий координаты нелинейного вложения в качестве многомерных регрессионных переменных, что позволяет извлекать индуцированные источники, ассоциированные с локальной динамикой на манифолде.</w:t>
      </w:r>
    </w:p>
    <w:p w14:paraId="0000001B" w14:textId="77777777" w:rsidR="003C3877" w:rsidRDefault="00000000">
      <w:pPr>
        <w:pStyle w:val="Heading2"/>
        <w:keepNext w:val="0"/>
        <w:keepLines w:val="0"/>
        <w:spacing w:before="280"/>
      </w:pPr>
      <w:bookmarkStart w:id="8" w:name="_db5e5piuyl06" w:colFirst="0" w:colLast="0"/>
      <w:bookmarkEnd w:id="8"/>
      <w:r>
        <w:t>Список литературы</w:t>
      </w:r>
    </w:p>
    <w:p w14:paraId="0000001C" w14:textId="77777777" w:rsidR="003C3877" w:rsidRPr="0068310C" w:rsidRDefault="00000000">
      <w:pPr>
        <w:numPr>
          <w:ilvl w:val="0"/>
          <w:numId w:val="2"/>
        </w:numPr>
        <w:spacing w:before="240"/>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Haufe, S.</w:t>
      </w:r>
      <w:r w:rsidRPr="0068310C">
        <w:rPr>
          <w:rFonts w:ascii="Times New Roman" w:eastAsia="Times New Roman" w:hAnsi="Times New Roman" w:cs="Times New Roman"/>
          <w:sz w:val="28"/>
          <w:szCs w:val="28"/>
          <w:lang w:val="en-US"/>
        </w:rPr>
        <w:t xml:space="preserve"> On the interpretation of weight vectors of linear classifiers in multivariate neuroimaging / S. Haufe, F. Meinecke, K. Görgen [et al.] // NeuroImage. – 2014. – Vol. 87. – P. 96–110.</w:t>
      </w:r>
    </w:p>
    <w:p w14:paraId="0000001D"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Kim, T.</w:t>
      </w:r>
      <w:r w:rsidRPr="0068310C">
        <w:rPr>
          <w:rFonts w:ascii="Times New Roman" w:eastAsia="Times New Roman" w:hAnsi="Times New Roman" w:cs="Times New Roman"/>
          <w:sz w:val="28"/>
          <w:szCs w:val="28"/>
          <w:lang w:val="en-US"/>
        </w:rPr>
        <w:t xml:space="preserve"> Independent Vector Analysis: An Extension of ICA to Multivariate Components / T. Kim, T. Eltoft, T. W. Lee // Independent Component Analysis and Blind Signal Separation. – Heidelberg : Springer, 2006. – P. 165–172.</w:t>
      </w:r>
    </w:p>
    <w:p w14:paraId="0000001E"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Chen, X.</w:t>
      </w:r>
      <w:r w:rsidRPr="0068310C">
        <w:rPr>
          <w:rFonts w:ascii="Times New Roman" w:eastAsia="Times New Roman" w:hAnsi="Times New Roman" w:cs="Times New Roman"/>
          <w:sz w:val="28"/>
          <w:szCs w:val="28"/>
          <w:lang w:val="en-US"/>
        </w:rPr>
        <w:t xml:space="preserve"> Independent Vector Analysis Applied to Remove Muscle Artifacts in EEG Data / X. Chen, H. Peng, F. Yu, K. Wang // IEEE Transactions on Instrumentation and Measurement. – 2017. – Vol. 66, № 7. – P. 1770–1779.</w:t>
      </w:r>
    </w:p>
    <w:p w14:paraId="0000001F"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Dähne, S.</w:t>
      </w:r>
      <w:r w:rsidRPr="0068310C">
        <w:rPr>
          <w:rFonts w:ascii="Times New Roman" w:eastAsia="Times New Roman" w:hAnsi="Times New Roman" w:cs="Times New Roman"/>
          <w:sz w:val="28"/>
          <w:szCs w:val="28"/>
          <w:lang w:val="en-US"/>
        </w:rPr>
        <w:t xml:space="preserve"> SPoC: A novel framework for relating the amplitude of neuronal oscillations to behaviorally relevant parameters / S. Dähne, F. C. Meinecke, S. Haufe [et al.] // NeuroImage. – 2014. – Vol. 86. – P. 111–122.</w:t>
      </w:r>
    </w:p>
    <w:p w14:paraId="00000020"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lastRenderedPageBreak/>
        <w:t>Tenenbaum, J. B.</w:t>
      </w:r>
      <w:r w:rsidRPr="0068310C">
        <w:rPr>
          <w:rFonts w:ascii="Times New Roman" w:eastAsia="Times New Roman" w:hAnsi="Times New Roman" w:cs="Times New Roman"/>
          <w:sz w:val="28"/>
          <w:szCs w:val="28"/>
          <w:lang w:val="en-US"/>
        </w:rPr>
        <w:t xml:space="preserve"> A Global Geometric Framework for Nonlinear Dimensionality Reduction / J. B. Tenenbaum, V. de Silva, J. C. Langford // Science. – 2000. – Vol. 290, № 5500. – P. 2319–2323.</w:t>
      </w:r>
    </w:p>
    <w:p w14:paraId="00000021"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Belkin, M.</w:t>
      </w:r>
      <w:r w:rsidRPr="0068310C">
        <w:rPr>
          <w:rFonts w:ascii="Times New Roman" w:eastAsia="Times New Roman" w:hAnsi="Times New Roman" w:cs="Times New Roman"/>
          <w:sz w:val="28"/>
          <w:szCs w:val="28"/>
          <w:lang w:val="en-US"/>
        </w:rPr>
        <w:t xml:space="preserve"> Laplacian Eigenmaps for Dimensionality Reduction and Data Representation / M. Belkin, P. Niyogi // Neural Computation. – 2003. – Vol. 15, № 6. – P. 1373–1396.</w:t>
      </w:r>
    </w:p>
    <w:p w14:paraId="00000022"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Coifman, R. R.</w:t>
      </w:r>
      <w:r w:rsidRPr="0068310C">
        <w:rPr>
          <w:rFonts w:ascii="Times New Roman" w:eastAsia="Times New Roman" w:hAnsi="Times New Roman" w:cs="Times New Roman"/>
          <w:sz w:val="28"/>
          <w:szCs w:val="28"/>
          <w:lang w:val="en-US"/>
        </w:rPr>
        <w:t xml:space="preserve"> Diffusion maps / R. R. Coifman, S. Lafon // Applied and Computational Harmonic Analysis. – 2006. – Vol. 21, № 1. – P. 5–30.</w:t>
      </w:r>
    </w:p>
    <w:p w14:paraId="00000023"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Maaten, L. van der.</w:t>
      </w:r>
      <w:r w:rsidRPr="0068310C">
        <w:rPr>
          <w:rFonts w:ascii="Times New Roman" w:eastAsia="Times New Roman" w:hAnsi="Times New Roman" w:cs="Times New Roman"/>
          <w:sz w:val="28"/>
          <w:szCs w:val="28"/>
          <w:lang w:val="en-US"/>
        </w:rPr>
        <w:t xml:space="preserve"> Visualizing Data using t-SNE / L. van der Maaten, G. Hinton // Journal of Machine Learning Research. – 2008. – Vol. 9, № 86. – P. 2579–2605.</w:t>
      </w:r>
    </w:p>
    <w:p w14:paraId="00000024"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Tang, J.</w:t>
      </w:r>
      <w:r w:rsidRPr="0068310C">
        <w:rPr>
          <w:rFonts w:ascii="Times New Roman" w:eastAsia="Times New Roman" w:hAnsi="Times New Roman" w:cs="Times New Roman"/>
          <w:sz w:val="28"/>
          <w:szCs w:val="28"/>
          <w:lang w:val="en-US"/>
        </w:rPr>
        <w:t xml:space="preserve"> Visualizing Large-Scale and High-Dimensional Data / J. Tang, J. Liu, M. Zhang, Q. Mei // Proceedings of the 25th International Conference on World Wide Web. – 2016. – P. 287–297.</w:t>
      </w:r>
    </w:p>
    <w:p w14:paraId="00000025"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McInnes, L.</w:t>
      </w:r>
      <w:r w:rsidRPr="0068310C">
        <w:rPr>
          <w:rFonts w:ascii="Times New Roman" w:eastAsia="Times New Roman" w:hAnsi="Times New Roman" w:cs="Times New Roman"/>
          <w:sz w:val="28"/>
          <w:szCs w:val="28"/>
          <w:lang w:val="en-US"/>
        </w:rPr>
        <w:t xml:space="preserve"> UMAP: Uniform Manifold Approximation and Projection for Dimension Reduction / L. McInnes, J. Healy, J. Melville // arXiv preprint arXiv:1802.03426. – 2018.</w:t>
      </w:r>
    </w:p>
    <w:p w14:paraId="00000026"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Du, Y.</w:t>
      </w:r>
      <w:r w:rsidRPr="0068310C">
        <w:rPr>
          <w:rFonts w:ascii="Times New Roman" w:eastAsia="Times New Roman" w:hAnsi="Times New Roman" w:cs="Times New Roman"/>
          <w:sz w:val="28"/>
          <w:szCs w:val="28"/>
          <w:lang w:val="en-US"/>
        </w:rPr>
        <w:t xml:space="preserve"> Motor Intent Recognition of Multi-Feature Fusion EEG Signals by UMAP Algorithm / Y. Du, J. Sui, S. Wang [et al.] // Medical &amp; Biological Engineering &amp; Computing. – 2023. – Vol. 61, № 10. – P. 2665–2676.</w:t>
      </w:r>
    </w:p>
    <w:p w14:paraId="00000027"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Deng, Y.</w:t>
      </w:r>
      <w:r w:rsidRPr="0068310C">
        <w:rPr>
          <w:rFonts w:ascii="Times New Roman" w:eastAsia="Times New Roman" w:hAnsi="Times New Roman" w:cs="Times New Roman"/>
          <w:sz w:val="28"/>
          <w:szCs w:val="28"/>
          <w:lang w:val="en-US"/>
        </w:rPr>
        <w:t xml:space="preserve"> UMAP for dimensionality reduction in sleep stage classification using EEG data / Y. Deng, H. Albidah, H. Cheng [et al.] // 46th Annual International Conference of the IEEE EMBS. – 2024. – P. 1–4.</w:t>
      </w:r>
    </w:p>
    <w:p w14:paraId="00000028"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Rutkowski, T. M.</w:t>
      </w:r>
      <w:r w:rsidRPr="0068310C">
        <w:rPr>
          <w:rFonts w:ascii="Times New Roman" w:eastAsia="Times New Roman" w:hAnsi="Times New Roman" w:cs="Times New Roman"/>
          <w:sz w:val="28"/>
          <w:szCs w:val="28"/>
          <w:lang w:val="en-US"/>
        </w:rPr>
        <w:t xml:space="preserve"> Mild cognitive impairment prediction and cognitive score regression in the elderly using EEG topological data analysis... / T. M. Rutkowski, T. Komendziński, M. Otake-Matsuura // Frontiers in Aging Neuroscience. – 2024. – Vol. 15.</w:t>
      </w:r>
    </w:p>
    <w:p w14:paraId="00000029"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Rutkowski, T. M.</w:t>
      </w:r>
      <w:r w:rsidRPr="0068310C">
        <w:rPr>
          <w:rFonts w:ascii="Times New Roman" w:eastAsia="Times New Roman" w:hAnsi="Times New Roman" w:cs="Times New Roman"/>
          <w:sz w:val="28"/>
          <w:szCs w:val="28"/>
          <w:lang w:val="en-US"/>
        </w:rPr>
        <w:t xml:space="preserve"> Machine learning approach for early onset dementia neurobiomarker using EEG network topology features / T. M. Rutkowski, M. S. Abe, T. Komendzinski [et al.] // Frontiers in Human Neuroscience. – 2023. – Vol. 17.</w:t>
      </w:r>
    </w:p>
    <w:p w14:paraId="0000002A"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Klimesch, W.</w:t>
      </w:r>
      <w:r w:rsidRPr="0068310C">
        <w:rPr>
          <w:rFonts w:ascii="Times New Roman" w:eastAsia="Times New Roman" w:hAnsi="Times New Roman" w:cs="Times New Roman"/>
          <w:sz w:val="28"/>
          <w:szCs w:val="28"/>
          <w:lang w:val="en-US"/>
        </w:rPr>
        <w:t xml:space="preserve"> Alpha-band oscillations, attention, and controlled access to stored information / W. Klimesch // Trends in Cognitive Sciences. – 2012. – Vol. 16, № 12. – P. 606–617.</w:t>
      </w:r>
    </w:p>
    <w:p w14:paraId="0000002B"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lastRenderedPageBreak/>
        <w:t>Engel, A. K.</w:t>
      </w:r>
      <w:r w:rsidRPr="0068310C">
        <w:rPr>
          <w:rFonts w:ascii="Times New Roman" w:eastAsia="Times New Roman" w:hAnsi="Times New Roman" w:cs="Times New Roman"/>
          <w:sz w:val="28"/>
          <w:szCs w:val="28"/>
          <w:lang w:val="en-US"/>
        </w:rPr>
        <w:t xml:space="preserve"> Beta-band oscillations—signalling the status quo? / A. K. Engel, P. Fries // Current Opinion in Neurobiology. – 2010. – Vol. 20, № 2. – P. 156–165.</w:t>
      </w:r>
    </w:p>
    <w:p w14:paraId="0000002C"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Buzsáki, G.</w:t>
      </w:r>
      <w:r w:rsidRPr="0068310C">
        <w:rPr>
          <w:rFonts w:ascii="Times New Roman" w:eastAsia="Times New Roman" w:hAnsi="Times New Roman" w:cs="Times New Roman"/>
          <w:sz w:val="28"/>
          <w:szCs w:val="28"/>
          <w:lang w:val="en-US"/>
        </w:rPr>
        <w:t xml:space="preserve"> Rhythms of the Brain / G. Buzsáki. – Oxford : Oxford University Press, 2006.</w:t>
      </w:r>
    </w:p>
    <w:p w14:paraId="0000002D"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Fries, P.</w:t>
      </w:r>
      <w:r w:rsidRPr="0068310C">
        <w:rPr>
          <w:rFonts w:ascii="Times New Roman" w:eastAsia="Times New Roman" w:hAnsi="Times New Roman" w:cs="Times New Roman"/>
          <w:sz w:val="28"/>
          <w:szCs w:val="28"/>
          <w:lang w:val="en-US"/>
        </w:rPr>
        <w:t xml:space="preserve"> Neuronal gamma-band synchronization as a fundamental process in cortical computation / P. Fries // Annual Review of Neuroscience. – 2009. – Vol. 32, № 1. – P. 209–224.</w:t>
      </w:r>
    </w:p>
    <w:p w14:paraId="0000002E"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Pfurtscheller, G.</w:t>
      </w:r>
      <w:r w:rsidRPr="0068310C">
        <w:rPr>
          <w:rFonts w:ascii="Times New Roman" w:eastAsia="Times New Roman" w:hAnsi="Times New Roman" w:cs="Times New Roman"/>
          <w:sz w:val="28"/>
          <w:szCs w:val="28"/>
          <w:lang w:val="en-US"/>
        </w:rPr>
        <w:t xml:space="preserve"> Event-related EEG/MEG synchronization and desynchronization: Basic principles / G. Pfurtscheller, F. H. Lopes da Silva // Clinical Neurophysiology. – 1999. – Vol. 110, № 11. – P. 1842–1857.</w:t>
      </w:r>
    </w:p>
    <w:p w14:paraId="0000002F"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Parra, L. C.</w:t>
      </w:r>
      <w:r w:rsidRPr="0068310C">
        <w:rPr>
          <w:rFonts w:ascii="Times New Roman" w:eastAsia="Times New Roman" w:hAnsi="Times New Roman" w:cs="Times New Roman"/>
          <w:sz w:val="28"/>
          <w:szCs w:val="28"/>
          <w:lang w:val="en-US"/>
        </w:rPr>
        <w:t xml:space="preserve"> Recipes for the linear analysis of EEG / L. C. Parra, C. D. Spence, A. D. Gerson, P. Sajda // NeuroImage. – 2005. – Vol. 28, № 2. – P. 326–341.</w:t>
      </w:r>
    </w:p>
    <w:p w14:paraId="00000030" w14:textId="77777777" w:rsidR="003C3877" w:rsidRPr="0068310C" w:rsidRDefault="00000000">
      <w:pPr>
        <w:numPr>
          <w:ilvl w:val="0"/>
          <w:numId w:val="2"/>
        </w:numPr>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Dähne, S.</w:t>
      </w:r>
      <w:r w:rsidRPr="0068310C">
        <w:rPr>
          <w:rFonts w:ascii="Times New Roman" w:eastAsia="Times New Roman" w:hAnsi="Times New Roman" w:cs="Times New Roman"/>
          <w:sz w:val="28"/>
          <w:szCs w:val="28"/>
          <w:lang w:val="en-US"/>
        </w:rPr>
        <w:t xml:space="preserve"> Integration of Multivariate Data Streams With Bandpower Signals / S. Dähne, F. Bießmann, F. C. Meinecke [et al.] // IEEE Transactions on Multimedia. – 2013. – Vol. 15, № 5. – P. 1001–1013.</w:t>
      </w:r>
    </w:p>
    <w:p w14:paraId="00000031" w14:textId="77777777" w:rsidR="003C3877" w:rsidRPr="0068310C" w:rsidRDefault="00000000">
      <w:pPr>
        <w:numPr>
          <w:ilvl w:val="0"/>
          <w:numId w:val="2"/>
        </w:numPr>
        <w:spacing w:after="240"/>
        <w:rPr>
          <w:rFonts w:ascii="Times New Roman" w:eastAsia="Times New Roman" w:hAnsi="Times New Roman" w:cs="Times New Roman"/>
          <w:sz w:val="28"/>
          <w:szCs w:val="28"/>
          <w:lang w:val="en-US"/>
        </w:rPr>
      </w:pPr>
      <w:r w:rsidRPr="0068310C">
        <w:rPr>
          <w:rFonts w:ascii="Times New Roman" w:eastAsia="Times New Roman" w:hAnsi="Times New Roman" w:cs="Times New Roman"/>
          <w:b/>
          <w:bCs/>
          <w:sz w:val="28"/>
          <w:szCs w:val="28"/>
          <w:lang w:val="en-US"/>
        </w:rPr>
        <w:t>Dähne, S.</w:t>
      </w:r>
      <w:r w:rsidRPr="0068310C">
        <w:rPr>
          <w:rFonts w:ascii="Times New Roman" w:eastAsia="Times New Roman" w:hAnsi="Times New Roman" w:cs="Times New Roman"/>
          <w:sz w:val="28"/>
          <w:szCs w:val="28"/>
          <w:lang w:val="en-US"/>
        </w:rPr>
        <w:t xml:space="preserve"> Finding brain oscillations with power dependencies in neuroimaging data / S. Dähne, V. V. Nikulin, D. Ramírez [et al.] // NeuroImage. – 2014. – Vol. 96. – P. 334–348.</w:t>
      </w:r>
    </w:p>
    <w:p w14:paraId="00000032" w14:textId="77777777" w:rsidR="003C3877" w:rsidRPr="0068310C" w:rsidRDefault="003C3877">
      <w:pPr>
        <w:jc w:val="both"/>
        <w:rPr>
          <w:rFonts w:ascii="Times New Roman" w:eastAsia="Times New Roman" w:hAnsi="Times New Roman" w:cs="Times New Roman"/>
          <w:sz w:val="28"/>
          <w:szCs w:val="28"/>
          <w:lang w:val="en-US"/>
        </w:rPr>
      </w:pPr>
    </w:p>
    <w:p w14:paraId="00000033" w14:textId="77777777" w:rsidR="003C3877" w:rsidRPr="0068310C" w:rsidRDefault="003C3877">
      <w:pPr>
        <w:jc w:val="both"/>
        <w:rPr>
          <w:rFonts w:ascii="Times New Roman" w:eastAsia="Times New Roman" w:hAnsi="Times New Roman" w:cs="Times New Roman"/>
          <w:sz w:val="28"/>
          <w:szCs w:val="28"/>
          <w:lang w:val="en-US"/>
        </w:rPr>
      </w:pPr>
    </w:p>
    <w:p w14:paraId="00000034" w14:textId="77777777" w:rsidR="003C3877" w:rsidRPr="0068310C" w:rsidRDefault="003C3877">
      <w:pPr>
        <w:jc w:val="both"/>
        <w:rPr>
          <w:rFonts w:ascii="Times New Roman" w:eastAsia="Times New Roman" w:hAnsi="Times New Roman" w:cs="Times New Roman"/>
          <w:sz w:val="28"/>
          <w:szCs w:val="28"/>
          <w:lang w:val="en-US"/>
        </w:rPr>
      </w:pPr>
    </w:p>
    <w:p w14:paraId="00000035" w14:textId="77777777" w:rsidR="003C3877" w:rsidRPr="0068310C" w:rsidRDefault="003C3877">
      <w:pPr>
        <w:jc w:val="both"/>
        <w:rPr>
          <w:rFonts w:ascii="Times New Roman" w:eastAsia="Times New Roman" w:hAnsi="Times New Roman" w:cs="Times New Roman"/>
          <w:sz w:val="28"/>
          <w:szCs w:val="28"/>
          <w:lang w:val="en-US"/>
        </w:rPr>
      </w:pPr>
    </w:p>
    <w:sectPr w:rsidR="003C3877" w:rsidRPr="0068310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ikita Otstavnov" w:date="2026-04-22T13:47:00Z" w:initials="">
    <w:p w14:paraId="00000037" w14:textId="77777777" w:rsidR="003C3877" w:rsidRDefault="00000000">
      <w:pPr>
        <w:widowControl w:val="0"/>
        <w:pBdr>
          <w:top w:val="nil"/>
          <w:left w:val="nil"/>
          <w:bottom w:val="nil"/>
          <w:right w:val="nil"/>
          <w:between w:val="nil"/>
        </w:pBdr>
        <w:spacing w:line="240" w:lineRule="auto"/>
        <w:rPr>
          <w:color w:val="000000"/>
        </w:rPr>
      </w:pPr>
      <w:r>
        <w:rPr>
          <w:color w:val="000000"/>
        </w:rPr>
        <w:t>раз у тебя идет сравнение методов, то лучше в конце текста дать таблицу с их сравнением.</w:t>
      </w:r>
    </w:p>
  </w:comment>
  <w:comment w:id="4" w:author="Nikita Otstavnov" w:date="2026-04-22T13:50:00Z" w:initials="">
    <w:p w14:paraId="00000036" w14:textId="77777777" w:rsidR="003C3877" w:rsidRDefault="00000000">
      <w:pPr>
        <w:widowControl w:val="0"/>
        <w:pBdr>
          <w:top w:val="nil"/>
          <w:left w:val="nil"/>
          <w:bottom w:val="nil"/>
          <w:right w:val="nil"/>
          <w:between w:val="nil"/>
        </w:pBdr>
        <w:spacing w:line="240" w:lineRule="auto"/>
        <w:rPr>
          <w:color w:val="000000"/>
        </w:rPr>
      </w:pPr>
      <w:r>
        <w:rPr>
          <w:color w:val="000000"/>
        </w:rPr>
        <w:t>для всего, что ты описываешь, хочется какой-то детализации и математики. Потому что по сути речь идет про сравнения различных методов анализа данных. Пока получается, что как будто по названиям их сравниваем</w:t>
      </w:r>
    </w:p>
  </w:comment>
  <w:comment w:id="5" w:author="Nikita Otstavnov" w:date="2026-04-22T13:49:00Z" w:initials="">
    <w:p w14:paraId="00000038" w14:textId="77777777" w:rsidR="003C3877" w:rsidRDefault="00000000">
      <w:pPr>
        <w:widowControl w:val="0"/>
        <w:pBdr>
          <w:top w:val="nil"/>
          <w:left w:val="nil"/>
          <w:bottom w:val="nil"/>
          <w:right w:val="nil"/>
          <w:between w:val="nil"/>
        </w:pBdr>
        <w:spacing w:line="240" w:lineRule="auto"/>
        <w:rPr>
          <w:color w:val="000000"/>
        </w:rPr>
      </w:pPr>
      <w:r>
        <w:rPr>
          <w:color w:val="000000"/>
        </w:rPr>
        <w:t>Манифольд (от англ. manifold — коллектор, распределитель) — компонент трубопроводной системы, который предназначен для объединения или разделения потоков жидкостей, газов или других рабочих сред.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37" w15:done="0"/>
  <w15:commentEx w15:paraId="00000036" w15:done="0"/>
  <w15:commentEx w15:paraId="000000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37" w16cid:durableId="00000037"/>
  <w16cid:commentId w16cid:paraId="00000036" w16cid:durableId="00000036"/>
  <w16cid:commentId w16cid:paraId="00000038" w16cid:durableId="000000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F25034F9-A9CD-475F-8002-5C7E532AD5AE}"/>
    <w:embedItalic r:id="rId2" w:fontKey="{B38A894E-487A-48CA-903B-31A0DAC45F19}"/>
  </w:font>
  <w:font w:name="Calibri">
    <w:panose1 w:val="020F0502020204030204"/>
    <w:charset w:val="00"/>
    <w:family w:val="swiss"/>
    <w:pitch w:val="variable"/>
    <w:sig w:usb0="E4002EFF" w:usb1="C000247B" w:usb2="00000009" w:usb3="00000000" w:csb0="000001FF" w:csb1="00000000"/>
    <w:embedRegular r:id="rId3" w:fontKey="{DCDC8856-B9BF-4FB0-8271-0B3572AA0D3A}"/>
  </w:font>
  <w:font w:name="Cambria">
    <w:panose1 w:val="02040503050406030204"/>
    <w:charset w:val="00"/>
    <w:family w:val="roman"/>
    <w:pitch w:val="variable"/>
    <w:sig w:usb0="E00006FF" w:usb1="420024FF" w:usb2="02000000" w:usb3="00000000" w:csb0="0000019F" w:csb1="00000000"/>
    <w:embedRegular r:id="rId4" w:fontKey="{95A7BA88-34FC-4C50-8D1F-AEF4D874F6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695"/>
    <w:multiLevelType w:val="multilevel"/>
    <w:tmpl w:val="ADC27E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A3076B9"/>
    <w:multiLevelType w:val="hybridMultilevel"/>
    <w:tmpl w:val="E16A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6025F"/>
    <w:multiLevelType w:val="multilevel"/>
    <w:tmpl w:val="59FA46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97874122">
    <w:abstractNumId w:val="2"/>
  </w:num>
  <w:num w:numId="2" w16cid:durableId="974261044">
    <w:abstractNumId w:val="0"/>
  </w:num>
  <w:num w:numId="3" w16cid:durableId="85553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877"/>
    <w:rsid w:val="000118B7"/>
    <w:rsid w:val="00121032"/>
    <w:rsid w:val="003C3877"/>
    <w:rsid w:val="00423274"/>
    <w:rsid w:val="00683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A69AC"/>
  <w15:docId w15:val="{5CDE6BF8-6888-4FEA-8EA3-115320B4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line="360" w:lineRule="auto"/>
      <w:jc w:val="both"/>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121032"/>
    <w:pPr>
      <w:ind w:left="720"/>
      <w:contextualSpacing/>
    </w:pPr>
  </w:style>
  <w:style w:type="character" w:styleId="PlaceholderText">
    <w:name w:val="Placeholder Text"/>
    <w:basedOn w:val="DefaultParagraphFont"/>
    <w:uiPriority w:val="99"/>
    <w:semiHidden/>
    <w:rsid w:val="001210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1522</Words>
  <Characters>8677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ansbel</cp:lastModifiedBy>
  <cp:revision>4</cp:revision>
  <dcterms:created xsi:type="dcterms:W3CDTF">2026-06-20T14:26:00Z</dcterms:created>
  <dcterms:modified xsi:type="dcterms:W3CDTF">2026-06-20T14:42:00Z</dcterms:modified>
</cp:coreProperties>
</file>