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Lines w:val="0"/>
        <w:widowControl w:val="0"/>
        <w:spacing w:after="120" w:before="240" w:line="240" w:lineRule="auto"/>
        <w:jc w:val="center"/>
        <w:rPr>
          <w:b w:val="1"/>
          <w:color w:val="00000a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56"/>
          <w:szCs w:val="56"/>
          <w:rtl w:val="0"/>
        </w:rPr>
        <w:t xml:space="preserve">Лабораторна робота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Lines w:val="0"/>
        <w:widowControl w:val="0"/>
        <w:spacing w:after="120" w:before="240" w:line="240" w:lineRule="auto"/>
        <w:jc w:val="center"/>
        <w:rPr>
          <w:rFonts w:ascii="Calibri" w:cs="Calibri" w:eastAsia="Calibri" w:hAnsi="Calibri"/>
          <w:b w:val="1"/>
          <w:color w:val="00000a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56"/>
          <w:szCs w:val="56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pStyle w:val="Subtitle"/>
        <w:keepLines w:val="0"/>
        <w:widowControl w:val="0"/>
        <w:spacing w:after="120" w:before="60" w:line="240" w:lineRule="auto"/>
        <w:jc w:val="center"/>
        <w:rPr>
          <w:rFonts w:ascii="Calibri" w:cs="Calibri" w:eastAsia="Calibri" w:hAnsi="Calibri"/>
          <w:color w:val="0000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rtl w:val="0"/>
        </w:rPr>
        <w:t xml:space="preserve">З дисципліни “</w:t>
      </w:r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highlight w:val="white"/>
          <w:rtl w:val="0"/>
        </w:rPr>
        <w:t xml:space="preserve">Хмарні технології</w:t>
      </w:r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pStyle w:val="Subtitle"/>
        <w:keepLines w:val="0"/>
        <w:widowControl w:val="0"/>
        <w:spacing w:after="120" w:before="60" w:line="240" w:lineRule="auto"/>
        <w:jc w:val="center"/>
        <w:rPr>
          <w:rFonts w:ascii="Calibri" w:cs="Calibri" w:eastAsia="Calibri" w:hAnsi="Calibri"/>
          <w:color w:val="00000a"/>
          <w:sz w:val="36"/>
          <w:szCs w:val="36"/>
        </w:rPr>
      </w:pPr>
      <w:bookmarkStart w:colFirst="0" w:colLast="0" w:name="_csyyvzmgvtcp" w:id="0"/>
      <w:bookmarkEnd w:id="0"/>
      <w:r w:rsidDel="00000000" w:rsidR="00000000" w:rsidRPr="00000000">
        <w:rPr>
          <w:rFonts w:ascii="Calibri" w:cs="Calibri" w:eastAsia="Calibri" w:hAnsi="Calibri"/>
          <w:color w:val="00000a"/>
          <w:sz w:val="36"/>
          <w:szCs w:val="36"/>
          <w:rtl w:val="0"/>
        </w:rPr>
        <w:t xml:space="preserve">МІТ-31, Бессараб Антон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Перш за все ми переходимо на портал Azure і обираємо пункт Entra ID , у групі Manage обераємо App registration, далі New registration.</w:t>
        <w:br w:type="textWrapping"/>
        <w:t xml:space="preserve">Вводимо ідентифікатор нашого додатку, в supported account types обираємо Accounts in any organizational directory (Any Microsoft Entra ID tenant - Multitenant) and personal Microsoft accounts. У Redirect URI вводимо наш порт у вигляді https://localhost:44321/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Після реєстрації у групі  Manage обираємо Authentication і для Redirect URIs обераємо Add URI, після цього введимо  https://localhost:44321/signin-oidc. Для Front-channel logout URL вводимо значення https://localhost:44321/signout-oidc. У розділі Implicit grant and hybrid flows відмічаємо пункт ID tokens. </w:t>
      </w: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Далі ми створюємо новий проєкт ASP.net Core і модифікуємо секцію AzureAd файлу appsettings.json.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494371" cy="33575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371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Замість Enter_the_Application_Id_here ми підставляємо значенням Application (client) ID зареєстрованого на порталі Azure додатку. TenantID ми лашаємо common бо наш додаток підтримує користувачів з довільним обліковим записом Microsoft.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Останнім кроком ми додаємо багатофакторну перевірку автентичності для свого додатку, використовуючи Azure Multi-Factor Authentication. Як бачимо він застосовується по замовчуванню.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Запустивши наш проект ми бачимо , що все працює і нас запитують наш обліковий запис microsoft для автентифікації.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7563" cy="354719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547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50340" cy="1681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340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Висновок</w:t>
      </w:r>
      <w:r w:rsidDel="00000000" w:rsidR="00000000" w:rsidRPr="00000000">
        <w:rPr>
          <w:rtl w:val="0"/>
        </w:rPr>
        <w:t xml:space="preserve">: у ході виконання лабораторної роботи я ознайомився з технологією Microsoft Azure Entra ID та її інтеграцією у веб-додатки на платформі ASP.NET Core MVC. Було створено тестовий веб-додаток, у який впроваджено систему автентифікації і авторизації.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