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САНКТ-ПЕТЕРБУРГСКИЙ НАЦИОНАЛЬНЫЙ</w:t>
      </w:r>
    </w:p>
    <w:p>
      <w:pPr>
        <w:spacing w:after="800"/>
        <w:jc w:val="center"/>
      </w:pPr>
      <w:r>
        <w:rPr>
          <w:rFonts w:ascii="Times New Roman" w:cs="Times New Roman" w:eastAsia="Times New Roman" w:hAnsi="Times New Roman"/>
          <w:b/>
          <w:bCs/>
          <w:sz w:val="24"/>
          <w:szCs w:val="24"/>
        </w:rPr>
        <w:t xml:space="preserve">ИССЛЕДОВАТЕЛЬСКИЙ УНИВЕРСИТЕТ ИТМО</w:t>
      </w:r>
    </w:p>
    <w:p>
      <w:pPr>
        <w:spacing w:after="2200"/>
      </w:pPr>
    </w:p>
    <w:p>
      <w:pPr>
        <w:spacing w:after="160" w:line="252"/>
        <w:jc w:val="center"/>
      </w:pPr>
      <w:r>
        <w:rPr>
          <w:rFonts w:ascii="Times New Roman" w:cs="Times New Roman" w:eastAsia="Times New Roman" w:hAnsi="Times New Roman"/>
          <w:b/>
          <w:bCs/>
          <w:sz w:val="24"/>
          <w:szCs w:val="24"/>
        </w:rPr>
        <w:t xml:space="preserve">Дисциплина: </w:t>
      </w:r>
      <w:r>
        <w:rPr>
          <w:rFonts w:ascii="Times New Roman" w:cs="Times New Roman" w:eastAsia="Times New Roman" w:hAnsi="Times New Roman"/>
          <w:sz w:val="24"/>
          <w:szCs w:val="24"/>
        </w:rPr>
        <w:t xml:space="preserve">Бекэнд разработка</w:t>
      </w:r>
    </w:p>
    <w:p>
      <w:pPr>
        <w:spacing w:after="300"/>
      </w:pPr>
    </w:p>
    <w:p>
      <w:pPr>
        <w:spacing w:after="160" w:line="252"/>
        <w:jc w:val="center"/>
      </w:pPr>
      <w:r>
        <w:rPr>
          <w:rFonts w:ascii="Times New Roman" w:cs="Times New Roman" w:eastAsia="Times New Roman" w:hAnsi="Times New Roman"/>
          <w:b/>
          <w:bCs/>
          <w:sz w:val="24"/>
          <w:szCs w:val="24"/>
        </w:rPr>
        <w:t xml:space="preserve">Отчет</w:t>
      </w:r>
    </w:p>
    <w:p>
      <w:pPr>
        <w:spacing w:after="100"/>
      </w:pPr>
    </w:p>
    <w:p>
      <w:pPr>
        <w:spacing w:after="160" w:line="252"/>
        <w:jc w:val="center"/>
      </w:pPr>
      <w:r>
        <w:rPr>
          <w:rFonts w:ascii="Times New Roman" w:cs="Times New Roman" w:eastAsia="Times New Roman" w:hAnsi="Times New Roman"/>
          <w:b/>
          <w:bCs/>
          <w:sz w:val="24"/>
          <w:szCs w:val="24"/>
        </w:rPr>
        <w:t xml:space="preserve">Лабораторная работа №2</w:t>
      </w:r>
    </w:p>
    <w:p>
      <w:pPr>
        <w:spacing w:after="160" w:line="252"/>
        <w:jc w:val="center"/>
      </w:pPr>
      <w:r>
        <w:rPr>
          <w:rFonts w:ascii="Times New Roman" w:cs="Times New Roman" w:eastAsia="Times New Roman" w:hAnsi="Times New Roman"/>
          <w:b/>
          <w:bCs/>
          <w:sz w:val="24"/>
          <w:szCs w:val="24"/>
        </w:rPr>
        <w:t xml:space="preserve">«Реализация микросервисов»</w:t>
      </w:r>
    </w:p>
    <w:p>
      <w:pPr>
        <w:spacing w:after="2400"/>
      </w:pPr>
    </w:p>
    <w:p>
      <w:pPr>
        <w:spacing w:after="0"/>
        <w:ind w:left="5040"/>
        <w:jc w:val="left"/>
      </w:pPr>
      <w:r>
        <w:rPr>
          <w:rFonts w:ascii="Times New Roman" w:cs="Times New Roman" w:eastAsia="Times New Roman" w:hAnsi="Times New Roman"/>
          <w:sz w:val="24"/>
          <w:szCs w:val="24"/>
        </w:rPr>
        <w:t xml:space="preserve">Выполнил:</w:t>
      </w:r>
    </w:p>
    <w:p>
      <w:pPr>
        <w:spacing w:after="0"/>
        <w:ind w:left="5040"/>
        <w:jc w:val="left"/>
      </w:pPr>
      <w:r>
        <w:rPr>
          <w:rFonts w:ascii="Times New Roman" w:cs="Times New Roman" w:eastAsia="Times New Roman" w:hAnsi="Times New Roman"/>
          <w:sz w:val="24"/>
          <w:szCs w:val="24"/>
        </w:rPr>
        <w:t xml:space="preserve">Дементьев Антон</w:t>
      </w:r>
    </w:p>
    <w:p>
      <w:pPr>
        <w:spacing w:after="600"/>
        <w:ind w:left="5040"/>
        <w:jc w:val="left"/>
      </w:pPr>
      <w:r>
        <w:rPr>
          <w:rFonts w:ascii="Times New Roman" w:cs="Times New Roman" w:eastAsia="Times New Roman" w:hAnsi="Times New Roman"/>
          <w:sz w:val="24"/>
          <w:szCs w:val="24"/>
        </w:rPr>
        <w:t xml:space="preserve">К3341</w:t>
      </w:r>
    </w:p>
    <w:p>
      <w:pPr>
        <w:spacing w:after="0"/>
        <w:ind w:left="5040"/>
        <w:jc w:val="left"/>
      </w:pPr>
      <w:r>
        <w:rPr>
          <w:rFonts w:ascii="Times New Roman" w:cs="Times New Roman" w:eastAsia="Times New Roman" w:hAnsi="Times New Roman"/>
          <w:sz w:val="24"/>
          <w:szCs w:val="24"/>
        </w:rPr>
        <w:t xml:space="preserve">Проверил:</w:t>
      </w:r>
    </w:p>
    <w:p>
      <w:pPr>
        <w:spacing w:after="2600"/>
        <w:ind w:left="5040"/>
        <w:jc w:val="left"/>
      </w:pPr>
      <w:r>
        <w:rPr>
          <w:rFonts w:ascii="Times New Roman" w:cs="Times New Roman" w:eastAsia="Times New Roman" w:hAnsi="Times New Roman"/>
          <w:sz w:val="24"/>
          <w:szCs w:val="24"/>
        </w:rPr>
        <w:t xml:space="preserve">Добряков Д. И.</w:t>
      </w:r>
    </w:p>
    <w:p>
      <w:pPr>
        <w:spacing w:after="3200"/>
      </w:pPr>
    </w:p>
    <w:p>
      <w:pPr>
        <w:spacing w:after="160" w:line="252"/>
        <w:jc w:val="center"/>
      </w:pPr>
      <w:r>
        <w:rPr>
          <w:rFonts w:ascii="Times New Roman" w:cs="Times New Roman" w:eastAsia="Times New Roman" w:hAnsi="Times New Roman"/>
          <w:sz w:val="24"/>
          <w:szCs w:val="24"/>
        </w:rPr>
        <w:t xml:space="preserve">Санкт-Петербург</w:t>
      </w:r>
    </w:p>
    <w:p>
      <w:pPr>
        <w:spacing w:after="160" w:line="252"/>
        <w:jc w:val="center"/>
      </w:pPr>
      <w:r>
        <w:rPr>
          <w:rFonts w:ascii="Times New Roman" w:cs="Times New Roman" w:eastAsia="Times New Roman" w:hAnsi="Times New Roman"/>
          <w:sz w:val="24"/>
          <w:szCs w:val="24"/>
        </w:rPr>
        <w:t xml:space="preserve">2026 г.</w:t>
      </w:r>
    </w:p>
    <w:p>
      <w:r>
        <w:br w:type="page"/>
      </w:r>
    </w:p>
    <w:p>
      <w:pPr>
        <w:sectPr>
          <w:pgSz w:w="11907" w:h="16840" w:orient="portrait"/>
          <w:pgMar w:top="1418" w:right="850" w:bottom="1418" w:left="1701" w:header="708" w:footer="708" w:gutter="0"/>
          <w:pgNumType/>
          <w:docGrid w:linePitch="360"/>
        </w:sectPr>
      </w:pPr>
    </w:p>
    <w:p>
      <w:pPr>
        <w:spacing w:after="140" w:before="280"/>
      </w:pPr>
      <w:r>
        <w:rPr>
          <w:rFonts w:ascii="Times New Roman" w:cs="Times New Roman" w:eastAsia="Times New Roman" w:hAnsi="Times New Roman"/>
          <w:b/>
          <w:bCs/>
          <w:color w:val="000000"/>
          <w:sz w:val="24"/>
          <w:szCs w:val="24"/>
        </w:rPr>
        <w:t xml:space="preserve">Вариант</w:t>
      </w:r>
    </w:p>
    <w:p>
      <w:pPr>
        <w:spacing w:after="160" w:line="252"/>
        <w:jc w:val="both"/>
      </w:pPr>
      <w:r>
        <w:rPr>
          <w:rFonts w:ascii="Times New Roman" w:cs="Times New Roman" w:eastAsia="Times New Roman" w:hAnsi="Times New Roman"/>
          <w:sz w:val="24"/>
          <w:szCs w:val="24"/>
        </w:rPr>
        <w:t xml:space="preserve">Сайт для поиска работы</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Вход</w:t>
      </w:r>
    </w:p>
    <w:p>
      <w:pPr>
        <w:pStyle w:val="ListParagraph"/>
        <w:numPr>
          <w:ilvl w:val="0"/>
          <w:numId w:val="2"/>
        </w:numPr>
        <w:spacing w:after="80" w:line="252"/>
        <w:jc w:val="both"/>
      </w:pPr>
      <w:r>
        <w:rPr>
          <w:rFonts w:ascii="Times New Roman" w:cs="Times New Roman" w:eastAsia="Times New Roman" w:hAnsi="Times New Roman"/>
          <w:sz w:val="24"/>
          <w:szCs w:val="24"/>
        </w:rPr>
        <w:t xml:space="preserve">Регистрация</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Личный кабинет пользователя (с резюме)</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Поиск вакансий с фильтрацией по отрасли, зарплате, опыту</w:t>
      </w:r>
    </w:p>
    <w:p>
      <w:pPr>
        <w:pStyle w:val="ListParagraph"/>
        <w:numPr>
          <w:ilvl w:val="0"/>
          <w:numId w:val="2"/>
        </w:numPr>
        <w:spacing w:after="80" w:line="252"/>
        <w:jc w:val="both"/>
      </w:pPr>
      <w:r>
        <w:rPr>
          <w:rFonts w:ascii="Times New Roman" w:cs="Times New Roman" w:eastAsia="Times New Roman" w:hAnsi="Times New Roman"/>
          <w:sz w:val="24"/>
          <w:szCs w:val="24"/>
        </w:rPr>
        <w:t xml:space="preserve">Страница с деталями вакансии (описание, требования, компания)</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Личный кабинет работодателя (управление вакансиями)</w:t>
      </w:r>
    </w:p>
    <w:p>
      <w:pPr>
        <w:spacing w:after="140" w:before="280"/>
      </w:pPr>
      <w:r>
        <w:rPr>
          <w:rFonts w:ascii="Times New Roman" w:cs="Times New Roman" w:eastAsia="Times New Roman" w:hAnsi="Times New Roman"/>
          <w:b/>
          <w:bCs/>
          <w:color w:val="000000"/>
          <w:sz w:val="24"/>
          <w:szCs w:val="24"/>
        </w:rPr>
        <w:t xml:space="preserve">Задача</w:t>
      </w:r>
    </w:p>
    <w:p>
      <w:pPr>
        <w:spacing w:after="160" w:line="252"/>
        <w:jc w:val="both"/>
      </w:pPr>
      <w:r>
        <w:rPr>
          <w:rFonts w:ascii="Times New Roman" w:cs="Times New Roman" w:eastAsia="Times New Roman" w:hAnsi="Times New Roman"/>
          <w:sz w:val="24"/>
          <w:szCs w:val="24"/>
        </w:rPr>
        <w:t xml:space="preserve">Опираясь на документ, сформированный в рамках ДЗ 4 («Технический дизайн микросервисной архитектуры»), реализовать разделение бэкенд-приложения сайта поиска работы (ЛР 1) на микросервисы: развернуть API Gateway и семь сервисов с собственными базами данных, реализовать межсервисное API, аутентификацию через JWT/JWKS и сервисные токены, асинхронный обмен событиями с гарантией доставки и проверить работу собранной системы сценарием Postman.</w:t>
      </w:r>
    </w:p>
    <w:p>
      <w:pPr>
        <w:spacing w:after="140" w:before="280"/>
      </w:pPr>
      <w:r>
        <w:rPr>
          <w:rFonts w:ascii="Times New Roman" w:cs="Times New Roman" w:eastAsia="Times New Roman" w:hAnsi="Times New Roman"/>
          <w:b/>
          <w:bCs/>
          <w:color w:val="000000"/>
          <w:sz w:val="24"/>
          <w:szCs w:val="24"/>
        </w:rPr>
        <w:t xml:space="preserve">Ход работы</w:t>
      </w:r>
    </w:p>
    <w:p>
      <w:pPr>
        <w:spacing w:after="160" w:line="252"/>
        <w:jc w:val="both"/>
      </w:pPr>
      <w:r>
        <w:rPr>
          <w:rFonts w:ascii="Times New Roman" w:cs="Times New Roman" w:eastAsia="Times New Roman" w:hAnsi="Times New Roman"/>
          <w:sz w:val="24"/>
          <w:szCs w:val="24"/>
        </w:rPr>
        <w:t xml:space="preserve">Монолитное приложение ЛР 1 разделено на семь микросервисов и API Gateway по границам, спроектированным в ДЗ 4 (database-per-service). Каждый сервис — отдельное Node.js/TypeScript-приложение на том же стеке, что и монолит (Express, routing-controllers, TypeORM), с собственной базой PostgreSQL и собственным пользователем БД. Общая для всех сервисов инфраструктурная логика (проверка JWT, ошибки, межсервисный HTTP-клиент, outbox/inbox) вынесена в пакет packages/common и используется всеми сервисами через npm workspaces. Публичный API для клиентов не изменился: те же 50 операций, что в ДЗ 2, доступны через единый адрес шлюза http://localhost:8080/api/v1.</w:t>
      </w:r>
    </w:p>
    <w:p>
      <w:pPr>
        <w:spacing w:after="160" w:line="252"/>
        <w:jc w:val="both"/>
      </w:pPr>
      <w:r>
        <w:rPr>
          <w:rFonts w:ascii="Times New Roman" w:cs="Times New Roman" w:eastAsia="Times New Roman" w:hAnsi="Times New Roman"/>
          <w:sz w:val="24"/>
          <w:szCs w:val="24"/>
        </w:rPr>
        <w:t xml:space="preserve">Система собирается и запускается одной командой docker compose up: восемь контейнеров сервисов (один и тот же образ jobsearch-services, разный CMD) и контейнер PostgreSQL 17 с семью базами данных, созданными init-скриптом. Проверка выполнена сценарием Postman из 40 запросов, воспроизводящим основной процесс: регистрация и вход работодателя и соискателя, создание компании и вакансий, отклик на вакансию, обработка отклика работодателем, рекомендации и негативные сценарии (повторный отклик, недопустимый переход статуса, запрос без токена).</w:t>
      </w:r>
    </w:p>
    <w:p>
      <w:pPr>
        <w:spacing w:after="140" w:before="280"/>
      </w:pPr>
      <w:r>
        <w:rPr>
          <w:rFonts w:ascii="Times New Roman" w:cs="Times New Roman" w:eastAsia="Times New Roman" w:hAnsi="Times New Roman"/>
          <w:b/>
          <w:bCs/>
          <w:color w:val="000000"/>
          <w:sz w:val="24"/>
          <w:szCs w:val="24"/>
        </w:rPr>
        <w:t xml:space="preserve">1. Состав реализованной системы</w:t>
      </w:r>
    </w:p>
    <w:p>
      <w:pPr>
        <w:spacing w:after="160" w:line="252"/>
        <w:jc w:val="both"/>
      </w:pPr>
      <w:r>
        <w:rPr>
          <w:rFonts w:ascii="Times New Roman" w:cs="Times New Roman" w:eastAsia="Times New Roman" w:hAnsi="Times New Roman"/>
          <w:sz w:val="24"/>
          <w:szCs w:val="24"/>
        </w:rPr>
        <w:t xml:space="preserve">Состав сервисов, портов и баз данных соответствует таблице 2.1 отчёта ДЗ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800"/>
        <w:gridCol w:w="2950"/>
      </w:tblGrid>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Сервис</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Ответственность</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БД</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Технологии</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api-gateway :8080</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Единая точка входа: маршрутизация по префиксам, проверка JWT, лимит запросов, X-Request-Id, /docs, агрегированный /health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нет</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Express, http-proxy-middleware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identity-service :8001</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Регистрация, вход, refresh-токены, профиль; подпись JWT (RS256), JWKS, выдача сервисных токенов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identity_db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Express, routing-controllers, TypeORM</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reference-service :8002</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Справочники отраслей и навыков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reference_db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vacancy-service :8003</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Компании, вакансии, поиск, избранное</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vacancy_db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resume-service :8004</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Резюме, опыт, образование, навыки</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resume_db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application-service :8005</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Отклики и их статусы, сверка целостности</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application_db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recommendation-service :8006</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Подбор вакансий/кандидатов по собственному индексу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recommendation_db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notification-service :8007</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«Отправка» писем с кодами подтверждения (тестовый ящик)</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notification_db</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то же</w:t>
            </w:r>
          </w:p>
        </w:tc>
      </w:tr>
    </w:tbl>
    <w:p>
      <w:pPr>
        <w:spacing w:after="160" w:line="252"/>
        <w:jc w:val="both"/>
      </w:pPr>
      <w:r>
        <w:rPr>
          <w:rFonts w:ascii="Times New Roman" w:cs="Times New Roman" w:eastAsia="Times New Roman" w:hAnsi="Times New Roman"/>
          <w:sz w:val="24"/>
          <w:szCs w:val="24"/>
        </w:rPr>
        <w:t xml:space="preserve">Каждая БД — отдельная база PostgreSQL со своим пользователем без прав на чужие базы (postgres/init.sql), в одном контейнере Postgres 17 (порт наружу 15432, как и в ЛР 1). Схема таблиц создаётся автосинхронизацией TypeORM.</w:t>
      </w:r>
    </w:p>
    <w:p>
      <w:pPr>
        <w:spacing w:after="140" w:before="280"/>
      </w:pPr>
      <w:r>
        <w:rPr>
          <w:rFonts w:ascii="Times New Roman" w:cs="Times New Roman" w:eastAsia="Times New Roman" w:hAnsi="Times New Roman"/>
          <w:b/>
          <w:bCs/>
          <w:color w:val="000000"/>
          <w:sz w:val="24"/>
          <w:szCs w:val="24"/>
        </w:rPr>
        <w:t xml:space="preserve">2. Общая архитектура и технологии</w:t>
      </w:r>
    </w:p>
    <w:p>
      <w:pPr>
        <w:spacing w:after="160" w:line="252"/>
        <w:jc w:val="both"/>
      </w:pPr>
      <w:r>
        <w:rPr>
          <w:rFonts w:ascii="Times New Roman" w:cs="Times New Roman" w:eastAsia="Times New Roman" w:hAnsi="Times New Roman"/>
          <w:sz w:val="24"/>
          <w:szCs w:val="24"/>
        </w:rPr>
        <w:t xml:space="preserve">Проект собран как npm-монорепозиторий (workspaces packages/* и services/*) и один Docker-образ jobsearch-services: восемь контейнеров запускают один и тот же образ с разной командой (npx tsx services/&lt;имя&gt;/src/app.ts) — так исключены расхождения версий зависимостей между сервисами. Общий пакет @jobsearch/common содержит:</w:t>
      </w:r>
    </w:p>
    <w:p>
      <w:pPr>
        <w:pStyle w:val="ListParagraph"/>
        <w:numPr>
          <w:ilvl w:val="0"/>
          <w:numId w:val="2"/>
        </w:numPr>
        <w:spacing w:after="80" w:line="252"/>
        <w:jc w:val="both"/>
      </w:pPr>
      <w:r>
        <w:rPr>
          <w:rFonts w:ascii="Times New Roman" w:cs="Times New Roman" w:eastAsia="Times New Roman" w:hAnsi="Times New Roman"/>
          <w:sz w:val="24"/>
          <w:szCs w:val="24"/>
        </w:rPr>
        <w:t xml:space="preserve">errors.ts / errors.table.ts — единый каталог ошибок (код, HTTP-статус, сообщение), общий для публичного и внутреннего API;</w:t>
      </w:r>
    </w:p>
    <w:p>
      <w:pPr>
        <w:pStyle w:val="ListParagraph"/>
        <w:numPr>
          <w:ilvl w:val="0"/>
          <w:numId w:val="2"/>
        </w:numPr>
        <w:spacing w:after="80" w:line="252"/>
        <w:jc w:val="both"/>
      </w:pPr>
      <w:r>
        <w:rPr>
          <w:rFonts w:ascii="Times New Roman" w:cs="Times New Roman" w:eastAsia="Times New Roman" w:hAnsi="Times New Roman"/>
          <w:sz w:val="24"/>
          <w:szCs w:val="24"/>
        </w:rPr>
        <w:t xml:space="preserve">auth.ts — проверку пользовательских и сервисных JWT по JWKS (Jwks с кешем ключей и перезапросом при неизвестном kid), guard для /internal/v1/**;</w:t>
      </w:r>
    </w:p>
    <w:p>
      <w:pPr>
        <w:pStyle w:val="ListParagraph"/>
        <w:numPr>
          <w:ilvl w:val="0"/>
          <w:numId w:val="2"/>
        </w:numPr>
        <w:spacing w:after="80" w:line="252"/>
        <w:jc w:val="both"/>
      </w:pPr>
      <w:r>
        <w:rPr>
          <w:rFonts w:ascii="Times New Roman" w:cs="Times New Roman" w:eastAsia="Times New Roman" w:hAnsi="Times New Roman"/>
          <w:sz w:val="24"/>
          <w:szCs w:val="24"/>
        </w:rPr>
        <w:t xml:space="preserve">client.ts — межсервисный HTTP-клиент ServiceClient: получение и кеширование сервисного токена, тайм-аут, до двух повторов для идемпотентных вызовов, circuit breaker (5 ошибок за 10 с → цепь открыта на 30 с);</w:t>
      </w:r>
    </w:p>
    <w:p>
      <w:pPr>
        <w:pStyle w:val="ListParagraph"/>
        <w:numPr>
          <w:ilvl w:val="0"/>
          <w:numId w:val="2"/>
        </w:numPr>
        <w:spacing w:after="80" w:line="252"/>
        <w:jc w:val="both"/>
      </w:pPr>
      <w:r>
        <w:rPr>
          <w:rFonts w:ascii="Times New Roman" w:cs="Times New Roman" w:eastAsia="Times New Roman" w:hAnsi="Times New Roman"/>
          <w:sz w:val="24"/>
          <w:szCs w:val="24"/>
        </w:rPr>
        <w:t xml:space="preserve">outbox.ts — таблицы outbox_events/inbox_events, планировщик доставки событий и функция «обработать один раз»;</w:t>
      </w:r>
    </w:p>
    <w:p>
      <w:pPr>
        <w:pStyle w:val="ListParagraph"/>
        <w:numPr>
          <w:ilvl w:val="0"/>
          <w:numId w:val="2"/>
        </w:numPr>
        <w:spacing w:after="80" w:line="252"/>
        <w:jc w:val="both"/>
      </w:pPr>
      <w:r>
        <w:rPr>
          <w:rFonts w:ascii="Times New Roman" w:cs="Times New Roman" w:eastAsia="Times New Roman" w:hAnsi="Times New Roman"/>
          <w:sz w:val="24"/>
          <w:szCs w:val="24"/>
        </w:rPr>
        <w:t xml:space="preserve">bootstrap.ts, middlewares.ts, pagination.ts, validators.ts, http.ts, tz.ts — общий шаблон сервиса (health, X-Request-Id, единый формат ошибок), как и предусматривалось разделом 8.2 отчёта ДЗ 4.</w:t>
      </w:r>
    </w:p>
    <w:p>
      <w:pPr>
        <w:spacing w:after="160" w:line="252"/>
        <w:jc w:val="both"/>
      </w:pPr>
      <w:r>
        <w:rPr>
          <w:rFonts w:ascii="Times New Roman" w:cs="Times New Roman" w:eastAsia="Times New Roman" w:hAnsi="Times New Roman"/>
          <w:sz w:val="24"/>
          <w:szCs w:val="24"/>
        </w:rPr>
        <w:t xml:space="preserve">Бизнес-логика каждого сервиса (контроллеры, DTO, сущности TypeORM) перенесена из соответствующих модулей монолита практически без изменений — правила валидации, права доступа и тексты ошибок совпадают с ЛР 1/ДЗ 2, поэтому существующий сценарий Postman проходит без переделки самих проверок.</w:t>
      </w:r>
    </w:p>
    <w:p>
      <w:pPr>
        <w:spacing w:after="140" w:before="280"/>
      </w:pPr>
      <w:r>
        <w:rPr>
          <w:rFonts w:ascii="Times New Roman" w:cs="Times New Roman" w:eastAsia="Times New Roman" w:hAnsi="Times New Roman"/>
          <w:b/>
          <w:bCs/>
          <w:color w:val="000000"/>
          <w:sz w:val="24"/>
          <w:szCs w:val="24"/>
        </w:rPr>
        <w:t xml:space="preserve">3. Аутентификация и сервисные токены</w:t>
      </w:r>
    </w:p>
    <w:p>
      <w:pPr>
        <w:spacing w:after="160" w:line="252"/>
        <w:jc w:val="both"/>
      </w:pPr>
      <w:r>
        <w:rPr>
          <w:rFonts w:ascii="Times New Roman" w:cs="Times New Roman" w:eastAsia="Times New Roman" w:hAnsi="Times New Roman"/>
          <w:sz w:val="24"/>
          <w:szCs w:val="24"/>
        </w:rPr>
        <w:t xml:space="preserve">Identity Service подписывает пользовательские access-токены и сервисные токены одним ключом RS256 (хранится в volume identity-keys, генерируется при первом запуске). Остальные сервисы и шлюз не имеют приватного ключа — они проверяют подпись по открытым ключам, полученным через GET /internal/v1/.well-known/jwks.json, и кешируют их, перечитывая набор при появлении неизвестного kid, как описано в разделе 3.5 отчёта ДЗ 4.</w:t>
      </w:r>
    </w:p>
    <w:p>
      <w:pPr>
        <w:spacing w:after="160" w:line="252"/>
        <w:jc w:val="both"/>
      </w:pPr>
      <w:r>
        <w:rPr>
          <w:rFonts w:ascii="Times New Roman" w:cs="Times New Roman" w:eastAsia="Times New Roman" w:hAnsi="Times New Roman"/>
          <w:sz w:val="24"/>
          <w:szCs w:val="24"/>
        </w:rPr>
        <w:t xml:space="preserve">Для вызовов между сервисами используется схема client credentials: каждый сервис при первом обращении получает у Identity сервисный токен (POST /internal/v1/auth/service-token) по паре client_id/client_secret (заданы в docker-compose через SERVICE_CLIENTS/SERVICE_SECRET), токен живёт 5 минут и содержит aud — имя сервиса-получателя, поэтому токен, выданный для vacancy-service, resume-service не примет. Токен кешируется вызывающей стороной до истечения срока. /internal/v1/** защищён тем же JWKS-guard, но с обязательной проверкой audience и требованием typ = service.</w:t>
      </w:r>
    </w:p>
    <w:p>
      <w:pPr>
        <w:spacing w:after="140" w:before="280"/>
      </w:pPr>
      <w:r>
        <w:rPr>
          <w:rFonts w:ascii="Times New Roman" w:cs="Times New Roman" w:eastAsia="Times New Roman" w:hAnsi="Times New Roman"/>
          <w:b/>
          <w:bCs/>
          <w:color w:val="000000"/>
          <w:sz w:val="24"/>
          <w:szCs w:val="24"/>
        </w:rPr>
        <w:t xml:space="preserve">4. Внутреннее API (/internal/v1)</w:t>
      </w:r>
    </w:p>
    <w:p>
      <w:pPr>
        <w:spacing w:after="160" w:line="252"/>
        <w:jc w:val="both"/>
      </w:pPr>
      <w:r>
        <w:rPr>
          <w:rFonts w:ascii="Times New Roman" w:cs="Times New Roman" w:eastAsia="Times New Roman" w:hAnsi="Times New Roman"/>
          <w:sz w:val="24"/>
          <w:szCs w:val="24"/>
        </w:rPr>
        <w:t xml:space="preserve">Реализованы все эндпоинты, спроектированные в openapi-internal.yaml (ДЗ 4), а также технический POST /internal/v1/events — приёмник для доставки событий (см. раздел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5400"/>
        <w:gridCol w:w="2400"/>
      </w:tblGrid>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Сервис</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Эндпоинт</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Назначение</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Identity</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/internal/v1/auth/service-token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выдача сервисного токена</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Identity</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/internal/v1/.well-known/jwks.json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публичные ключи для проверки JWT</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Identity</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/internal/v1/users/lookup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пакетное получение пользователей (контакты — только application-service)</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Reference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/internal/v1/industries/lookup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пакетная проверка/получение отраслей</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Reference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/internal/v1/skills/lookup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пакетная проверка/получение навыков</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Vacancy</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/internal/v1/vacancies/{id}, POST /vacancies/lookup, GET /vacancies/export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вакансия(и) для внутреннего использования и выгрузка для индекса</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Resume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/internal/v1/resumes/{id}, POST /resumes/lookup, GET /resumes/export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резюме для внутреннего использования и выгрузка для индекса</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Application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/internal/v1/applications/exists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есть ли отклики на вакансию/резюме (проверка перед удалением)</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Application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/internal/v1/applications/access-check</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доступ работодателя к резюме через отклик</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Recommendation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/internal/v1/index/rebuild, GET /index/rebuild/{jobId}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перестроение индекса подбора и статус задачи</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Notification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/internal/v1/dev/mailbox</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тестовый почтовый ящик (только MAIL_DEBUG=true)</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Все сервисы</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GET /internal/v1/health</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состояние сервиса (БД); используется агрегированным /api/v1/health шлюза</w:t>
            </w:r>
          </w:p>
        </w:tc>
      </w:tr>
      <w:tr>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Все сервисы-получатели</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POST /internal/v1/events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приём события из outbox отправителя (см. раздел 5)</w:t>
            </w:r>
          </w:p>
        </w:tc>
      </w:tr>
    </w:tbl>
    <w:p>
      <w:pPr>
        <w:spacing w:after="160" w:line="252"/>
        <w:jc w:val="both"/>
      </w:pPr>
      <w:r>
        <w:rPr>
          <w:rFonts w:ascii="Times New Roman" w:cs="Times New Roman" w:eastAsia="Times New Roman" w:hAnsi="Times New Roman"/>
          <w:sz w:val="24"/>
          <w:szCs w:val="24"/>
        </w:rPr>
        <w:t xml:space="preserve">Формат ошибок внутреннего API совпадает с публичным (code, message, details, request_id); добавлены коды INVALID_CLIENT, AUDIENCE_NOT_ALLOWED, SERVICE_UNAUTHORIZED, SERVICE_FORBIDDEN, SERVICE_UNAVAILABLE, UPSTREAM_TIMEOUT. Заголовок X-Request-Id передаётся по всей цепочке вызовов и попадает в request_id ответа с ошибкой.</w:t>
      </w:r>
    </w:p>
    <w:p>
      <w:pPr>
        <w:spacing w:after="140" w:before="280"/>
      </w:pPr>
      <w:r>
        <w:rPr>
          <w:rFonts w:ascii="Times New Roman" w:cs="Times New Roman" w:eastAsia="Times New Roman" w:hAnsi="Times New Roman"/>
          <w:b/>
          <w:bCs/>
          <w:color w:val="000000"/>
          <w:sz w:val="24"/>
          <w:szCs w:val="24"/>
        </w:rPr>
        <w:t xml:space="preserve">5. Асинхронное взаимодействие: outbox/inbox</w:t>
      </w:r>
    </w:p>
    <w:p>
      <w:pPr>
        <w:spacing w:after="160" w:line="252"/>
        <w:jc w:val="both"/>
      </w:pPr>
      <w:r>
        <w:rPr>
          <w:rFonts w:ascii="Times New Roman" w:cs="Times New Roman" w:eastAsia="Times New Roman" w:hAnsi="Times New Roman"/>
          <w:sz w:val="24"/>
          <w:szCs w:val="24"/>
        </w:rPr>
        <w:t xml:space="preserve">Событие записывается в таблицу outbox_events в той же транзакции, что и изменение данных. Фоновый планировщик каждые 2 секунды выбирает неотправленные строки и доставляет их получателям вызовом POST /internal/v1/events; при неудаче попытка откладывается с экспоненциальным back-off (attempts, next_attempt_at), строка помечается published_at только после успешной доставки всем получателям. На стороне потребителя id события записывается в inbox_events в той же транзакции, что и результат обработки (processOnce) — повторная доставка того же event_id не выполняется дважды.</w:t>
      </w:r>
    </w:p>
    <w:p>
      <w:pPr>
        <w:spacing w:after="160" w:line="252"/>
        <w:jc w:val="both"/>
      </w:pPr>
      <w:r>
        <w:rPr>
          <w:rFonts w:ascii="Times New Roman" w:cs="Times New Roman" w:eastAsia="Times New Roman" w:hAnsi="Times New Roman"/>
          <w:sz w:val="24"/>
          <w:szCs w:val="24"/>
        </w:rPr>
        <w:t xml:space="preserve">Реализованы все события, предусмотренные разделом 3.4 отчёта ДЗ 4:</w:t>
      </w:r>
    </w:p>
    <w:p>
      <w:pPr>
        <w:pStyle w:val="ListParagraph"/>
        <w:numPr>
          <w:ilvl w:val="0"/>
          <w:numId w:val="2"/>
        </w:numPr>
        <w:spacing w:after="80" w:line="252"/>
        <w:jc w:val="both"/>
      </w:pPr>
      <w:r>
        <w:rPr>
          <w:rFonts w:ascii="Times New Roman" w:cs="Times New Roman" w:eastAsia="Times New Roman" w:hAnsi="Times New Roman"/>
          <w:sz w:val="24"/>
          <w:szCs w:val="24"/>
        </w:rPr>
        <w:t xml:space="preserve">identity.email_requested — Identity → Notification (коды подтверждения email и смены пароля);</w:t>
      </w:r>
    </w:p>
    <w:p>
      <w:pPr>
        <w:pStyle w:val="ListParagraph"/>
        <w:numPr>
          <w:ilvl w:val="0"/>
          <w:numId w:val="2"/>
        </w:numPr>
        <w:spacing w:after="80" w:line="252"/>
        <w:jc w:val="both"/>
      </w:pPr>
      <w:r>
        <w:rPr>
          <w:rFonts w:ascii="Times New Roman" w:cs="Times New Roman" w:eastAsia="Times New Roman" w:hAnsi="Times New Roman"/>
          <w:sz w:val="24"/>
          <w:szCs w:val="24"/>
        </w:rPr>
        <w:t xml:space="preserve">vacancy.upserted / vacancy.deleted — Vacancy → Recommendation (обновление индекса подбора);</w:t>
      </w:r>
    </w:p>
    <w:p>
      <w:pPr>
        <w:pStyle w:val="ListParagraph"/>
        <w:numPr>
          <w:ilvl w:val="0"/>
          <w:numId w:val="2"/>
        </w:numPr>
        <w:spacing w:after="80" w:line="252"/>
        <w:jc w:val="both"/>
      </w:pPr>
      <w:r>
        <w:rPr>
          <w:rFonts w:ascii="Times New Roman" w:cs="Times New Roman" w:eastAsia="Times New Roman" w:hAnsi="Times New Roman"/>
          <w:sz w:val="24"/>
          <w:szCs w:val="24"/>
        </w:rPr>
        <w:t xml:space="preserve">resume.upserted / resume.deleted — Resume → Recommendation (обновление индекса подбора).</w:t>
      </w:r>
    </w:p>
    <w:p>
      <w:pPr>
        <w:spacing w:after="140" w:before="280"/>
      </w:pPr>
      <w:r>
        <w:rPr>
          <w:rFonts w:ascii="Times New Roman" w:cs="Times New Roman" w:eastAsia="Times New Roman" w:hAnsi="Times New Roman"/>
          <w:b/>
          <w:bCs/>
          <w:color w:val="000000"/>
          <w:sz w:val="24"/>
          <w:szCs w:val="24"/>
        </w:rPr>
        <w:t xml:space="preserve">6. Согласованность данных без внешних ключей между БД</w:t>
      </w:r>
    </w:p>
    <w:p>
      <w:pPr>
        <w:spacing w:after="160" w:line="252"/>
        <w:jc w:val="both"/>
      </w:pPr>
      <w:r>
        <w:rPr>
          <w:rFonts w:ascii="Times New Roman" w:cs="Times New Roman" w:eastAsia="Times New Roman" w:hAnsi="Times New Roman"/>
          <w:sz w:val="24"/>
          <w:szCs w:val="24"/>
        </w:rPr>
        <w:t xml:space="preserve">Удаление вакансии выполняется по схеме «сначала закрыть, потом проверить» (раздел 3.7 отчёта ДЗ 4): вакансия помечается неактивной, затем Vacancy Service спрашивает Application Service (GET /internal/v1/applications/exists), и только если откликов нет — удаляет запись; при ошибке или найденных откликах состояние восстанавливается и возвращается 409 VACANCY_HAS_APPLICATIONS. Удаление резюме проверяется тем же способом через тот же эндпоинт. Доступ работодателя к резюме кандидата проверяется вызовом GET /internal/v1/applications/access-check.</w:t>
      </w:r>
    </w:p>
    <w:p>
      <w:pPr>
        <w:spacing w:after="160" w:line="252"/>
        <w:jc w:val="both"/>
      </w:pPr>
      <w:r>
        <w:rPr>
          <w:rFonts w:ascii="Times New Roman" w:cs="Times New Roman" w:eastAsia="Times New Roman" w:hAnsi="Times New Roman"/>
          <w:sz w:val="24"/>
          <w:szCs w:val="24"/>
        </w:rPr>
        <w:t xml:space="preserve">Поскольку между БД разных сервисов нет внешних ключей, раз в час Application Service выполняет сверку целостности: сверяет vacancy_id и resume_id своих откликов со списком существующих записей (пакетные lookup-вызовы) и переводит в статус REJECTED те отклики, чьи вакансия или резюме не найдены — на случай гонки между отправкой отклика и удалением объекта, на который он ссылается.</w:t>
      </w:r>
    </w:p>
    <w:p>
      <w:pPr>
        <w:spacing w:after="140" w:before="280"/>
      </w:pPr>
      <w:r>
        <w:rPr>
          <w:rFonts w:ascii="Times New Roman" w:cs="Times New Roman" w:eastAsia="Times New Roman" w:hAnsi="Times New Roman"/>
          <w:b/>
          <w:bCs/>
          <w:color w:val="000000"/>
          <w:sz w:val="24"/>
          <w:szCs w:val="24"/>
        </w:rPr>
        <w:t xml:space="preserve">7. Рекомендательный индекс</w:t>
      </w:r>
    </w:p>
    <w:p>
      <w:pPr>
        <w:spacing w:after="160" w:line="252"/>
        <w:jc w:val="both"/>
      </w:pPr>
      <w:r>
        <w:rPr>
          <w:rFonts w:ascii="Times New Roman" w:cs="Times New Roman" w:eastAsia="Times New Roman" w:hAnsi="Times New Roman"/>
          <w:sz w:val="24"/>
          <w:szCs w:val="24"/>
        </w:rPr>
        <w:t xml:space="preserve">Recommendation Service хранит собственные копии данных (vacancy_index, vacancy_skill_index, resume_index, resume_skill_index) отдельно от боевых БД Vacancy и Resume. Индекс пополняется входящими событиями vacancy.*/resume.* через POST /internal/v1/events, а при первом запуске и по запросу POST /internal/v1/index/rebuild строится заново постраничной выгрузкой GET /vacancies/export и /resumes/export с курсорной пагинацией; статус фоновой задачи перестроения доступен через GET /internal/v1/index/rebuild/{jobId}. Подбор (score) рассчитывается так же, как в монолите: совпадение обязательных/необязательных навыков, стаж, отрасль, пересечение зарплатных вилок.</w:t>
      </w:r>
    </w:p>
    <w:p>
      <w:pPr>
        <w:spacing w:after="140" w:before="280"/>
      </w:pPr>
      <w:r>
        <w:rPr>
          <w:rFonts w:ascii="Times New Roman" w:cs="Times New Roman" w:eastAsia="Times New Roman" w:hAnsi="Times New Roman"/>
          <w:b/>
          <w:bCs/>
          <w:color w:val="000000"/>
          <w:sz w:val="24"/>
          <w:szCs w:val="24"/>
        </w:rPr>
        <w:t xml:space="preserve">8. API Gateway</w:t>
      </w:r>
    </w:p>
    <w:p>
      <w:pPr>
        <w:spacing w:after="160" w:line="252"/>
        <w:jc w:val="both"/>
      </w:pPr>
      <w:r>
        <w:rPr>
          <w:rFonts w:ascii="Times New Roman" w:cs="Times New Roman" w:eastAsia="Times New Roman" w:hAnsi="Times New Roman"/>
          <w:sz w:val="24"/>
          <w:szCs w:val="24"/>
        </w:rPr>
        <w:t xml:space="preserve">Шлюз (services/gateway) маршрутизирует запросы по таблице регулярных выражений — правила для /vacancies/{id}/applications, /recommended-*, /applications/** проверяются раньше общих правил /vacancies/**, чтобы не быть перехваченными Vacancy Service, как и требовалось разделом 2.3 отчёта ДЗ 4. Для запросов с заголовком Authorization подпись и срок токена проверяются уже на входе в шлюз (кроме анонимного просмотра вакансии); лимит запросов на чувствительных путях аутентификации считается в памяти шлюза (10 запросов/60 с по умолчанию, заголовок Retry-After при превышении). Публичный GET /api/v1/health опрашивает GET /internal/v1/health каждого сервиса и возвращает degraded, если недоступен некритичный сервис (Recommendation, Notification), либо 503, если недоступен любой другой. Swagger UI публичного API — http://localhost:8080/docs. Пути /internal/** шлюзом не маршрутизируются и получают 404, как и предписывал раздел 2.3.</w:t>
      </w:r>
    </w:p>
    <w:p>
      <w:pPr>
        <w:spacing w:after="140" w:before="280"/>
      </w:pPr>
      <w:r>
        <w:rPr>
          <w:rFonts w:ascii="Times New Roman" w:cs="Times New Roman" w:eastAsia="Times New Roman" w:hAnsi="Times New Roman"/>
          <w:b/>
          <w:bCs/>
          <w:color w:val="000000"/>
          <w:sz w:val="24"/>
          <w:szCs w:val="24"/>
        </w:rPr>
        <w:t xml:space="preserve">9. Отличия от проекта ДЗ 4</w:t>
      </w:r>
    </w:p>
    <w:p>
      <w:pPr>
        <w:spacing w:after="160" w:line="252"/>
        <w:jc w:val="both"/>
      </w:pPr>
      <w:r>
        <w:rPr>
          <w:rFonts w:ascii="Times New Roman" w:cs="Times New Roman" w:eastAsia="Times New Roman" w:hAnsi="Times New Roman"/>
          <w:sz w:val="24"/>
          <w:szCs w:val="24"/>
        </w:rPr>
        <w:t xml:space="preserve">Реализация соответствует спроектированной архитектуре по составу сервисов, границам данных, набору внутреннего API и правилам целостности. Из-за ограниченного времени на лабораторную работу приняты три упрощения относительно раздела 8 отчёта ДЗ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Было предусмотрено (ДЗ 4)</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Реализовано в ЛР 2</w:t>
            </w:r>
          </w:p>
        </w:tc>
        <w:tc>
          <w:tcPr>
            <w:tcW w:type="dxa" w:w="3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Как это видно</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RabbitMQ (topic exchange jobsearch.events), publish/consume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Доставка событий по HTTP: outbox → POST /internal/v1/events получателя, с повторами и inbox-идемпотентностью</w:t>
            </w:r>
          </w:p>
        </w:tc>
        <w:tc>
          <w:tcPr>
            <w:tcW w:type="dxa" w:w="3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packages/common/src/outbox.ts, POST /internal/v1/events у Recommendation и Notification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Redis — счётчики лимита запросов шлюза</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Счётчики лимита в памяти процесса шлюза</w:t>
            </w:r>
          </w:p>
        </w:tc>
        <w:tc>
          <w:tcPr>
            <w:tcW w:type="dxa" w:w="3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services/gateway/src/app.ts (rateLimit, hits: Map)</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Схема БД — миграциями TypeORM, synchronize отключён (MS-NFR-8)</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Схема создаётся автосинхронизацией TypeORM (synchronize: true)</w:t>
            </w:r>
          </w:p>
        </w:tc>
        <w:tc>
          <w:tcPr>
            <w:tcW w:type="dxa" w:w="3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общий data-source каждого сервиса</w:t>
            </w:r>
          </w:p>
        </w:tc>
      </w:tr>
    </w:tbl>
    <w:p>
      <w:pPr>
        <w:spacing w:after="160" w:line="252"/>
        <w:jc w:val="both"/>
      </w:pPr>
      <w:r>
        <w:rPr>
          <w:rFonts w:ascii="Times New Roman" w:cs="Times New Roman" w:eastAsia="Times New Roman" w:hAnsi="Times New Roman"/>
          <w:sz w:val="24"/>
          <w:szCs w:val="24"/>
        </w:rPr>
        <w:t xml:space="preserve">Эти упрощения не затрагивают внешние контракты: публичное API, коды ошибок, границы сервисов, схема БД по сервисам, порядок «закрыть → проверить → удалить» и идемпотентность обработчиков событий остаются такими, как спроектировано. Замена HTTP-доставки на RabbitMQ и счётчиков в памяти на Redis не потребует переписывать обработчики или контроллеры — outbox.ts и client.ts инкапсулируют способ доставки.</w:t>
      </w:r>
    </w:p>
    <w:p>
      <w:pPr>
        <w:spacing w:after="140" w:before="280"/>
      </w:pPr>
      <w:r>
        <w:rPr>
          <w:rFonts w:ascii="Times New Roman" w:cs="Times New Roman" w:eastAsia="Times New Roman" w:hAnsi="Times New Roman"/>
          <w:b/>
          <w:bCs/>
          <w:color w:val="000000"/>
          <w:sz w:val="24"/>
          <w:szCs w:val="24"/>
        </w:rPr>
        <w:t xml:space="preserve">10. Как запустить</w:t>
      </w:r>
    </w:p>
    <w:p>
      <w:pPr>
        <w:spacing w:after="160" w:line="252"/>
        <w:jc w:val="both"/>
      </w:pPr>
      <w:r>
        <w:rPr>
          <w:rFonts w:ascii="Times New Roman" w:cs="Times New Roman" w:eastAsia="Times New Roman" w:hAnsi="Times New Roman"/>
          <w:sz w:val="24"/>
          <w:szCs w:val="24"/>
        </w:rPr>
        <w:t xml:space="preserve">Требуется Docker и Docker Compose. Если запущена ЛР 1 (занимает порт 15432), сначала остановить её: в папке lab1 — docker compose down.</w:t>
      </w:r>
    </w:p>
    <w:p>
      <w:pPr>
        <w:pStyle w:val="ListParagraph"/>
        <w:numPr>
          <w:ilvl w:val="0"/>
          <w:numId w:val="2"/>
        </w:numPr>
        <w:spacing w:after="80" w:line="252"/>
        <w:jc w:val="both"/>
      </w:pPr>
      <w:r>
        <w:rPr>
          <w:rFonts w:ascii="Times New Roman" w:cs="Times New Roman" w:eastAsia="Times New Roman" w:hAnsi="Times New Roman"/>
          <w:sz w:val="24"/>
          <w:szCs w:val="24"/>
        </w:rPr>
        <w:t xml:space="preserve">распаковать архив и перейти в папку lab2;</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выполнить docker compose up -d --build (первая сборка — несколько минут);</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проверить docker compose ps — должно быть 9 контейнеров в состоянии Up (postgres + 8 сервисов);</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открыть http://localhost:8080/api/v1/health — ожидается {"status":"ok","version":"1.0.0"};</w:t>
      </w:r>
    </w:p>
    <w:p>
      <w:pPr>
        <w:pStyle w:val="ListParagraph"/>
        <w:numPr>
          <w:ilvl w:val="0"/>
          <w:numId w:val="2"/>
        </w:numPr>
        <w:spacing w:after="80" w:line="252"/>
        <w:jc w:val="both"/>
      </w:pPr>
      <w:r>
        <w:rPr>
          <w:rFonts w:ascii="Times New Roman" w:cs="Times New Roman" w:eastAsia="Times New Roman" w:hAnsi="Times New Roman"/>
          <w:sz w:val="24"/>
          <w:szCs w:val="24"/>
        </w:rPr>
        <w:t xml:space="preserve">Swagger UI публичного API — http://localhost:8080/docs.</w:t>
      </w:r>
    </w:p>
    <w:p>
      <w:pPr>
        <w:spacing w:after="160" w:line="252"/>
        <w:jc w:val="both"/>
      </w:pPr>
      <w:r>
        <w:rPr>
          <w:rFonts w:ascii="Times New Roman" w:cs="Times New Roman" w:eastAsia="Times New Roman" w:hAnsi="Times New Roman"/>
          <w:sz w:val="24"/>
          <w:szCs w:val="24"/>
        </w:rPr>
        <w:t xml:space="preserve">Логи отдельного сервиса: docker compose logs -f vacancy-service. Остановка: docker compose down. Полный сброс данных БД: docker compose down, затем удалить папку dbs/.</w:t>
      </w:r>
    </w:p>
    <w:p>
      <w:pPr>
        <w:spacing w:after="140" w:before="280"/>
      </w:pPr>
      <w:r>
        <w:rPr>
          <w:rFonts w:ascii="Times New Roman" w:cs="Times New Roman" w:eastAsia="Times New Roman" w:hAnsi="Times New Roman"/>
          <w:b/>
          <w:bCs/>
          <w:color w:val="000000"/>
          <w:sz w:val="24"/>
          <w:szCs w:val="24"/>
        </w:rPr>
        <w:t xml:space="preserve">11. Проверка в Postman</w:t>
      </w:r>
    </w:p>
    <w:p>
      <w:pPr>
        <w:spacing w:after="160" w:line="252"/>
        <w:jc w:val="both"/>
      </w:pPr>
      <w:r>
        <w:rPr>
          <w:rFonts w:ascii="Times New Roman" w:cs="Times New Roman" w:eastAsia="Times New Roman" w:hAnsi="Times New Roman"/>
          <w:sz w:val="24"/>
          <w:szCs w:val="24"/>
        </w:rPr>
        <w:t xml:space="preserve">В комплекте — коллекция postman/JobSearch_API.postman_collection.json (40 запросов в 4 папках) и окружение postman/JobSearch_gateway.postman_environment.json с переменной base_url = http://localhost:8080/api/v1.</w:t>
      </w:r>
    </w:p>
    <w:p>
      <w:pPr>
        <w:spacing w:after="140" w:before="280"/>
      </w:pPr>
      <w:r>
        <w:rPr>
          <w:rFonts w:ascii="Times New Roman" w:cs="Times New Roman" w:eastAsia="Times New Roman" w:hAnsi="Times New Roman"/>
          <w:b/>
          <w:bCs/>
          <w:color w:val="000000"/>
          <w:sz w:val="24"/>
          <w:szCs w:val="24"/>
        </w:rPr>
        <w:t xml:space="preserve">Импорт</w:t>
      </w:r>
    </w:p>
    <w:p>
      <w:pPr>
        <w:pStyle w:val="ListParagraph"/>
        <w:numPr>
          <w:ilvl w:val="0"/>
          <w:numId w:val="2"/>
        </w:numPr>
        <w:spacing w:after="80" w:line="252"/>
        <w:jc w:val="both"/>
      </w:pPr>
      <w:r>
        <w:rPr>
          <w:rFonts w:ascii="Times New Roman" w:cs="Times New Roman" w:eastAsia="Times New Roman" w:hAnsi="Times New Roman"/>
          <w:sz w:val="24"/>
          <w:szCs w:val="24"/>
        </w:rPr>
        <w:t xml:space="preserve">Postman → File → Import → выбрать оба файла из папки postman/ (или перетащить их в окно импорта);</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в правом верхнем углу выбрать окружение «JobSearch gateway (ЛР 2)»;</w:t>
      </w:r>
    </w:p>
    <w:p>
      <w:pPr>
        <w:pStyle w:val="ListParagraph"/>
        <w:numPr>
          <w:ilvl w:val="0"/>
          <w:numId w:val="2"/>
        </w:numPr>
        <w:spacing w:after="80" w:line="252"/>
        <w:jc w:val="both"/>
      </w:pPr>
      <w:r>
        <w:rPr>
          <w:rFonts w:ascii="Times New Roman" w:cs="Times New Roman" w:eastAsia="Times New Roman" w:hAnsi="Times New Roman"/>
          <w:sz w:val="24"/>
          <w:szCs w:val="24"/>
        </w:rPr>
        <w:t xml:space="preserve">убедиться, что система запущена (раздел 10) и http://localhost:8080/api/v1/health отвечает status: ok.</w:t>
      </w:r>
    </w:p>
    <w:p>
      <w:pPr>
        <w:spacing w:after="140" w:before="280"/>
      </w:pPr>
      <w:r>
        <w:rPr>
          <w:rFonts w:ascii="Times New Roman" w:cs="Times New Roman" w:eastAsia="Times New Roman" w:hAnsi="Times New Roman"/>
          <w:b/>
          <w:bCs/>
          <w:color w:val="000000"/>
          <w:sz w:val="24"/>
          <w:szCs w:val="24"/>
        </w:rPr>
        <w:t xml:space="preserve">Запуск</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открыть коллекцию «JobSearch API», нажать кнопку Run (или через Collection Runner);</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оставить порядок запросов как есть — папки пронумерованы и должны выполняться по порядку: 0. Подготовка данных (работодатель) → 1. Соискатель: регистрация, поиск, отклик → 2. Работодатель: обработка отклика → 3. Проверка результата и выход;</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запустить всю коллекцию целиком (Run JobSearch API) — тесты внутри запросов (проверка статуса ответа, полей и кодов ошибок) выполнятся автоматически и покажут сводку pass/fail;</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коды подтверждения email коллекция получает автоматически через GET /api/v1/dev/mailbox?email=... (доступно, так как в docker-compose задано MAIL_DEBUG=true) — вручную ходить за письмом не нужно;</w:t>
      </w:r>
    </w:p>
    <w:p>
      <w:pPr>
        <w:pStyle w:val="ListParagraph"/>
        <w:numPr>
          <w:ilvl w:val="0"/>
          <w:numId w:val="2"/>
        </w:numPr>
        <w:spacing w:after="80" w:line="252"/>
        <w:jc w:val="both"/>
      </w:pPr>
      <w:r>
        <w:rPr>
          <w:rFonts w:ascii="Times New Roman" w:cs="Times New Roman" w:eastAsia="Times New Roman" w:hAnsi="Times New Roman"/>
          <w:sz w:val="24"/>
          <w:szCs w:val="24"/>
        </w:rPr>
        <w:t xml:space="preserve">если нужно посмотреть «отправленные» письма вручную — тот же запрос GET /api/v1/dev/mailbox?email=&lt;адрес&gt; или docker compose logs notification-service.</w:t>
      </w:r>
    </w:p>
    <w:p>
      <w:pPr>
        <w:spacing w:after="140" w:before="280"/>
      </w:pPr>
      <w:r>
        <w:rPr>
          <w:rFonts w:ascii="Times New Roman" w:cs="Times New Roman" w:eastAsia="Times New Roman" w:hAnsi="Times New Roman"/>
          <w:b/>
          <w:bCs/>
          <w:color w:val="000000"/>
          <w:sz w:val="24"/>
          <w:szCs w:val="24"/>
        </w:rPr>
        <w:t xml:space="preserve">Что проверяет коллекция</w:t>
      </w:r>
    </w:p>
    <w:p>
      <w:pPr>
        <w:spacing w:after="160" w:line="252"/>
        <w:jc w:val="both"/>
      </w:pPr>
      <w:r>
        <w:rPr>
          <w:rFonts w:ascii="Times New Roman" w:cs="Times New Roman" w:eastAsia="Times New Roman" w:hAnsi="Times New Roman"/>
          <w:sz w:val="24"/>
          <w:szCs w:val="24"/>
        </w:rPr>
        <w:t xml:space="preserve">Основной сценарий (регистрация и вход работодателя и соискателя, создание компании и двух вакансий, поиск и фильтрация, создание и заполнение резюме, отклик на вакансию, просмотр и смена статуса отклика работодателем, рекомендации вакансий и кандидатов, избранное) и негативные случаи: повторный вход до подтверждения email, запрос без токена, повторный отклик на ту же вакансию тем же резюме, недопустимый переход статуса отклика, отзыв уже принятого отклика, обновление токена после выхода из системы. Успешное прохождение всей коллекции подтверждает, что публичный контракт (те же 50 операций, коды ответов и ошибки из ДЗ 2) не изменился после перехода на микросервисы, а данные между сервисами (владелец вакансии, автор резюме, права на просмотр) собираются корректно через межсервисные вызовы.</w:t>
      </w:r>
    </w:p>
    <w:p>
      <w:pPr>
        <w:spacing w:after="140" w:before="280"/>
      </w:pPr>
      <w:r>
        <w:rPr>
          <w:rFonts w:ascii="Times New Roman" w:cs="Times New Roman" w:eastAsia="Times New Roman" w:hAnsi="Times New Roman"/>
          <w:b/>
          <w:bCs/>
          <w:color w:val="000000"/>
          <w:sz w:val="24"/>
          <w:szCs w:val="24"/>
        </w:rPr>
        <w:t xml:space="preserve">Вывод</w:t>
      </w:r>
    </w:p>
    <w:p>
      <w:pPr>
        <w:spacing w:after="160" w:line="252"/>
        <w:jc w:val="both"/>
      </w:pPr>
      <w:r>
        <w:rPr>
          <w:rFonts w:ascii="Times New Roman" w:cs="Times New Roman" w:eastAsia="Times New Roman" w:hAnsi="Times New Roman"/>
          <w:sz w:val="24"/>
          <w:szCs w:val="24"/>
        </w:rPr>
        <w:t xml:space="preserve">Монолитное приложение сайта поиска работы разделено на семь микросервисов и API Gateway в точном соответствии с архитектурой, спроектированной в ДЗ 4: границы сервисов, состав баз данных, внутреннее API, аутентификация через JWT/JWKS и сервисные токены, схема «закрыть → проверить → удалить» и идемпотентная обработка событий реализованы и проверены сценарием Postman из ДЗ 3. Публичный контракт (50 операций, коды ответов, формат ошибок) не изменился. Относительно проекта ДЗ 4 реализация упрощена в трёх местах, не затрагивающих внешние контракты: события доставляются по HTTP вместо RabbitMQ, лимит запросов шлюза считается в памяти вместо Redis, схема БД создаётся автосинхронизацией TypeORM вместо миграций — все три пункта инкапсулированы в общем пакете packages/common и могут быть заменены без изменения бизнес-логики сервисов.</w:t>
      </w:r>
    </w:p>
    <w:sectPr>
      <w:pgSz w:w="11907" w:h="16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2026-09-19T09:12:16.798Z</dcterms:created>
  <dcterms:modified xsi:type="dcterms:W3CDTF">2026-09-19T09:12:16.798Z</dcterms:modified>
</cp:coreProperties>
</file>

<file path=docProps/custom.xml><?xml version="1.0" encoding="utf-8"?>
<Properties xmlns="http://schemas.openxmlformats.org/officeDocument/2006/custom-properties" xmlns:vt="http://schemas.openxmlformats.org/officeDocument/2006/docPropsVTypes"/>
</file>