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p>
    <w:p>
      <w:pPr>
        <w:pStyle w:val="Body A"/>
      </w:pPr>
      <w:r>
        <w:rPr>
          <w:rtl w:val="0"/>
          <w:lang w:val="en-US"/>
        </w:rPr>
        <w:t>The field of machine learning has long prioritised generalisability</w:t>
      </w:r>
      <w:r>
        <w:rPr>
          <w:rtl w:val="0"/>
          <w:lang w:val="en-US"/>
        </w:rPr>
        <w:t>—</w:t>
      </w:r>
      <w:r>
        <w:rPr>
          <w:rtl w:val="0"/>
          <w:lang w:val="en-US"/>
        </w:rPr>
        <w:t>models should perform well not only on the data they are trained on, but also on new, unseen inputs. This principle is foundational to good ML practice, yet in reality, most deployed systems are narrow in scope, fine-tuned for specific verticals, and costly to build and maintain. These costs are not only financial</w:t>
      </w:r>
      <w:r>
        <w:rPr>
          <w:rtl w:val="0"/>
          <w:lang w:val="en-US"/>
        </w:rPr>
        <w:t>—</w:t>
      </w:r>
      <w:r>
        <w:rPr>
          <w:rtl w:val="0"/>
          <w:lang w:val="en-US"/>
        </w:rPr>
        <w:t>requiring expert annotation and extensive infrastructure</w:t>
      </w:r>
      <w:r>
        <w:rPr>
          <w:rtl w:val="0"/>
          <w:lang w:val="en-US"/>
        </w:rPr>
        <w:t>—</w:t>
      </w:r>
      <w:r>
        <w:rPr>
          <w:rtl w:val="0"/>
          <w:lang w:val="en-US"/>
        </w:rPr>
        <w:t>but also environmental, as training deep learning models remains carbon-intensive. In a time of increasing scrutiny over the tech industry</w:t>
      </w:r>
      <w:r>
        <w:rPr>
          <w:rFonts w:ascii="Arial Unicode MS" w:hAnsi="Arial Unicode MS" w:hint="default"/>
          <w:rtl w:val="1"/>
        </w:rPr>
        <w:t>’</w:t>
      </w:r>
      <w:r>
        <w:rPr>
          <w:rtl w:val="0"/>
          <w:lang w:val="en-US"/>
        </w:rPr>
        <w:t>s environmental footprint and economic centralisation, the push toward more general, reusable systems has never been more important.</w:t>
      </w:r>
    </w:p>
    <w:p>
      <w:pPr>
        <w:pStyle w:val="Body A"/>
      </w:pP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152400</wp:posOffset>
            </wp:positionV>
            <wp:extent cx="6116321" cy="6094280"/>
            <wp:effectExtent l="0" t="0" r="0" b="0"/>
            <wp:wrapTopAndBottom distT="152400" distB="15240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6116321" cy="6094280"/>
                    </a:xfrm>
                    <a:prstGeom prst="rect">
                      <a:avLst/>
                    </a:prstGeom>
                    <a:ln w="12700" cap="flat">
                      <a:noFill/>
                      <a:miter lim="400000"/>
                    </a:ln>
                    <a:effectLst/>
                  </pic:spPr>
                </pic:pic>
              </a:graphicData>
            </a:graphic>
          </wp:anchor>
        </w:drawing>
      </w:r>
    </w:p>
    <w:p>
      <w:pPr>
        <w:pStyle w:val="Body A"/>
      </w:pPr>
      <w:r/>
    </w:p>
    <w:sectPr>
      <w:headerReference w:type="default" r:id="rId5"/>
      <w:footerReference w:type="default" r:id="rId6"/>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