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Teknisk sammanställning</w:t>
      </w:r>
    </w:p>
    <w:p>
      <w:pPr>
        <w:jc w:val="center"/>
      </w:pPr>
      <w:r>
        <w:rPr>
          <w:b/>
          <w:color w:val="1F4E79"/>
          <w:sz w:val="44"/>
        </w:rPr>
        <w:t>exSILentia / exida SILver - hur SIL-verifiering görs</w:t>
      </w:r>
    </w:p>
    <w:p>
      <w:pPr>
        <w:jc w:val="center"/>
      </w:pPr>
      <w:r>
        <w:rPr>
          <w:i/>
          <w:sz w:val="24"/>
        </w:rPr>
        <w:t>Metodik, antaganden, ekvationer och praktisk tolkning</w:t>
      </w:r>
    </w:p>
    <w:p>
      <w:pPr>
        <w:jc w:val="center"/>
      </w:pPr>
      <w:r>
        <w:rPr>
          <w:sz w:val="20"/>
        </w:rPr>
        <w:t>Datum: 2026-06-30</w:t>
      </w:r>
    </w:p>
    <w:p>
      <w:pPr>
        <w:jc w:val="center"/>
      </w:pPr>
      <w:r>
        <w:rPr>
          <w:sz w:val="20"/>
        </w:rPr>
        <w:t>Sammanställd för Anton Gustavsson / ProSa Process Safety Consulting AB</w:t>
      </w:r>
    </w:p>
    <w:p/>
    <w:p/>
    <w:p/>
    <w:p>
      <w:pPr>
        <w:pStyle w:val="Note"/>
      </w:pPr>
      <w:r>
        <w:t>Viktigt: exidas fullständiga interna Markovmodeller och proprietära databasdata är inte offentligt redovisade. Detta dokument beskriver därför den offentligt dokumenterade metodiken, de öppet redovisade ekvationerna och den standardmässiga matematiska representation som förklarar hur sådana beräkningar fungerar.</w:t>
      </w:r>
    </w:p>
    <w:p>
      <w:r>
        <w:br w:type="page"/>
      </w:r>
    </w:p>
    <w:p>
      <w:pPr>
        <w:pStyle w:val="Heading1"/>
      </w:pPr>
      <w:r>
        <w:t>Innehåll</w:t>
      </w:r>
    </w:p>
    <w:p>
      <w:pPr>
        <w:pStyle w:val="ListBullet"/>
      </w:pPr>
      <w:r>
        <w:t>1. Sammanfattning</w:t>
      </w:r>
    </w:p>
    <w:p>
      <w:pPr>
        <w:pStyle w:val="ListBullet"/>
      </w:pPr>
      <w:r>
        <w:t>2. Vad SILver verifierar</w:t>
      </w:r>
    </w:p>
    <w:p>
      <w:pPr>
        <w:pStyle w:val="ListBullet"/>
      </w:pPr>
      <w:r>
        <w:t>3. Övergripande verifieringslogik: tre barriärer</w:t>
      </w:r>
    </w:p>
    <w:p>
      <w:pPr>
        <w:pStyle w:val="ListBullet"/>
      </w:pPr>
      <w:r>
        <w:t>4. Modellering av SIF: sensor, logik och finalelement</w:t>
      </w:r>
    </w:p>
    <w:p>
      <w:pPr>
        <w:pStyle w:val="ListBullet"/>
      </w:pPr>
      <w:r>
        <w:t>5. PFDavg, PFH och demand mode</w:t>
      </w:r>
    </w:p>
    <w:p>
      <w:pPr>
        <w:pStyle w:val="ListBullet"/>
      </w:pPr>
      <w:r>
        <w:t>6. Feldata, diagnostik och proof testing</w:t>
      </w:r>
    </w:p>
    <w:p>
      <w:pPr>
        <w:pStyle w:val="ListBullet"/>
      </w:pPr>
      <w:r>
        <w:t>7. Ekvationer för 1oo1 och utökad PFDavg</w:t>
      </w:r>
    </w:p>
    <w:p>
      <w:pPr>
        <w:pStyle w:val="ListBullet"/>
      </w:pPr>
      <w:r>
        <w:t>8. Redundans, MooN och common cause</w:t>
      </w:r>
    </w:p>
    <w:p>
      <w:pPr>
        <w:pStyle w:val="ListBullet"/>
      </w:pPr>
      <w:r>
        <w:t>9. Markovmodell: generell matematisk form</w:t>
      </w:r>
    </w:p>
    <w:p>
      <w:pPr>
        <w:pStyle w:val="ListBullet"/>
      </w:pPr>
      <w:r>
        <w:t>10. Architectural constraints och systematic capability</w:t>
      </w:r>
    </w:p>
    <w:p>
      <w:pPr>
        <w:pStyle w:val="ListBullet"/>
      </w:pPr>
      <w:r>
        <w:t>11. Maintenance Capability Index och Site Safety Index</w:t>
      </w:r>
    </w:p>
    <w:p>
      <w:pPr>
        <w:pStyle w:val="ListBullet"/>
      </w:pPr>
      <w:r>
        <w:t>12. Praktiskt arbetsflöde i en SIL-verifiering</w:t>
      </w:r>
    </w:p>
    <w:p>
      <w:pPr>
        <w:pStyle w:val="ListBullet"/>
      </w:pPr>
      <w:r>
        <w:t>13. Begränsningar och granskningspunkter</w:t>
      </w:r>
    </w:p>
    <w:p>
      <w:pPr>
        <w:pStyle w:val="ListBullet"/>
      </w:pPr>
      <w:r>
        <w:t>14. Rekommenderad rapporttext</w:t>
      </w:r>
    </w:p>
    <w:p>
      <w:pPr>
        <w:pStyle w:val="ListBullet"/>
      </w:pPr>
      <w:r>
        <w:t>15. Källor</w:t>
      </w:r>
    </w:p>
    <w:p>
      <w:r>
        <w:br w:type="page"/>
      </w:r>
    </w:p>
    <w:p>
      <w:pPr>
        <w:pStyle w:val="Heading1"/>
      </w:pPr>
      <w:r>
        <w:t>1. Sammanfattning</w:t>
      </w:r>
    </w:p>
    <w:p>
      <w:r>
        <w:rPr>
          <w:b/>
        </w:rPr>
        <w:t>exSILentia</w:t>
      </w:r>
      <w:r>
        <w:t xml:space="preserve"> är exidas integrerade verktyg för den funktionella säkerhetslivscykeln. SIL-verifieringen görs i modulen </w:t>
      </w:r>
      <w:r>
        <w:rPr>
          <w:b/>
        </w:rPr>
        <w:t>SILver</w:t>
      </w:r>
      <w:r>
        <w:t>. Enligt den offentliga användarguiden använder SILver Markovmodellberäkning i analyserna och är uppbyggt runt de tre delarna i en Safety Instrumented Function (SIF): sensor part, logic solver part och final element part. Verktyget kan använda utrustningsdata från exidas Safety Equipment Reliability Handbook, men användaren kan även ange egna komponentdata. [1]</w:t>
      </w:r>
    </w:p>
    <w:p>
      <w:r>
        <w:rPr>
          <w:b/>
        </w:rPr>
        <w:t xml:space="preserve">Kärnan i verifieringen är inte bara att räkna fram PFDavg eller PFH. </w:t>
      </w:r>
      <w:r>
        <w:t>En SIF måste även klara krav på systematic capability/proven in use och architectural constraints. Den uppnådda SIL-nivån blir därför den lägsta nivån av dessa tre barriärer. [2]</w:t>
      </w:r>
    </w:p>
    <w:p>
      <w:pPr>
        <w:pStyle w:val="EquationBlock"/>
      </w:pPr>
      <w:r>
        <w:t>SIL_achieved = min(SIL_SC, SIL_AC, SIL_PFD/PFH)</w:t>
      </w:r>
    </w:p>
    <w:p>
      <w:r>
        <w:t>För low demand-applikationer beräknas PFDavg över mission time. För high demand och continuous demand beräknas i stället PFH. exSILentia/SILver har dessutom ett antal praktiska parametrar som ofta gör stor skillnad jämfört med enkla Excel-formler: proof test coverage, proof test duration, MTTR, probability of initial failure, maintenance capability, site safety index, beta-faktorer och common cause. [1], [2], [3]</w:t>
      </w:r>
    </w:p>
    <w:p>
      <w:pPr>
        <w:pStyle w:val="Heading1"/>
      </w:pPr>
      <w:r>
        <w:t>2. Vad SILver verifierar</w:t>
      </w:r>
    </w:p>
    <w:p>
      <w:r>
        <w:t xml:space="preserve">SIL-verifieringen svarar i praktiken på frågan: </w:t>
      </w:r>
      <w:r>
        <w:rPr>
          <w:b/>
        </w:rPr>
        <w:t>uppnår den föreslagna tekniska SIF-designen den SIL-nivå som SIL selection/LOPA har krävt?</w:t>
      </w:r>
    </w:p>
    <w:p>
      <w:r>
        <w:t>I ett typiskt projekt innebär det att varje SIF modelleras med:</w:t>
      </w:r>
    </w:p>
    <w:p>
      <w:pPr>
        <w:pStyle w:val="ListBullet"/>
      </w:pPr>
      <w:r>
        <w:t>SIF-namn, farlig händelse, safe state, process safety time och target SIL.</w:t>
      </w:r>
    </w:p>
    <w:p>
      <w:pPr>
        <w:pStyle w:val="ListBullet"/>
      </w:pPr>
      <w:r>
        <w:t>Demand mode: low, high eller continuous demand.</w:t>
      </w:r>
    </w:p>
    <w:p>
      <w:pPr>
        <w:pStyle w:val="ListBullet"/>
      </w:pPr>
      <w:r>
        <w:t>Sensorer och givare, inklusive signaldiagnostik och eventuell röstning.</w:t>
      </w:r>
    </w:p>
    <w:p>
      <w:pPr>
        <w:pStyle w:val="ListBullet"/>
      </w:pPr>
      <w:r>
        <w:t>Logiklösare, I/O och applikations-/systemdiagnostik.</w:t>
      </w:r>
    </w:p>
    <w:p>
      <w:pPr>
        <w:pStyle w:val="ListBullet"/>
      </w:pPr>
      <w:r>
        <w:t>Finalelement, exempelvis solenoider, ventiler, motorstarter, reläer, pneumatik/hydraulik och energi-/luftförsörjning.</w:t>
      </w:r>
    </w:p>
    <w:p>
      <w:pPr>
        <w:pStyle w:val="ListBullet"/>
      </w:pPr>
      <w:r>
        <w:t>Proof test-intervall, proof test coverage, test-/bypassförhållanden och MTTR.</w:t>
      </w:r>
    </w:p>
    <w:p>
      <w:pPr>
        <w:pStyle w:val="ListBullet"/>
      </w:pPr>
      <w:r>
        <w:t>Utrustningens Systematic Capability eller prior-use/proven-in-use-underlag.</w:t>
      </w:r>
    </w:p>
    <w:p>
      <w:pPr>
        <w:pStyle w:val="ListBullet"/>
      </w:pPr>
      <w:r>
        <w:t>Architectural constraints, HFT, Type A/B, SFF och/eller IEC 61511 prior-use-tabeller.</w:t>
      </w:r>
    </w:p>
    <w:p>
      <w:pPr>
        <w:pStyle w:val="Note"/>
      </w:pPr>
      <w:r>
        <w:t>I praktiken bör man inte behandla SILver som ett svart låda-resultat. Antaganden, dataval, testtäckning, common cause, proof test-intervall och maintenance/site-index bör granskas lika noggrant som själva PFDavg-värdet.</w:t>
      </w:r>
    </w:p>
    <w:p>
      <w:pPr>
        <w:pStyle w:val="Heading1"/>
      </w:pPr>
      <w:r>
        <w:t>3. Övergripande verifieringslogik: tre barriärer</w:t>
      </w:r>
    </w:p>
    <w:p>
      <w:r>
        <w:t>exida beskriver SIL-verifiering som tre barriärer som samtliga måste nå eller överstiga target SIL. Den lägsta nivån begränsar SIF:en. [2]</w:t>
      </w:r>
    </w:p>
    <w:tbl>
      <w:tblPr>
        <w:tblStyle w:val="TableGrid"/>
        <w:tblW w:type="auto" w:w="0"/>
        <w:jc w:val="center"/>
        <w:tblLook w:firstColumn="1" w:firstRow="1" w:lastColumn="0" w:lastRow="0" w:noHBand="0" w:noVBand="1" w:val="04A0"/>
      </w:tblPr>
      <w:tblGrid>
        <w:gridCol w:w="3400"/>
        <w:gridCol w:w="3400"/>
        <w:gridCol w:w="3400"/>
      </w:tblGrid>
      <w:tr>
        <w:trPr>
          <w:cantSplit/>
        </w:trPr>
        <w:tc>
          <w:tcPr>
            <w:tcW w:type="dxa" w:w="850"/>
            <w:shd w:fill="D9EAF7"/>
            <w:vAlign w:val="center"/>
          </w:tcPr>
          <w:p>
            <w:r/>
            <w:r>
              <w:rPr>
                <w:b/>
                <w:sz w:val="17"/>
              </w:rPr>
              <w:t>Barriär</w:t>
            </w:r>
          </w:p>
        </w:tc>
        <w:tc>
          <w:tcPr>
            <w:tcW w:type="dxa" w:w="2381"/>
            <w:shd w:fill="D9EAF7"/>
            <w:vAlign w:val="center"/>
          </w:tcPr>
          <w:p>
            <w:r/>
            <w:r>
              <w:rPr>
                <w:b/>
                <w:sz w:val="17"/>
              </w:rPr>
              <w:t>Kontroll</w:t>
            </w:r>
          </w:p>
        </w:tc>
        <w:tc>
          <w:tcPr>
            <w:tcW w:type="dxa" w:w="5669"/>
            <w:shd w:fill="D9EAF7"/>
            <w:vAlign w:val="center"/>
          </w:tcPr>
          <w:p>
            <w:r/>
            <w:r>
              <w:rPr>
                <w:b/>
                <w:sz w:val="17"/>
              </w:rPr>
              <w:t>Betydelse</w:t>
            </w:r>
          </w:p>
        </w:tc>
      </w:tr>
      <w:tr>
        <w:trPr>
          <w:cantSplit/>
        </w:trPr>
        <w:tc>
          <w:tcPr>
            <w:tcW w:type="dxa" w:w="850"/>
            <w:vAlign w:val="top"/>
          </w:tcPr>
          <w:p>
            <w:r/>
            <w:r>
              <w:rPr>
                <w:b w:val="0"/>
                <w:sz w:val="17"/>
              </w:rPr>
              <w:t>1</w:t>
            </w:r>
          </w:p>
        </w:tc>
        <w:tc>
          <w:tcPr>
            <w:tcW w:type="dxa" w:w="2381"/>
            <w:vAlign w:val="top"/>
          </w:tcPr>
          <w:p>
            <w:r/>
            <w:r>
              <w:rPr>
                <w:b w:val="0"/>
                <w:sz w:val="17"/>
              </w:rPr>
              <w:t>Systematic Capability / proven in use</w:t>
            </w:r>
          </w:p>
        </w:tc>
        <w:tc>
          <w:tcPr>
            <w:tcW w:type="dxa" w:w="5669"/>
            <w:vAlign w:val="top"/>
          </w:tcPr>
          <w:p>
            <w:r/>
            <w:r>
              <w:rPr>
                <w:b w:val="0"/>
                <w:sz w:val="17"/>
              </w:rPr>
              <w:t>Kontrollerar att utrustningens utvecklings-/bedömningsnivå eller dokumenterade användning stödjer den aktuella SIL-nivån.</w:t>
            </w:r>
          </w:p>
        </w:tc>
      </w:tr>
      <w:tr>
        <w:trPr>
          <w:cantSplit/>
        </w:trPr>
        <w:tc>
          <w:tcPr>
            <w:tcW w:type="dxa" w:w="850"/>
            <w:vAlign w:val="top"/>
          </w:tcPr>
          <w:p>
            <w:r/>
            <w:r>
              <w:rPr>
                <w:b w:val="0"/>
                <w:sz w:val="17"/>
              </w:rPr>
              <w:t>2</w:t>
            </w:r>
          </w:p>
        </w:tc>
        <w:tc>
          <w:tcPr>
            <w:tcW w:type="dxa" w:w="2381"/>
            <w:vAlign w:val="top"/>
          </w:tcPr>
          <w:p>
            <w:r/>
            <w:r>
              <w:rPr>
                <w:b w:val="0"/>
                <w:sz w:val="17"/>
              </w:rPr>
              <w:t>Architectural Constraints</w:t>
            </w:r>
          </w:p>
        </w:tc>
        <w:tc>
          <w:tcPr>
            <w:tcW w:type="dxa" w:w="5669"/>
            <w:vAlign w:val="top"/>
          </w:tcPr>
          <w:p>
            <w:r/>
            <w:r>
              <w:rPr>
                <w:b w:val="0"/>
                <w:sz w:val="17"/>
              </w:rPr>
              <w:t>Kontrollerar att arkitektur, HFT, Type A/B, SFF och/eller prior-use uppfyller kraven enligt vald IEC 61508/IEC 61511-metod.</w:t>
            </w:r>
          </w:p>
        </w:tc>
      </w:tr>
      <w:tr>
        <w:trPr>
          <w:cantSplit/>
        </w:trPr>
        <w:tc>
          <w:tcPr>
            <w:tcW w:type="dxa" w:w="850"/>
            <w:vAlign w:val="top"/>
          </w:tcPr>
          <w:p>
            <w:r/>
            <w:r>
              <w:rPr>
                <w:b w:val="0"/>
                <w:sz w:val="17"/>
              </w:rPr>
              <w:t>3</w:t>
            </w:r>
          </w:p>
        </w:tc>
        <w:tc>
          <w:tcPr>
            <w:tcW w:type="dxa" w:w="2381"/>
            <w:vAlign w:val="top"/>
          </w:tcPr>
          <w:p>
            <w:r/>
            <w:r>
              <w:rPr>
                <w:b w:val="0"/>
                <w:sz w:val="17"/>
              </w:rPr>
              <w:t>PFDavg eller PFH</w:t>
            </w:r>
          </w:p>
        </w:tc>
        <w:tc>
          <w:tcPr>
            <w:tcW w:type="dxa" w:w="5669"/>
            <w:vAlign w:val="top"/>
          </w:tcPr>
          <w:p>
            <w:r/>
            <w:r>
              <w:rPr>
                <w:b w:val="0"/>
                <w:sz w:val="17"/>
              </w:rPr>
              <w:t>Kontrollerar att den kvantitativa farliga otillgängligheten/felfrekvensen uppfyller target SIL.</w:t>
            </w:r>
          </w:p>
        </w:tc>
      </w:tr>
    </w:tbl>
    <w:p>
      <w:pPr>
        <w:pStyle w:val="EquationBlock"/>
      </w:pPr>
      <w:r>
        <w:t>SIL_achieved = min(SIL_SC, SIL_AC, SIL_random)</w:t>
      </w:r>
    </w:p>
    <w:p>
      <w:pPr>
        <w:pStyle w:val="EquationBlock"/>
      </w:pPr>
      <w:r>
        <w:t>SIL_random = f(PFDavg)  för low demand</w:t>
      </w:r>
    </w:p>
    <w:p>
      <w:pPr>
        <w:pStyle w:val="EquationBlock"/>
      </w:pPr>
      <w:r>
        <w:t>SIL_random = f(PFH)     för high/continuous demand</w:t>
      </w:r>
    </w:p>
    <w:p>
      <w:r>
        <w:t>Detta är viktigt i rapportering: en SIF kan ha ett PFDavg-värde inom SIL 2-intervallet men ändå endast vara verifierad till SIL 1 om architectural constraints eller systematic capability begränsar nivån.</w:t>
      </w:r>
    </w:p>
    <w:p>
      <w:pPr>
        <w:pStyle w:val="Heading1"/>
      </w:pPr>
      <w:r>
        <w:t>4. Modellering av SIF: sensor, logik och finalelement</w:t>
      </w:r>
    </w:p>
    <w:p>
      <w:r>
        <w:t>SILver delar SIF:en i tre huvuddelar: sensor part, logic solver part och final element part. Sensor- och finalelementdelarna kan delas upp i grupper och ben, vilket gör att användaren kan modellera röstningsarkitekturer både mellan grupper och inom grupper. [1]</w:t>
      </w:r>
    </w:p>
    <w:tbl>
      <w:tblPr>
        <w:tblStyle w:val="TableGrid"/>
        <w:tblW w:type="auto" w:w="0"/>
        <w:jc w:val="center"/>
        <w:tblLook w:firstColumn="1" w:firstRow="1" w:lastColumn="0" w:lastRow="0" w:noHBand="0" w:noVBand="1" w:val="04A0"/>
      </w:tblPr>
      <w:tblGrid>
        <w:gridCol w:w="5100"/>
        <w:gridCol w:w="5100"/>
      </w:tblGrid>
      <w:tr>
        <w:trPr>
          <w:cantSplit/>
        </w:trPr>
        <w:tc>
          <w:tcPr>
            <w:tcW w:type="dxa" w:w="1814"/>
            <w:shd w:fill="D9EAF7"/>
            <w:vAlign w:val="center"/>
          </w:tcPr>
          <w:p>
            <w:r/>
            <w:r>
              <w:rPr>
                <w:b/>
                <w:sz w:val="17"/>
              </w:rPr>
              <w:t>SIF-del</w:t>
            </w:r>
          </w:p>
        </w:tc>
        <w:tc>
          <w:tcPr>
            <w:tcW w:type="dxa" w:w="7087"/>
            <w:shd w:fill="D9EAF7"/>
            <w:vAlign w:val="center"/>
          </w:tcPr>
          <w:p>
            <w:r/>
            <w:r>
              <w:rPr>
                <w:b/>
                <w:sz w:val="17"/>
              </w:rPr>
              <w:t>Exempel och avgränsning</w:t>
            </w:r>
          </w:p>
        </w:tc>
      </w:tr>
      <w:tr>
        <w:trPr>
          <w:cantSplit/>
        </w:trPr>
        <w:tc>
          <w:tcPr>
            <w:tcW w:type="dxa" w:w="1814"/>
            <w:vAlign w:val="top"/>
          </w:tcPr>
          <w:p>
            <w:r/>
            <w:r>
              <w:rPr>
                <w:b w:val="0"/>
                <w:sz w:val="17"/>
              </w:rPr>
              <w:t>Sensor part</w:t>
            </w:r>
          </w:p>
        </w:tc>
        <w:tc>
          <w:tcPr>
            <w:tcW w:type="dxa" w:w="7087"/>
            <w:vAlign w:val="top"/>
          </w:tcPr>
          <w:p>
            <w:r/>
            <w:r>
              <w:rPr>
                <w:b w:val="0"/>
                <w:sz w:val="17"/>
              </w:rPr>
              <w:t>Från sensorelement/mätning fram till första funktionella element som kombinerar signaler i samma voting group. Exempel: transmitter, processanslutning, ingångsmodul, signaldiagnostik, jämförelselogik.</w:t>
            </w:r>
          </w:p>
        </w:tc>
      </w:tr>
      <w:tr>
        <w:trPr>
          <w:cantSplit/>
        </w:trPr>
        <w:tc>
          <w:tcPr>
            <w:tcW w:type="dxa" w:w="1814"/>
            <w:vAlign w:val="top"/>
          </w:tcPr>
          <w:p>
            <w:r/>
            <w:r>
              <w:rPr>
                <w:b w:val="0"/>
                <w:sz w:val="17"/>
              </w:rPr>
              <w:t>Logic solver part</w:t>
            </w:r>
          </w:p>
        </w:tc>
        <w:tc>
          <w:tcPr>
            <w:tcW w:type="dxa" w:w="7087"/>
            <w:vAlign w:val="top"/>
          </w:tcPr>
          <w:p>
            <w:r/>
            <w:r>
              <w:rPr>
                <w:b w:val="0"/>
                <w:sz w:val="17"/>
              </w:rPr>
              <w:t>Från det funktionella element som kombinerar insignaler till sista funktionella element som innehåller utgången för logikgruppen/funktionsblocket. Exempel: säkerhets-PLC, I/O, applikationslogik.</w:t>
            </w:r>
          </w:p>
        </w:tc>
      </w:tr>
      <w:tr>
        <w:trPr>
          <w:cantSplit/>
        </w:trPr>
        <w:tc>
          <w:tcPr>
            <w:tcW w:type="dxa" w:w="1814"/>
            <w:vAlign w:val="top"/>
          </w:tcPr>
          <w:p>
            <w:r/>
            <w:r>
              <w:rPr>
                <w:b w:val="0"/>
                <w:sz w:val="17"/>
              </w:rPr>
              <w:t>Final element part</w:t>
            </w:r>
          </w:p>
        </w:tc>
        <w:tc>
          <w:tcPr>
            <w:tcW w:type="dxa" w:w="7087"/>
            <w:vAlign w:val="top"/>
          </w:tcPr>
          <w:p>
            <w:r/>
            <w:r>
              <w:rPr>
                <w:b w:val="0"/>
                <w:sz w:val="17"/>
              </w:rPr>
              <w:t>Från logikutgångens efterföljande utrustning till den slutliga verkställande funktionen. Exempel: utgångsmodul, relä, solenoid, luftförsörjning, ställdon, ventil, kontaktor, motorstartare.</w:t>
            </w:r>
          </w:p>
        </w:tc>
      </w:tr>
    </w:tbl>
    <w:p>
      <w:r>
        <w:t>Offentligt dokumenterade röstningsalternativ i användarguiden inkluderar bland annat:</w:t>
      </w:r>
    </w:p>
    <w:p>
      <w:pPr>
        <w:pStyle w:val="ListBullet"/>
      </w:pPr>
      <w:r>
        <w:t>Sensorgrupper: 1oo1, 1oo1D, 1oo2, 1oo2D, 2oo2, 1oo3, 2oo3, 3oo3, 1oo4, 2oo4, 3oo4, 4oo4 samt generell MooN för identiska ben. [1]</w:t>
      </w:r>
    </w:p>
    <w:p>
      <w:pPr>
        <w:pStyle w:val="ListBullet"/>
      </w:pPr>
      <w:r>
        <w:t>Finalelementgrupper: 1oo1, 1oo2, 2oo2, 1oo3, 2oo3, 3oo3, 1oo4, 2oo4, 4oo4, 5oo5, 6oo6 samt MooN för identiska ben. [1]</w:t>
      </w:r>
    </w:p>
    <w:p>
      <w:pPr>
        <w:pStyle w:val="ListBullet"/>
      </w:pPr>
      <w:r>
        <w:t>Beta-faktor kan anges för att hantera common cause i redundanta grupper. För 1oo1 behövs ingen beta-faktor. [1]</w:t>
      </w:r>
    </w:p>
    <w:p>
      <w:pPr>
        <w:pStyle w:val="EquationBlock"/>
      </w:pPr>
      <w:r>
        <w:t>PFD_total ≈ PFD_sensor + PFD_logic + PFD_final    (för små sannolikheter)</w:t>
      </w:r>
    </w:p>
    <w:p>
      <w:pPr>
        <w:pStyle w:val="EquationBlock"/>
      </w:pPr>
      <w:r>
        <w:t>PFD_total = 1 - (1 - PFD_sensor)(1 - PFD_logic)(1 - PFD_final)</w:t>
      </w:r>
    </w:p>
    <w:p>
      <w:pPr>
        <w:pStyle w:val="Note"/>
      </w:pPr>
      <w:r>
        <w:t>Den första summeringen är den vanliga approximationen när varje delsystems PFD är mycket mindre än 1. Den exakta produktformen visar varför approximationen normalt fungerar för SIL-beräkningar.</w:t>
      </w:r>
    </w:p>
    <w:p>
      <w:pPr>
        <w:pStyle w:val="Heading1"/>
      </w:pPr>
      <w:r>
        <w:t>5. PFDavg, PFH och demand mode</w:t>
      </w:r>
    </w:p>
    <w:p>
      <w:r>
        <w:t>För low demand används PFDavg, alltså medelvärdet av sannolikheten att SIF:en inte fungerar när den krävs. För high/continuous demand används PFH, det vill säga probability of a dangerous failure per hour. SILver kan låta användaren välja demand mode direkt eller avgöra det utifrån demand interval samt proof test- och diagnostic test-intervall. [1]</w:t>
      </w:r>
    </w:p>
    <w:p>
      <w:pPr>
        <w:pStyle w:val="EquationBlock"/>
      </w:pPr>
      <w:r>
        <w:t>PFDavg = (1 / T_M) ∫_0^T_M PFD(t) dt</w:t>
      </w:r>
    </w:p>
    <w:p>
      <w:pPr>
        <w:pStyle w:val="EquationBlock"/>
      </w:pPr>
      <w:r>
        <w:t>PFDavg ≈ (1 / T_M) Σ PFD(t_i) Δt</w:t>
      </w:r>
    </w:p>
    <w:p>
      <w:pPr>
        <w:pStyle w:val="EquationBlock"/>
      </w:pPr>
      <w:r>
        <w:t>RRF = 1 / PFDavg</w:t>
      </w:r>
    </w:p>
    <w:p>
      <w:pPr>
        <w:pStyle w:val="EquationBlock"/>
      </w:pPr>
      <w:r>
        <w:t>PFDavg_required ≤ 1 / RRF_required</w:t>
      </w:r>
    </w:p>
    <w:tbl>
      <w:tblPr>
        <w:tblStyle w:val="TableGrid"/>
        <w:tblW w:type="auto" w:w="0"/>
        <w:jc w:val="center"/>
        <w:tblLook w:firstColumn="1" w:firstRow="1" w:lastColumn="0" w:lastRow="0" w:noHBand="0" w:noVBand="1" w:val="04A0"/>
      </w:tblPr>
      <w:tblGrid>
        <w:gridCol w:w="3400"/>
        <w:gridCol w:w="3400"/>
        <w:gridCol w:w="3400"/>
      </w:tblGrid>
      <w:tr>
        <w:trPr>
          <w:cantSplit/>
        </w:trPr>
        <w:tc>
          <w:tcPr>
            <w:tcW w:type="dxa" w:w="1134"/>
            <w:shd w:fill="D9EAF7"/>
            <w:vAlign w:val="center"/>
          </w:tcPr>
          <w:p>
            <w:r/>
            <w:r>
              <w:rPr>
                <w:b/>
                <w:sz w:val="17"/>
              </w:rPr>
              <w:t>SIL</w:t>
            </w:r>
          </w:p>
        </w:tc>
        <w:tc>
          <w:tcPr>
            <w:tcW w:type="dxa" w:w="3685"/>
            <w:shd w:fill="D9EAF7"/>
            <w:vAlign w:val="center"/>
          </w:tcPr>
          <w:p>
            <w:r/>
            <w:r>
              <w:rPr>
                <w:b/>
                <w:sz w:val="17"/>
              </w:rPr>
              <w:t>Low demand PFDavg-intervall</w:t>
            </w:r>
          </w:p>
        </w:tc>
        <w:tc>
          <w:tcPr>
            <w:tcW w:type="dxa" w:w="2835"/>
            <w:shd w:fill="D9EAF7"/>
            <w:vAlign w:val="center"/>
          </w:tcPr>
          <w:p>
            <w:r/>
            <w:r>
              <w:rPr>
                <w:b/>
                <w:sz w:val="17"/>
              </w:rPr>
              <w:t>Ungefärlig RRF</w:t>
            </w:r>
          </w:p>
        </w:tc>
      </w:tr>
      <w:tr>
        <w:trPr>
          <w:cantSplit/>
        </w:trPr>
        <w:tc>
          <w:tcPr>
            <w:tcW w:type="dxa" w:w="1134"/>
            <w:vAlign w:val="top"/>
          </w:tcPr>
          <w:p>
            <w:r/>
            <w:r>
              <w:rPr>
                <w:b w:val="0"/>
                <w:sz w:val="17"/>
              </w:rPr>
              <w:t>SIL 1</w:t>
            </w:r>
          </w:p>
        </w:tc>
        <w:tc>
          <w:tcPr>
            <w:tcW w:type="dxa" w:w="3685"/>
            <w:vAlign w:val="top"/>
          </w:tcPr>
          <w:p>
            <w:r/>
            <w:r>
              <w:rPr>
                <w:b w:val="0"/>
                <w:sz w:val="17"/>
              </w:rPr>
              <w:t>10^-2 ≤ PFDavg &lt; 10^-1</w:t>
            </w:r>
          </w:p>
        </w:tc>
        <w:tc>
          <w:tcPr>
            <w:tcW w:type="dxa" w:w="2835"/>
            <w:vAlign w:val="top"/>
          </w:tcPr>
          <w:p>
            <w:r/>
            <w:r>
              <w:rPr>
                <w:b w:val="0"/>
                <w:sz w:val="17"/>
              </w:rPr>
              <w:t>10 till 100</w:t>
            </w:r>
          </w:p>
        </w:tc>
      </w:tr>
      <w:tr>
        <w:trPr>
          <w:cantSplit/>
        </w:trPr>
        <w:tc>
          <w:tcPr>
            <w:tcW w:type="dxa" w:w="1134"/>
            <w:vAlign w:val="top"/>
          </w:tcPr>
          <w:p>
            <w:r/>
            <w:r>
              <w:rPr>
                <w:b w:val="0"/>
                <w:sz w:val="17"/>
              </w:rPr>
              <w:t>SIL 2</w:t>
            </w:r>
          </w:p>
        </w:tc>
        <w:tc>
          <w:tcPr>
            <w:tcW w:type="dxa" w:w="3685"/>
            <w:vAlign w:val="top"/>
          </w:tcPr>
          <w:p>
            <w:r/>
            <w:r>
              <w:rPr>
                <w:b w:val="0"/>
                <w:sz w:val="17"/>
              </w:rPr>
              <w:t>10^-3 ≤ PFDavg &lt; 10^-2</w:t>
            </w:r>
          </w:p>
        </w:tc>
        <w:tc>
          <w:tcPr>
            <w:tcW w:type="dxa" w:w="2835"/>
            <w:vAlign w:val="top"/>
          </w:tcPr>
          <w:p>
            <w:r/>
            <w:r>
              <w:rPr>
                <w:b w:val="0"/>
                <w:sz w:val="17"/>
              </w:rPr>
              <w:t>100 till 1 000</w:t>
            </w:r>
          </w:p>
        </w:tc>
      </w:tr>
      <w:tr>
        <w:trPr>
          <w:cantSplit/>
        </w:trPr>
        <w:tc>
          <w:tcPr>
            <w:tcW w:type="dxa" w:w="1134"/>
            <w:vAlign w:val="top"/>
          </w:tcPr>
          <w:p>
            <w:r/>
            <w:r>
              <w:rPr>
                <w:b w:val="0"/>
                <w:sz w:val="17"/>
              </w:rPr>
              <w:t>SIL 3</w:t>
            </w:r>
          </w:p>
        </w:tc>
        <w:tc>
          <w:tcPr>
            <w:tcW w:type="dxa" w:w="3685"/>
            <w:vAlign w:val="top"/>
          </w:tcPr>
          <w:p>
            <w:r/>
            <w:r>
              <w:rPr>
                <w:b w:val="0"/>
                <w:sz w:val="17"/>
              </w:rPr>
              <w:t>10^-4 ≤ PFDavg &lt; 10^-3</w:t>
            </w:r>
          </w:p>
        </w:tc>
        <w:tc>
          <w:tcPr>
            <w:tcW w:type="dxa" w:w="2835"/>
            <w:vAlign w:val="top"/>
          </w:tcPr>
          <w:p>
            <w:r/>
            <w:r>
              <w:rPr>
                <w:b w:val="0"/>
                <w:sz w:val="17"/>
              </w:rPr>
              <w:t>1 000 till 10 000</w:t>
            </w:r>
          </w:p>
        </w:tc>
      </w:tr>
      <w:tr>
        <w:trPr>
          <w:cantSplit/>
        </w:trPr>
        <w:tc>
          <w:tcPr>
            <w:tcW w:type="dxa" w:w="1134"/>
            <w:vAlign w:val="top"/>
          </w:tcPr>
          <w:p>
            <w:r/>
            <w:r>
              <w:rPr>
                <w:b w:val="0"/>
                <w:sz w:val="17"/>
              </w:rPr>
              <w:t>SIL 4</w:t>
            </w:r>
          </w:p>
        </w:tc>
        <w:tc>
          <w:tcPr>
            <w:tcW w:type="dxa" w:w="3685"/>
            <w:vAlign w:val="top"/>
          </w:tcPr>
          <w:p>
            <w:r/>
            <w:r>
              <w:rPr>
                <w:b w:val="0"/>
                <w:sz w:val="17"/>
              </w:rPr>
              <w:t>10^-5 ≤ PFDavg &lt; 10^-4</w:t>
            </w:r>
          </w:p>
        </w:tc>
        <w:tc>
          <w:tcPr>
            <w:tcW w:type="dxa" w:w="2835"/>
            <w:vAlign w:val="top"/>
          </w:tcPr>
          <w:p>
            <w:r/>
            <w:r>
              <w:rPr>
                <w:b w:val="0"/>
                <w:sz w:val="17"/>
              </w:rPr>
              <w:t>10 000 till 100 000</w:t>
            </w:r>
          </w:p>
        </w:tc>
      </w:tr>
    </w:tbl>
    <w:p>
      <w:r>
        <w:t>Enligt användarguiden tar SILver hänsyn till proof test-intervall och automatiska diagnostikintervall när verktyget avgör demand mode. Low demand anges där som demand interval minst två gånger det längsta proof test-intervallet. High demand och continuous demand skiljs bland annat genom förhållandet till det värsta diagnostikintervallet. För high demand krediteras automatisk diagnostik, medan automatisk diagnostik anges som ineffektiv i continuous demand. [1]</w:t>
      </w:r>
    </w:p>
    <w:p>
      <w:pPr>
        <w:pStyle w:val="Heading1"/>
      </w:pPr>
      <w:r>
        <w:t>6. Feldata, diagnostik och proof testing</w:t>
      </w:r>
    </w:p>
    <w:p>
      <w:r>
        <w:t>SILver använder utrustningsdata från exidas Safety Equipment Reliability Handbook eller användardefinierade data. I användarguiden anges att de databaserade felfrekvenserna är branschgenomsnitt och att användaren ansvarar för att bedöma om datan är tillämplig för den aktuella miljön. [1]</w:t>
      </w:r>
    </w:p>
    <w:p>
      <w:pPr>
        <w:pStyle w:val="EquationBlock"/>
      </w:pPr>
      <w:r>
        <w:t>λ_D = λ_DD + λ_DU</w:t>
      </w:r>
    </w:p>
    <w:p>
      <w:pPr>
        <w:pStyle w:val="EquationBlock"/>
      </w:pPr>
      <w:r>
        <w:t>DC = λ_DD / (λ_DD + λ_DU)</w:t>
      </w:r>
    </w:p>
    <w:p>
      <w:pPr>
        <w:pStyle w:val="EquationBlock"/>
      </w:pPr>
      <w:r>
        <w:t>SFF = (λ_S + λ_DD) / (λ_S + λ_DD + λ_DU)</w:t>
      </w:r>
    </w:p>
    <w:p>
      <w:r>
        <w:t>Där:</w:t>
      </w:r>
    </w:p>
    <w:p>
      <w:pPr>
        <w:pStyle w:val="ListBullet"/>
      </w:pPr>
      <w:r>
        <w:t>λDD = dangerous detected failure rate, farliga fel som upptäcks av automatisk diagnostik.</w:t>
      </w:r>
    </w:p>
    <w:p>
      <w:pPr>
        <w:pStyle w:val="ListBullet"/>
      </w:pPr>
      <w:r>
        <w:t>λDU = dangerous undetected failure rate, farliga fel som inte upptäcks automatiskt och normalt kräver proof test eller demand för att avslöjas.</w:t>
      </w:r>
    </w:p>
    <w:p>
      <w:pPr>
        <w:pStyle w:val="ListBullet"/>
      </w:pPr>
      <w:r>
        <w:t>λS = safe failure rate, fel som leder till säker funktion eller saknar farlig effekt beroende på vald klassificering.</w:t>
      </w:r>
    </w:p>
    <w:p>
      <w:pPr>
        <w:pStyle w:val="ListBullet"/>
      </w:pPr>
      <w:r>
        <w:t>DC = diagnostic coverage, andel farliga fel som upptäcks automatiskt.</w:t>
      </w:r>
    </w:p>
    <w:p>
      <w:pPr>
        <w:pStyle w:val="ListBullet"/>
      </w:pPr>
      <w:r>
        <w:t>SFF = safe failure fraction, används i vissa architectural-constraint-metoder tillsammans med HFT och Type A/B.</w:t>
      </w:r>
    </w:p>
    <w:p>
      <w:r>
        <w:t>Användarguiden noterar en viktig skillnad mellan IEC 61508:2000 och IEC 61508:2010: i 2000-utgåvan behandlades no-effect-fel som safe i SFF-beräkningen, medan no-effect-fel inte inkluderas i SFF på samma sätt i 2010-metodiken. [1]</w:t>
      </w:r>
    </w:p>
    <w:tbl>
      <w:tblPr>
        <w:tblStyle w:val="TableGrid"/>
        <w:tblW w:type="auto" w:w="0"/>
        <w:jc w:val="center"/>
        <w:tblLook w:firstColumn="1" w:firstRow="1" w:lastColumn="0" w:lastRow="0" w:noHBand="0" w:noVBand="1" w:val="04A0"/>
      </w:tblPr>
      <w:tblGrid>
        <w:gridCol w:w="5100"/>
        <w:gridCol w:w="5100"/>
      </w:tblGrid>
      <w:tr>
        <w:trPr>
          <w:cantSplit/>
        </w:trPr>
        <w:tc>
          <w:tcPr>
            <w:tcW w:type="dxa" w:w="2381"/>
            <w:shd w:fill="D9EAF7"/>
            <w:vAlign w:val="center"/>
          </w:tcPr>
          <w:p>
            <w:r/>
            <w:r>
              <w:rPr>
                <w:b/>
                <w:sz w:val="17"/>
              </w:rPr>
              <w:t>Parameter</w:t>
            </w:r>
          </w:p>
        </w:tc>
        <w:tc>
          <w:tcPr>
            <w:tcW w:type="dxa" w:w="6520"/>
            <w:shd w:fill="D9EAF7"/>
            <w:vAlign w:val="center"/>
          </w:tcPr>
          <w:p>
            <w:r/>
            <w:r>
              <w:rPr>
                <w:b/>
                <w:sz w:val="17"/>
              </w:rPr>
              <w:t>Betydelse</w:t>
            </w:r>
          </w:p>
        </w:tc>
      </w:tr>
      <w:tr>
        <w:trPr>
          <w:cantSplit/>
        </w:trPr>
        <w:tc>
          <w:tcPr>
            <w:tcW w:type="dxa" w:w="2381"/>
            <w:vAlign w:val="top"/>
          </w:tcPr>
          <w:p>
            <w:r/>
            <w:r>
              <w:rPr>
                <w:b w:val="0"/>
                <w:sz w:val="17"/>
              </w:rPr>
              <w:t>Proof Test Interval, TI</w:t>
            </w:r>
          </w:p>
        </w:tc>
        <w:tc>
          <w:tcPr>
            <w:tcW w:type="dxa" w:w="6520"/>
            <w:vAlign w:val="top"/>
          </w:tcPr>
          <w:p>
            <w:r/>
            <w:r>
              <w:rPr>
                <w:b w:val="0"/>
                <w:sz w:val="17"/>
              </w:rPr>
              <w:t>Tiden mellan periodiska proof tests. I SILver kan detta anges per sensor-/finalelementgrupp.</w:t>
            </w:r>
          </w:p>
        </w:tc>
      </w:tr>
      <w:tr>
        <w:trPr>
          <w:cantSplit/>
        </w:trPr>
        <w:tc>
          <w:tcPr>
            <w:tcW w:type="dxa" w:w="2381"/>
            <w:vAlign w:val="top"/>
          </w:tcPr>
          <w:p>
            <w:r/>
            <w:r>
              <w:rPr>
                <w:b w:val="0"/>
                <w:sz w:val="17"/>
              </w:rPr>
              <w:t>Proof Test Coverage, CPT</w:t>
            </w:r>
          </w:p>
        </w:tc>
        <w:tc>
          <w:tcPr>
            <w:tcW w:type="dxa" w:w="6520"/>
            <w:vAlign w:val="top"/>
          </w:tcPr>
          <w:p>
            <w:r/>
            <w:r>
              <w:rPr>
                <w:b w:val="0"/>
                <w:sz w:val="17"/>
              </w:rPr>
              <w:t>Hur stor andel av λDU som proof testet faktiskt hittar. 100 % täckning kräver ett mycket omfattande test och anges i användarguiden som mycket orealistiskt. [1]</w:t>
            </w:r>
          </w:p>
        </w:tc>
      </w:tr>
      <w:tr>
        <w:trPr>
          <w:cantSplit/>
        </w:trPr>
        <w:tc>
          <w:tcPr>
            <w:tcW w:type="dxa" w:w="2381"/>
            <w:vAlign w:val="top"/>
          </w:tcPr>
          <w:p>
            <w:r/>
            <w:r>
              <w:rPr>
                <w:b w:val="0"/>
                <w:sz w:val="17"/>
              </w:rPr>
              <w:t>Proof Test Duration, PTD</w:t>
            </w:r>
          </w:p>
        </w:tc>
        <w:tc>
          <w:tcPr>
            <w:tcW w:type="dxa" w:w="6520"/>
            <w:vAlign w:val="top"/>
          </w:tcPr>
          <w:p>
            <w:r/>
            <w:r>
              <w:rPr>
                <w:b w:val="0"/>
                <w:sz w:val="17"/>
              </w:rPr>
              <w:t>Tiden SIF:en är i bypass eller saknar skydd under ett online proof test.</w:t>
            </w:r>
          </w:p>
        </w:tc>
      </w:tr>
      <w:tr>
        <w:trPr>
          <w:cantSplit/>
        </w:trPr>
        <w:tc>
          <w:tcPr>
            <w:tcW w:type="dxa" w:w="2381"/>
            <w:vAlign w:val="top"/>
          </w:tcPr>
          <w:p>
            <w:r/>
            <w:r>
              <w:rPr>
                <w:b w:val="0"/>
                <w:sz w:val="17"/>
              </w:rPr>
              <w:t>MTTR/MRT/MDT</w:t>
            </w:r>
          </w:p>
        </w:tc>
        <w:tc>
          <w:tcPr>
            <w:tcW w:type="dxa" w:w="6520"/>
            <w:vAlign w:val="top"/>
          </w:tcPr>
          <w:p>
            <w:r/>
            <w:r>
              <w:rPr>
                <w:b w:val="0"/>
                <w:sz w:val="17"/>
              </w:rPr>
              <w:t>Tiden från fel till återställd skyddsfunktion. Det kan delas i detektionstid och återställning/reparation.</w:t>
            </w:r>
          </w:p>
        </w:tc>
      </w:tr>
      <w:tr>
        <w:trPr>
          <w:cantSplit/>
        </w:trPr>
        <w:tc>
          <w:tcPr>
            <w:tcW w:type="dxa" w:w="2381"/>
            <w:vAlign w:val="top"/>
          </w:tcPr>
          <w:p>
            <w:r/>
            <w:r>
              <w:rPr>
                <w:b w:val="0"/>
                <w:sz w:val="17"/>
              </w:rPr>
              <w:t>PIF</w:t>
            </w:r>
          </w:p>
        </w:tc>
        <w:tc>
          <w:tcPr>
            <w:tcW w:type="dxa" w:w="6520"/>
            <w:vAlign w:val="top"/>
          </w:tcPr>
          <w:p>
            <w:r/>
            <w:r>
              <w:rPr>
                <w:b w:val="0"/>
                <w:sz w:val="17"/>
              </w:rPr>
              <w:t>Probability of Initial Failure. Sannolikhet att funktionen redan är felaktig vid idrifttagning, t.ex. på grund av installation, commissioning eller valideringsbrister.</w:t>
            </w:r>
          </w:p>
        </w:tc>
      </w:tr>
      <w:tr>
        <w:trPr>
          <w:cantSplit/>
        </w:trPr>
        <w:tc>
          <w:tcPr>
            <w:tcW w:type="dxa" w:w="2381"/>
            <w:vAlign w:val="top"/>
          </w:tcPr>
          <w:p>
            <w:r/>
            <w:r>
              <w:rPr>
                <w:b w:val="0"/>
                <w:sz w:val="17"/>
              </w:rPr>
              <w:t>SSI/MCI</w:t>
            </w:r>
          </w:p>
        </w:tc>
        <w:tc>
          <w:tcPr>
            <w:tcW w:type="dxa" w:w="6520"/>
            <w:vAlign w:val="top"/>
          </w:tcPr>
          <w:p>
            <w:r/>
            <w:r>
              <w:rPr>
                <w:b w:val="0"/>
                <w:sz w:val="17"/>
              </w:rPr>
              <w:t>Site Safety Index och Maintenance Capability Index. exida använder dessa för att bättre fånga verklig påverkan från platsens rutiner och underhållsförmåga. [1], [3]</w:t>
            </w:r>
          </w:p>
        </w:tc>
      </w:tr>
    </w:tbl>
    <w:p>
      <w:pPr>
        <w:pStyle w:val="Heading1"/>
      </w:pPr>
      <w:r>
        <w:t>7. Ekvationer för 1oo1 och utökad PFDavg</w:t>
      </w:r>
    </w:p>
    <w:p>
      <w:r>
        <w:t>exidas white paper visar förenklade men instruktiva ekvationer för den vanligaste low-demand-arkitekturen 1oo1. De är inte hela SILver-motorn, men de visar vilka variabler som bör ingå i en realistisk PFDavg-beräkning. [2]</w:t>
      </w:r>
    </w:p>
    <w:p>
      <w:pPr>
        <w:pStyle w:val="Heading2"/>
      </w:pPr>
      <w:r>
        <w:t>7.1 Grundfall utan proof test och utan diagnostik</w:t>
      </w:r>
    </w:p>
    <w:p>
      <w:pPr>
        <w:pStyle w:val="EquationBlock"/>
      </w:pPr>
      <w:r>
        <w:t>PFD(t) ≈ λ_DU · t</w:t>
      </w:r>
    </w:p>
    <w:p>
      <w:pPr>
        <w:pStyle w:val="EquationBlock"/>
      </w:pPr>
      <w:r>
        <w:t>PFDavg ≈ λ_DU · T_M / 2</w:t>
      </w:r>
    </w:p>
    <w:p>
      <w:r>
        <w:t>Tolkning: om farliga odetekterade fel byggs upp linjärt under mission time och inte periodiskt återställs av proof test blir medelvärdet ungefär halva slutvärdet. [2]</w:t>
      </w:r>
    </w:p>
    <w:p>
      <w:pPr>
        <w:pStyle w:val="Heading2"/>
      </w:pPr>
      <w:r>
        <w:t>7.2 Perfekt proof test</w:t>
      </w:r>
    </w:p>
    <w:p>
      <w:pPr>
        <w:pStyle w:val="EquationBlock"/>
      </w:pPr>
      <w:r>
        <w:t>PFDavg ≈ λ_DU · T_I / 2</w:t>
      </w:r>
    </w:p>
    <w:p>
      <w:r>
        <w:t>Tolkning: med ett perfekt proof test återställs den farliga odetekterade felpopulationen till noll efter varje test. Detta är den klassiska enkla IEC 61508-6-liknande approximationen, men den är ofta optimistisk.</w:t>
      </w:r>
    </w:p>
    <w:p>
      <w:pPr>
        <w:pStyle w:val="Heading2"/>
      </w:pPr>
      <w:r>
        <w:t>7.3 Ofullständig proof test coverage</w:t>
      </w:r>
    </w:p>
    <w:p>
      <w:pPr>
        <w:pStyle w:val="EquationBlock"/>
      </w:pPr>
      <w:r>
        <w:t>PFDavg ≈ C_PT · λ_DU · T_I / 2 + (1 - C_PT) · λ_DU · T_M / 2</w:t>
      </w:r>
    </w:p>
    <w:p>
      <w:r>
        <w:t>Tolkning: den del av λDU som testet hittar byggs upp under proof test-intervallet. Den del som proof testet inte hittar kan i värsta fall ligga kvar över mission time. exida lyfter proof test effectiveness som en betydande variabel. [2]</w:t>
      </w:r>
    </w:p>
    <w:p>
      <w:pPr>
        <w:pStyle w:val="Heading2"/>
      </w:pPr>
      <w:r>
        <w:t>7.4 Dangerous detected failures och reparation</w:t>
      </w:r>
    </w:p>
    <w:p>
      <w:pPr>
        <w:pStyle w:val="EquationBlock"/>
      </w:pPr>
      <w:r>
        <w:t>MTTR_DD = MDT_DD + MRT_DD</w:t>
      </w:r>
    </w:p>
    <w:p>
      <w:pPr>
        <w:pStyle w:val="EquationBlock"/>
      </w:pPr>
      <w:r>
        <w:t>MTTR_DU = MDT_DU + MRT_DU</w:t>
      </w:r>
    </w:p>
    <w:p>
      <w:pPr>
        <w:pStyle w:val="EquationBlock"/>
      </w:pPr>
      <w:r>
        <w:t>PFDavg_DD ≈ λ_DD · MRT_DD</w:t>
      </w:r>
    </w:p>
    <w:p>
      <w:pPr>
        <w:pStyle w:val="EquationBlock"/>
      </w:pPr>
      <w:r>
        <w:t>PFDavg ≈ λ_DD · MRT_DD + C_PT · λ_DU · (T_I/2 + MRT_DU) + (1 - C_PT) · λ_DU · T_M/2</w:t>
      </w:r>
    </w:p>
    <w:p>
      <w:r>
        <w:t>Tolkning: farliga detekterade fel ger ett bidrag under den tid processen fortsätter vara oskyddad innan funktionen är återställd. DU-fel som upptäcks vid proof test ger även bidrag från återställningstiden om proof test sker online eller skyddsfunktionen ligger i bypass.</w:t>
      </w:r>
    </w:p>
    <w:p>
      <w:pPr>
        <w:pStyle w:val="Heading2"/>
      </w:pPr>
      <w:r>
        <w:t>7.5 Proof test duration / bypass</w:t>
      </w:r>
    </w:p>
    <w:p>
      <w:pPr>
        <w:pStyle w:val="EquationBlock"/>
      </w:pPr>
      <w:r>
        <w:t>PFDavg_PTD ≈ ((k - 1) / k) · PTD / T_I</w:t>
      </w:r>
    </w:p>
    <w:p>
      <w:pPr>
        <w:pStyle w:val="EquationBlock"/>
      </w:pPr>
      <w:r>
        <w:t>PFDavg_PTD ≈ PTD / T_I     (konservativ förenkling)</w:t>
      </w:r>
    </w:p>
    <w:p>
      <w:r>
        <w:t>Tolkning: om proof test görs medan anläggningen är i drift och SIF:en är i bypass är PFD(t) i princip 1 under bypass-tiden. exida anger därför ett separat bidrag från PTD. [2]</w:t>
      </w:r>
    </w:p>
    <w:p>
      <w:pPr>
        <w:pStyle w:val="Heading2"/>
      </w:pPr>
      <w:r>
        <w:t>7.6 Probability of Initial Failure, PIF</w:t>
      </w:r>
    </w:p>
    <w:p>
      <w:pPr>
        <w:pStyle w:val="EquationBlock"/>
      </w:pPr>
      <w:r>
        <w:t>PFDavg ≈ PIF + (1 - PIF) · [λ_DD · MRT_DD + C_PT · λ_DU · (T_I/2 + MRT_DU) + (1 - C_PT) · λ_DU · T_M/2 + PTD/T_I]</w:t>
      </w:r>
    </w:p>
    <w:p>
      <w:r>
        <w:t>Tolkning: PIF läggs till eftersom funktionen kan vara felaktig redan från start. exida beskriver detta som kopplat till bland annat installation, commissioning och situationer där fullständig testning inte kan utföras efter installation. [2]</w:t>
      </w:r>
    </w:p>
    <w:p>
      <w:pPr>
        <w:pStyle w:val="Heading2"/>
      </w:pPr>
      <w:r>
        <w:t>7.7 Varför den enkla formeln kan bli för optimistisk</w:t>
      </w:r>
    </w:p>
    <w:p>
      <w:r>
        <w:t>exidas exempel visar att samma 1oo1-SIF kan ge PFDavg 6,82·10^-3 med idealiserade antaganden, men 5,76·10^-2 när realistiska variabler tas med. Det motsvarar att RRF sjunker från cirka 147 till cirka 17, dvs. från en SIL 2-liknande beräkning till knappt SIL 1. [2]</w:t>
      </w:r>
    </w:p>
    <w:p>
      <w:pPr>
        <w:pStyle w:val="Heading1"/>
      </w:pPr>
      <w:r>
        <w:t>8. Redundans, MooN och common cause</w:t>
      </w:r>
    </w:p>
    <w:p>
      <w:r>
        <w:t>För redundanta arkitekturer blir beräkningen mer komplex. En 1oo2-arkitektur kan ge lägre PFDavg än 1oo1 vid oberoende fel, men kan samtidigt öka spurious trip-beteende beroende på röstningslogik. En 2oo3-arkitektur används ofta för att balansera säkerhet och tillgänglighet. När redundans används måste common cause failures hanteras, normalt med beta-faktorer. exida anger uttryckligen att common cause behöver beaktas för redundans och att detta vanligtvis görs med β-faktorer enligt IEC 61508/IEC 61511. [2]</w:t>
      </w:r>
    </w:p>
    <w:p>
      <w:pPr>
        <w:pStyle w:val="EquationBlock"/>
      </w:pPr>
      <w:r>
        <w:t>λ_DU,cc  = β · λ_DU</w:t>
      </w:r>
    </w:p>
    <w:p>
      <w:pPr>
        <w:pStyle w:val="EquationBlock"/>
      </w:pPr>
      <w:r>
        <w:t>λ_DU,ind = (1 - β) · λ_DU</w:t>
      </w:r>
    </w:p>
    <w:p>
      <w:r>
        <w:t>En förenklad binomialmodell för identiska och oberoende ben i en MooN-struktur kan skrivas:</w:t>
      </w:r>
    </w:p>
    <w:p>
      <w:pPr>
        <w:pStyle w:val="EquationBlock"/>
      </w:pPr>
      <w:r>
        <w:t>Q_MooN(t) = Σ_{i=N-M+1}^{N} C(N,i) · q(t)^i · [1 - q(t)]^{N-i}</w:t>
      </w:r>
    </w:p>
    <w:p>
      <w:r>
        <w:t>Där M är antalet ben som måste fungera/trippa för att SIF:en ska lyckas, N är totala antalet ben, och q(t) är otillgängligheten för ett enskilt ben. Systemet blir farligt otillgängligt när minst N-M+1 ben är farligt felade.</w:t>
      </w:r>
    </w:p>
    <w:p>
      <w:r>
        <w:t>Med common cause kan detta approximativt uttryckas som:</w:t>
      </w:r>
    </w:p>
    <w:p>
      <w:pPr>
        <w:pStyle w:val="EquationBlock"/>
      </w:pPr>
      <w:r>
        <w:t>Q_total(t) ≈ Q_CCF(t) + [1 - Q_CCF(t)] · Q_independent(t)</w:t>
      </w:r>
    </w:p>
    <w:p>
      <w:pPr>
        <w:pStyle w:val="Note"/>
      </w:pPr>
      <w:r>
        <w:t>SILver gör inte bara denna förenklade binomialberäkning. Enligt användarguiden används Markovmodellberäkning i alla analyser, vilket gör att diagnostik, reparationer, proof tests, bypass och gemensamma fel kan modelleras mer realistiskt. [1]</w:t>
      </w:r>
    </w:p>
    <w:p>
      <w:pPr>
        <w:pStyle w:val="Heading1"/>
      </w:pPr>
      <w:r>
        <w:t>9. Markovmodell: generell matematisk form</w:t>
      </w:r>
    </w:p>
    <w:p>
      <w:r>
        <w:t>Användarguiden anger att SILver använder Markov model calculation technique under analyserna. Den fulla tillståndsmodellen är inte publikt redovisad, men en generell representation förklarar principen. [1]</w:t>
      </w:r>
    </w:p>
    <w:p>
      <w:r>
        <w:t>Man definierar ett antal systemtillstånd, exempelvis:</w:t>
      </w:r>
    </w:p>
    <w:p>
      <w:pPr>
        <w:pStyle w:val="ListBullet"/>
      </w:pPr>
      <w:r>
        <w:t>OK / fungerande</w:t>
      </w:r>
    </w:p>
    <w:p>
      <w:pPr>
        <w:pStyle w:val="ListBullet"/>
      </w:pPr>
      <w:r>
        <w:t>Dangerous detected failure</w:t>
      </w:r>
    </w:p>
    <w:p>
      <w:pPr>
        <w:pStyle w:val="ListBullet"/>
      </w:pPr>
      <w:r>
        <w:t>Dangerous undetected failure</w:t>
      </w:r>
    </w:p>
    <w:p>
      <w:pPr>
        <w:pStyle w:val="ListBullet"/>
      </w:pPr>
      <w:r>
        <w:t>Safe failure / spurious trip</w:t>
      </w:r>
    </w:p>
    <w:p>
      <w:pPr>
        <w:pStyle w:val="ListBullet"/>
      </w:pPr>
      <w:r>
        <w:t>Under repair / restored</w:t>
      </w:r>
    </w:p>
    <w:p>
      <w:pPr>
        <w:pStyle w:val="ListBullet"/>
      </w:pPr>
      <w:r>
        <w:t>Failed on demand / dangerous unavailable</w:t>
      </w:r>
    </w:p>
    <w:p>
      <w:r>
        <w:t>Sannolikhetsvektorn kan skrivas:</w:t>
      </w:r>
    </w:p>
    <w:p>
      <w:pPr>
        <w:pStyle w:val="EquationBlock"/>
      </w:pPr>
      <w:r>
        <w:t>p(t) = [p_OK(t), p_DD(t), p_DU(t), p_SAFE(t), p_REPAIR(t), ...]</w:t>
      </w:r>
    </w:p>
    <w:p>
      <w:r>
        <w:t>Kontinuerlig Markovform:</w:t>
      </w:r>
    </w:p>
    <w:p>
      <w:pPr>
        <w:pStyle w:val="EquationBlock"/>
      </w:pPr>
      <w:r>
        <w:t>p(t) = p(0) · exp(Q · t)</w:t>
      </w:r>
    </w:p>
    <w:p>
      <w:r>
        <w:t>Diskret tidsstegsform:</w:t>
      </w:r>
    </w:p>
    <w:p>
      <w:pPr>
        <w:pStyle w:val="EquationBlock"/>
      </w:pPr>
      <w:r>
        <w:t>p(t + Δt) = p(t) · A(Δt)</w:t>
      </w:r>
    </w:p>
    <w:p>
      <w:r>
        <w:t>Q är generator-/övergångsmatrisen med övergångsintensiteter, exempelvis λDU, λDD, λS och reparationsintensitet μ:</w:t>
      </w:r>
    </w:p>
    <w:p>
      <w:pPr>
        <w:pStyle w:val="EquationBlock"/>
      </w:pPr>
      <w:r>
        <w:t>μ = 1 / MTTR</w:t>
      </w:r>
    </w:p>
    <w:p>
      <w:r>
        <w:t>PFD(t) fås genom att summera sannolikheten för alla tillstånd där SIF:en inte kan utföra sin säkerhetsfunktion vid demand:</w:t>
      </w:r>
    </w:p>
    <w:p>
      <w:pPr>
        <w:pStyle w:val="EquationBlock"/>
      </w:pPr>
      <w:r>
        <w:t>PFD(t) = Σ p_i(t)  för alla dangerous unavailable states</w:t>
      </w:r>
    </w:p>
    <w:p>
      <w:pPr>
        <w:pStyle w:val="EquationBlock"/>
      </w:pPr>
      <w:r>
        <w:t>PFDavg = (1 / T_M) ∫_0^T_M Σ p_i(t) dt</w:t>
      </w:r>
    </w:p>
    <w:p>
      <w:r>
        <w:t>Det som gör Markovmodelleringen användbar är att modellen kan fånga sekvenser, exempelvis att ett fel först är detekterat, sedan ligger kvar under reparation, eller att ett DU-fel avslöjas vid proof test och därefter repareras. Den kan även hantera kombinationer av flera ben i röstningsarkitekturer där systemets farliga tillstånd uppstår först när ett visst antal ben är felade.</w:t>
      </w:r>
    </w:p>
    <w:p>
      <w:r>
        <w:br w:type="page"/>
      </w:r>
    </w:p>
    <w:p>
      <w:pPr>
        <w:pStyle w:val="Heading1"/>
      </w:pPr>
      <w:r>
        <w:t>10. Architectural constraints och systematic capability</w:t>
      </w:r>
    </w:p>
    <w:p>
      <w:r>
        <w:t>SILver kan enligt användarguiden beakta flera metoder för architectural constraints: IEC 61508:2000-tabeller, IEC 61508:2010-tabeller och IEC 61511-tabeller baserade på HFT och prior-use. [1]</w:t>
      </w:r>
    </w:p>
    <w:tbl>
      <w:tblPr>
        <w:tblStyle w:val="TableGrid"/>
        <w:tblW w:type="auto" w:w="0"/>
        <w:jc w:val="center"/>
        <w:tblLook w:firstColumn="1" w:firstRow="1" w:lastColumn="0" w:lastRow="0" w:noHBand="0" w:noVBand="1" w:val="04A0"/>
      </w:tblPr>
      <w:tblGrid>
        <w:gridCol w:w="5100"/>
        <w:gridCol w:w="5100"/>
      </w:tblGrid>
      <w:tr>
        <w:trPr>
          <w:cantSplit/>
        </w:trPr>
        <w:tc>
          <w:tcPr>
            <w:tcW w:type="dxa" w:w="2381"/>
            <w:shd w:fill="D9EAF7"/>
            <w:vAlign w:val="center"/>
          </w:tcPr>
          <w:p>
            <w:r/>
            <w:r>
              <w:rPr>
                <w:b/>
                <w:sz w:val="17"/>
              </w:rPr>
              <w:t>Område</w:t>
            </w:r>
          </w:p>
        </w:tc>
        <w:tc>
          <w:tcPr>
            <w:tcW w:type="dxa" w:w="6520"/>
            <w:shd w:fill="D9EAF7"/>
            <w:vAlign w:val="center"/>
          </w:tcPr>
          <w:p>
            <w:r/>
            <w:r>
              <w:rPr>
                <w:b/>
                <w:sz w:val="17"/>
              </w:rPr>
              <w:t>Hur det används i verifieringen</w:t>
            </w:r>
          </w:p>
        </w:tc>
      </w:tr>
      <w:tr>
        <w:trPr>
          <w:cantSplit/>
        </w:trPr>
        <w:tc>
          <w:tcPr>
            <w:tcW w:type="dxa" w:w="2381"/>
            <w:vAlign w:val="top"/>
          </w:tcPr>
          <w:p>
            <w:r/>
            <w:r>
              <w:rPr>
                <w:b w:val="0"/>
                <w:sz w:val="17"/>
              </w:rPr>
              <w:t>IEC 61508 Route 1H-liknande tabeller</w:t>
            </w:r>
          </w:p>
        </w:tc>
        <w:tc>
          <w:tcPr>
            <w:tcW w:type="dxa" w:w="6520"/>
            <w:vAlign w:val="top"/>
          </w:tcPr>
          <w:p>
            <w:r/>
            <w:r>
              <w:rPr>
                <w:b w:val="0"/>
                <w:sz w:val="17"/>
              </w:rPr>
              <w:t>Baserat på Type A/B, Safe Failure Fraction och Hardware Fault Tolerance.</w:t>
            </w:r>
          </w:p>
        </w:tc>
      </w:tr>
      <w:tr>
        <w:trPr>
          <w:cantSplit/>
        </w:trPr>
        <w:tc>
          <w:tcPr>
            <w:tcW w:type="dxa" w:w="2381"/>
            <w:vAlign w:val="top"/>
          </w:tcPr>
          <w:p>
            <w:r/>
            <w:r>
              <w:rPr>
                <w:b w:val="0"/>
                <w:sz w:val="17"/>
              </w:rPr>
              <w:t>IEC 61508:2000 vs 2010</w:t>
            </w:r>
          </w:p>
        </w:tc>
        <w:tc>
          <w:tcPr>
            <w:tcW w:type="dxa" w:w="6520"/>
            <w:vAlign w:val="top"/>
          </w:tcPr>
          <w:p>
            <w:r/>
            <w:r>
              <w:rPr>
                <w:b w:val="0"/>
                <w:sz w:val="17"/>
              </w:rPr>
              <w:t>Skillnad i hantering av no-effect-fel i SFF. 2010 inkluderar inte no-effect-fel på samma sätt i SFF. [1]</w:t>
            </w:r>
          </w:p>
        </w:tc>
      </w:tr>
      <w:tr>
        <w:trPr>
          <w:cantSplit/>
        </w:trPr>
        <w:tc>
          <w:tcPr>
            <w:tcW w:type="dxa" w:w="2381"/>
            <w:vAlign w:val="top"/>
          </w:tcPr>
          <w:p>
            <w:r/>
            <w:r>
              <w:rPr>
                <w:b w:val="0"/>
                <w:sz w:val="17"/>
              </w:rPr>
              <w:t>IEC 61511-tabeller</w:t>
            </w:r>
          </w:p>
        </w:tc>
        <w:tc>
          <w:tcPr>
            <w:tcW w:type="dxa" w:w="6520"/>
            <w:vAlign w:val="top"/>
          </w:tcPr>
          <w:p>
            <w:r/>
            <w:r>
              <w:rPr>
                <w:b w:val="0"/>
                <w:sz w:val="17"/>
              </w:rPr>
              <w:t>Baserat på HFT och prior-use. Användarguiden beskriver även en variant där IEC 61511-1 klausul 11.4.3 ignoreras för Type A-enheter. [1]</w:t>
            </w:r>
          </w:p>
        </w:tc>
      </w:tr>
      <w:tr>
        <w:trPr>
          <w:cantSplit/>
        </w:trPr>
        <w:tc>
          <w:tcPr>
            <w:tcW w:type="dxa" w:w="2381"/>
            <w:vAlign w:val="top"/>
          </w:tcPr>
          <w:p>
            <w:r/>
            <w:r>
              <w:rPr>
                <w:b w:val="0"/>
                <w:sz w:val="17"/>
              </w:rPr>
              <w:t>Systematic Capability</w:t>
            </w:r>
          </w:p>
        </w:tc>
        <w:tc>
          <w:tcPr>
            <w:tcW w:type="dxa" w:w="6520"/>
            <w:vAlign w:val="top"/>
          </w:tcPr>
          <w:p>
            <w:r/>
            <w:r>
              <w:rPr>
                <w:b w:val="0"/>
                <w:sz w:val="17"/>
              </w:rPr>
              <w:t>SILver kan granska IEC 61508 assessment-nivåer och/eller justification/proven-in-use-nivåer. För att uppnå en viss SIL-nivå måste all använd utrustning stödja minst den nivån. [1]</w:t>
            </w:r>
          </w:p>
        </w:tc>
      </w:tr>
    </w:tbl>
    <w:p>
      <w:r>
        <w:t>Detta innebär att en kvantitativt bra PFDavg inte räcker. Exempelvis kan en finalelementkedja med lågt PFDavg men otillräcklig HFT/SFF eller otillräcklig proven-in-use-dokumentation fortfarande begränsa verifierad SIL.</w:t>
      </w:r>
    </w:p>
    <w:p>
      <w:pPr>
        <w:pStyle w:val="Heading1"/>
      </w:pPr>
      <w:r>
        <w:t>11. Maintenance Capability Index och Site Safety Index</w:t>
      </w:r>
    </w:p>
    <w:p>
      <w:r>
        <w:t>exida har i senare versioner av exSILentia lagt större vikt vid att fånga verklig drift- och underhållsförmåga. Användarguiden anger att Maintenance Capability introducerades eftersom tidigare antagande om perfekt reparation ofta är mycket optimistiskt. [1]</w:t>
      </w:r>
    </w:p>
    <w:tbl>
      <w:tblPr>
        <w:tblStyle w:val="TableGrid"/>
        <w:tblW w:type="auto" w:w="0"/>
        <w:jc w:val="center"/>
        <w:tblLook w:firstColumn="1" w:firstRow="1" w:lastColumn="0" w:lastRow="0" w:noHBand="0" w:noVBand="1" w:val="04A0"/>
      </w:tblPr>
      <w:tblGrid>
        <w:gridCol w:w="3400"/>
        <w:gridCol w:w="3400"/>
        <w:gridCol w:w="3400"/>
      </w:tblGrid>
      <w:tr>
        <w:trPr>
          <w:cantSplit/>
        </w:trPr>
        <w:tc>
          <w:tcPr>
            <w:tcW w:type="dxa" w:w="1247"/>
            <w:shd w:fill="D9EAF7"/>
            <w:vAlign w:val="center"/>
          </w:tcPr>
          <w:p>
            <w:r/>
            <w:r>
              <w:rPr>
                <w:b/>
                <w:sz w:val="17"/>
              </w:rPr>
              <w:t>Index</w:t>
            </w:r>
          </w:p>
        </w:tc>
        <w:tc>
          <w:tcPr>
            <w:tcW w:type="dxa" w:w="1417"/>
            <w:shd w:fill="D9EAF7"/>
            <w:vAlign w:val="center"/>
          </w:tcPr>
          <w:p>
            <w:r/>
            <w:r>
              <w:rPr>
                <w:b/>
                <w:sz w:val="17"/>
              </w:rPr>
              <w:t>Korrekthet</w:t>
            </w:r>
          </w:p>
        </w:tc>
        <w:tc>
          <w:tcPr>
            <w:tcW w:type="dxa" w:w="5953"/>
            <w:shd w:fill="D9EAF7"/>
            <w:vAlign w:val="center"/>
          </w:tcPr>
          <w:p>
            <w:r/>
            <w:r>
              <w:rPr>
                <w:b/>
                <w:sz w:val="17"/>
              </w:rPr>
              <w:t>Tolkning enligt användarguiden</w:t>
            </w:r>
          </w:p>
        </w:tc>
      </w:tr>
      <w:tr>
        <w:trPr>
          <w:cantSplit/>
        </w:trPr>
        <w:tc>
          <w:tcPr>
            <w:tcW w:type="dxa" w:w="1247"/>
            <w:vAlign w:val="top"/>
          </w:tcPr>
          <w:p>
            <w:r/>
            <w:r>
              <w:rPr>
                <w:b w:val="0"/>
                <w:sz w:val="17"/>
              </w:rPr>
              <w:t>MCI 0</w:t>
            </w:r>
          </w:p>
        </w:tc>
        <w:tc>
          <w:tcPr>
            <w:tcW w:type="dxa" w:w="1417"/>
            <w:vAlign w:val="top"/>
          </w:tcPr>
          <w:p>
            <w:r/>
            <w:r>
              <w:rPr>
                <w:b w:val="0"/>
                <w:sz w:val="17"/>
              </w:rPr>
              <w:t>0 %</w:t>
            </w:r>
          </w:p>
        </w:tc>
        <w:tc>
          <w:tcPr>
            <w:tcW w:type="dxa" w:w="5953"/>
            <w:vAlign w:val="top"/>
          </w:tcPr>
          <w:p>
            <w:r/>
            <w:r>
              <w:rPr>
                <w:b w:val="0"/>
                <w:sz w:val="17"/>
              </w:rPr>
              <w:t>No repair - reparation utförs inte.</w:t>
            </w:r>
          </w:p>
        </w:tc>
      </w:tr>
      <w:tr>
        <w:trPr>
          <w:cantSplit/>
        </w:trPr>
        <w:tc>
          <w:tcPr>
            <w:tcW w:type="dxa" w:w="1247"/>
            <w:vAlign w:val="top"/>
          </w:tcPr>
          <w:p>
            <w:r/>
            <w:r>
              <w:rPr>
                <w:b w:val="0"/>
                <w:sz w:val="17"/>
              </w:rPr>
              <w:t>MCI 1</w:t>
            </w:r>
          </w:p>
        </w:tc>
        <w:tc>
          <w:tcPr>
            <w:tcW w:type="dxa" w:w="1417"/>
            <w:vAlign w:val="top"/>
          </w:tcPr>
          <w:p>
            <w:r/>
            <w:r>
              <w:rPr>
                <w:b w:val="0"/>
                <w:sz w:val="17"/>
              </w:rPr>
              <w:t>60 %</w:t>
            </w:r>
          </w:p>
        </w:tc>
        <w:tc>
          <w:tcPr>
            <w:tcW w:type="dxa" w:w="5953"/>
            <w:vAlign w:val="top"/>
          </w:tcPr>
          <w:p>
            <w:r/>
            <w:r>
              <w:rPr>
                <w:b w:val="0"/>
                <w:sz w:val="17"/>
              </w:rPr>
              <w:t>Medium repair - reparationer görs när underhåll finns tillgängligt, fel åtgärdas ofta inte helt.</w:t>
            </w:r>
          </w:p>
        </w:tc>
      </w:tr>
      <w:tr>
        <w:trPr>
          <w:cantSplit/>
        </w:trPr>
        <w:tc>
          <w:tcPr>
            <w:tcW w:type="dxa" w:w="1247"/>
            <w:vAlign w:val="top"/>
          </w:tcPr>
          <w:p>
            <w:r/>
            <w:r>
              <w:rPr>
                <w:b w:val="0"/>
                <w:sz w:val="17"/>
              </w:rPr>
              <w:t>MCI 2</w:t>
            </w:r>
          </w:p>
        </w:tc>
        <w:tc>
          <w:tcPr>
            <w:tcW w:type="dxa" w:w="1417"/>
            <w:vAlign w:val="top"/>
          </w:tcPr>
          <w:p>
            <w:r/>
            <w:r>
              <w:rPr>
                <w:b w:val="0"/>
                <w:sz w:val="17"/>
              </w:rPr>
              <w:t>90 %</w:t>
            </w:r>
          </w:p>
        </w:tc>
        <w:tc>
          <w:tcPr>
            <w:tcW w:type="dxa" w:w="5953"/>
            <w:vAlign w:val="top"/>
          </w:tcPr>
          <w:p>
            <w:r/>
            <w:r>
              <w:rPr>
                <w:b w:val="0"/>
                <w:sz w:val="17"/>
              </w:rPr>
              <w:t>Good repair - reparationer görs, men kalibrering/utförande är inte alltid perfekt.</w:t>
            </w:r>
          </w:p>
        </w:tc>
      </w:tr>
      <w:tr>
        <w:trPr>
          <w:cantSplit/>
        </w:trPr>
        <w:tc>
          <w:tcPr>
            <w:tcW w:type="dxa" w:w="1247"/>
            <w:vAlign w:val="top"/>
          </w:tcPr>
          <w:p>
            <w:r/>
            <w:r>
              <w:rPr>
                <w:b w:val="0"/>
                <w:sz w:val="17"/>
              </w:rPr>
              <w:t>MCI 3</w:t>
            </w:r>
          </w:p>
        </w:tc>
        <w:tc>
          <w:tcPr>
            <w:tcW w:type="dxa" w:w="1417"/>
            <w:vAlign w:val="top"/>
          </w:tcPr>
          <w:p>
            <w:r/>
            <w:r>
              <w:rPr>
                <w:b w:val="0"/>
                <w:sz w:val="17"/>
              </w:rPr>
              <w:t>99 %</w:t>
            </w:r>
          </w:p>
        </w:tc>
        <w:tc>
          <w:tcPr>
            <w:tcW w:type="dxa" w:w="5953"/>
            <w:vAlign w:val="top"/>
          </w:tcPr>
          <w:p>
            <w:r/>
            <w:r>
              <w:rPr>
                <w:b w:val="0"/>
                <w:sz w:val="17"/>
              </w:rPr>
              <w:t>Almost perfect repair - mycket god reparation, mindre misstag är ovanliga.</w:t>
            </w:r>
          </w:p>
        </w:tc>
      </w:tr>
      <w:tr>
        <w:trPr>
          <w:cantSplit/>
        </w:trPr>
        <w:tc>
          <w:tcPr>
            <w:tcW w:type="dxa" w:w="1247"/>
            <w:vAlign w:val="top"/>
          </w:tcPr>
          <w:p>
            <w:r/>
            <w:r>
              <w:rPr>
                <w:b w:val="0"/>
                <w:sz w:val="17"/>
              </w:rPr>
              <w:t>MCI 4</w:t>
            </w:r>
          </w:p>
        </w:tc>
        <w:tc>
          <w:tcPr>
            <w:tcW w:type="dxa" w:w="1417"/>
            <w:vAlign w:val="top"/>
          </w:tcPr>
          <w:p>
            <w:r/>
            <w:r>
              <w:rPr>
                <w:b w:val="0"/>
                <w:sz w:val="17"/>
              </w:rPr>
              <w:t>100 %</w:t>
            </w:r>
          </w:p>
        </w:tc>
        <w:tc>
          <w:tcPr>
            <w:tcW w:type="dxa" w:w="5953"/>
            <w:vAlign w:val="top"/>
          </w:tcPr>
          <w:p>
            <w:r/>
            <w:r>
              <w:rPr>
                <w:b w:val="0"/>
                <w:sz w:val="17"/>
              </w:rPr>
              <w:t>Perfect repair - reparationer och kalibrering antas alltid korrekta.</w:t>
            </w:r>
          </w:p>
        </w:tc>
      </w:tr>
    </w:tbl>
    <w:p>
      <w:r>
        <w:t>Site Safety Index, SSI, är exidas sätt att fånga skillnader i platsens praktiska rutiner. exidas white paper om human factors anger att SSI inte i sig är en PFD-variabel, utan används för att modifiera andra variabler: felfrekvenser, proof test effectiveness, proof test intervals, mean time to restore och PIF. [3]</w:t>
      </w:r>
    </w:p>
    <w:p>
      <w:r>
        <w:t>Exempel på faktorer som påverkar SSI är enligt exida bland annat commissioning test, safety validation test, proof test procedures, proof test documentation, failure diagnostic and repair procedures, useful-life tracking, SIS modification procedures och SIS decommissioning procedures. [2]</w:t>
      </w:r>
    </w:p>
    <w:p>
      <w:r>
        <w:br w:type="page"/>
      </w:r>
    </w:p>
    <w:p>
      <w:pPr>
        <w:pStyle w:val="Heading1"/>
      </w:pPr>
      <w:r>
        <w:t>12. Praktiskt arbetsflöde i en SIL-verifiering</w:t>
      </w:r>
    </w:p>
    <w:tbl>
      <w:tblPr>
        <w:tblStyle w:val="TableGrid"/>
        <w:tblW w:type="auto" w:w="0"/>
        <w:jc w:val="center"/>
        <w:tblLook w:firstColumn="1" w:firstRow="1" w:lastColumn="0" w:lastRow="0" w:noHBand="0" w:noVBand="1" w:val="04A0"/>
      </w:tblPr>
      <w:tblGrid>
        <w:gridCol w:w="3400"/>
        <w:gridCol w:w="3400"/>
        <w:gridCol w:w="3400"/>
      </w:tblGrid>
      <w:tr>
        <w:trPr>
          <w:cantSplit/>
        </w:trPr>
        <w:tc>
          <w:tcPr>
            <w:tcW w:type="dxa" w:w="680"/>
            <w:shd w:fill="D9EAF7"/>
            <w:vAlign w:val="center"/>
          </w:tcPr>
          <w:p>
            <w:r/>
            <w:r>
              <w:rPr>
                <w:b/>
                <w:sz w:val="16"/>
              </w:rPr>
              <w:t>Steg</w:t>
            </w:r>
          </w:p>
        </w:tc>
        <w:tc>
          <w:tcPr>
            <w:tcW w:type="dxa" w:w="2268"/>
            <w:shd w:fill="D9EAF7"/>
            <w:vAlign w:val="center"/>
          </w:tcPr>
          <w:p>
            <w:r/>
            <w:r>
              <w:rPr>
                <w:b/>
                <w:sz w:val="16"/>
              </w:rPr>
              <w:t>Aktivitet</w:t>
            </w:r>
          </w:p>
        </w:tc>
        <w:tc>
          <w:tcPr>
            <w:tcW w:type="dxa" w:w="5953"/>
            <w:shd w:fill="D9EAF7"/>
            <w:vAlign w:val="center"/>
          </w:tcPr>
          <w:p>
            <w:r/>
            <w:r>
              <w:rPr>
                <w:b/>
                <w:sz w:val="16"/>
              </w:rPr>
              <w:t>Praktisk kommentar</w:t>
            </w:r>
          </w:p>
        </w:tc>
      </w:tr>
      <w:tr>
        <w:trPr>
          <w:cantSplit/>
        </w:trPr>
        <w:tc>
          <w:tcPr>
            <w:tcW w:type="dxa" w:w="680"/>
            <w:vAlign w:val="top"/>
          </w:tcPr>
          <w:p>
            <w:r/>
            <w:r>
              <w:rPr>
                <w:b w:val="0"/>
                <w:sz w:val="16"/>
              </w:rPr>
              <w:t>1</w:t>
            </w:r>
          </w:p>
        </w:tc>
        <w:tc>
          <w:tcPr>
            <w:tcW w:type="dxa" w:w="2268"/>
            <w:vAlign w:val="top"/>
          </w:tcPr>
          <w:p>
            <w:r/>
            <w:r>
              <w:rPr>
                <w:b w:val="0"/>
                <w:sz w:val="16"/>
              </w:rPr>
              <w:t>Fastställ SIF och target SIL</w:t>
            </w:r>
          </w:p>
        </w:tc>
        <w:tc>
          <w:tcPr>
            <w:tcW w:type="dxa" w:w="5953"/>
            <w:vAlign w:val="top"/>
          </w:tcPr>
          <w:p>
            <w:r/>
            <w:r>
              <w:rPr>
                <w:b w:val="0"/>
                <w:sz w:val="16"/>
              </w:rPr>
              <w:t>Utgå från HAZOP/LOPA/SIL selection. Definiera farlig händelse, safe state, demand source, process safety time och target SIL.</w:t>
            </w:r>
          </w:p>
        </w:tc>
      </w:tr>
      <w:tr>
        <w:trPr>
          <w:cantSplit/>
        </w:trPr>
        <w:tc>
          <w:tcPr>
            <w:tcW w:type="dxa" w:w="680"/>
            <w:vAlign w:val="top"/>
          </w:tcPr>
          <w:p>
            <w:r/>
            <w:r>
              <w:rPr>
                <w:b w:val="0"/>
                <w:sz w:val="16"/>
              </w:rPr>
              <w:t>2</w:t>
            </w:r>
          </w:p>
        </w:tc>
        <w:tc>
          <w:tcPr>
            <w:tcW w:type="dxa" w:w="2268"/>
            <w:vAlign w:val="top"/>
          </w:tcPr>
          <w:p>
            <w:r/>
            <w:r>
              <w:rPr>
                <w:b w:val="0"/>
                <w:sz w:val="16"/>
              </w:rPr>
              <w:t>Bestäm demand mode och mission time</w:t>
            </w:r>
          </w:p>
        </w:tc>
        <w:tc>
          <w:tcPr>
            <w:tcW w:type="dxa" w:w="5953"/>
            <w:vAlign w:val="top"/>
          </w:tcPr>
          <w:p>
            <w:r/>
            <w:r>
              <w:rPr>
                <w:b w:val="0"/>
                <w:sz w:val="16"/>
              </w:rPr>
              <w:t>Ange low/high/continuous demand, demand interval, mission time och eventuellt startup time. Mission time bör vara minst lika lång som största proof test-intervall. [1]</w:t>
            </w:r>
          </w:p>
        </w:tc>
      </w:tr>
      <w:tr>
        <w:trPr>
          <w:cantSplit/>
        </w:trPr>
        <w:tc>
          <w:tcPr>
            <w:tcW w:type="dxa" w:w="680"/>
            <w:vAlign w:val="top"/>
          </w:tcPr>
          <w:p>
            <w:r/>
            <w:r>
              <w:rPr>
                <w:b w:val="0"/>
                <w:sz w:val="16"/>
              </w:rPr>
              <w:t>3</w:t>
            </w:r>
          </w:p>
        </w:tc>
        <w:tc>
          <w:tcPr>
            <w:tcW w:type="dxa" w:w="2268"/>
            <w:vAlign w:val="top"/>
          </w:tcPr>
          <w:p>
            <w:r/>
            <w:r>
              <w:rPr>
                <w:b w:val="0"/>
                <w:sz w:val="16"/>
              </w:rPr>
              <w:t>Bygg SIF-arkitekturen</w:t>
            </w:r>
          </w:p>
        </w:tc>
        <w:tc>
          <w:tcPr>
            <w:tcW w:type="dxa" w:w="5953"/>
            <w:vAlign w:val="top"/>
          </w:tcPr>
          <w:p>
            <w:r/>
            <w:r>
              <w:rPr>
                <w:b w:val="0"/>
                <w:sz w:val="16"/>
              </w:rPr>
              <w:t>Dela in i sensor, logic solver och final element. Modellera grupper, ben och röstning, t.ex. 1oo1, 1oo2, 2oo3.</w:t>
            </w:r>
          </w:p>
        </w:tc>
      </w:tr>
      <w:tr>
        <w:trPr>
          <w:cantSplit/>
        </w:trPr>
        <w:tc>
          <w:tcPr>
            <w:tcW w:type="dxa" w:w="680"/>
            <w:vAlign w:val="top"/>
          </w:tcPr>
          <w:p>
            <w:r/>
            <w:r>
              <w:rPr>
                <w:b w:val="0"/>
                <w:sz w:val="16"/>
              </w:rPr>
              <w:t>4</w:t>
            </w:r>
          </w:p>
        </w:tc>
        <w:tc>
          <w:tcPr>
            <w:tcW w:type="dxa" w:w="2268"/>
            <w:vAlign w:val="top"/>
          </w:tcPr>
          <w:p>
            <w:r/>
            <w:r>
              <w:rPr>
                <w:b w:val="0"/>
                <w:sz w:val="16"/>
              </w:rPr>
              <w:t>Välj utrustningsdata</w:t>
            </w:r>
          </w:p>
        </w:tc>
        <w:tc>
          <w:tcPr>
            <w:tcW w:type="dxa" w:w="5953"/>
            <w:vAlign w:val="top"/>
          </w:tcPr>
          <w:p>
            <w:r/>
            <w:r>
              <w:rPr>
                <w:b w:val="0"/>
                <w:sz w:val="16"/>
              </w:rPr>
              <w:t>Välj komponenter från SERH eller ange egna data. Kontrollera Type A/B, SC, SFF och felklassificering.</w:t>
            </w:r>
          </w:p>
        </w:tc>
      </w:tr>
      <w:tr>
        <w:trPr>
          <w:cantSplit/>
        </w:trPr>
        <w:tc>
          <w:tcPr>
            <w:tcW w:type="dxa" w:w="680"/>
            <w:vAlign w:val="top"/>
          </w:tcPr>
          <w:p>
            <w:r/>
            <w:r>
              <w:rPr>
                <w:b w:val="0"/>
                <w:sz w:val="16"/>
              </w:rPr>
              <w:t>5</w:t>
            </w:r>
          </w:p>
        </w:tc>
        <w:tc>
          <w:tcPr>
            <w:tcW w:type="dxa" w:w="2268"/>
            <w:vAlign w:val="top"/>
          </w:tcPr>
          <w:p>
            <w:r/>
            <w:r>
              <w:rPr>
                <w:b w:val="0"/>
                <w:sz w:val="16"/>
              </w:rPr>
              <w:t>Ange test- och underhållsdata</w:t>
            </w:r>
          </w:p>
        </w:tc>
        <w:tc>
          <w:tcPr>
            <w:tcW w:type="dxa" w:w="5953"/>
            <w:vAlign w:val="top"/>
          </w:tcPr>
          <w:p>
            <w:r/>
            <w:r>
              <w:rPr>
                <w:b w:val="0"/>
                <w:sz w:val="16"/>
              </w:rPr>
              <w:t>TI, CPT, PTD, MTTR, MCI, SSI och PIF. Beskriv om proof test görs online/offline och om SIF är bypassad.</w:t>
            </w:r>
          </w:p>
        </w:tc>
      </w:tr>
      <w:tr>
        <w:trPr>
          <w:cantSplit/>
        </w:trPr>
        <w:tc>
          <w:tcPr>
            <w:tcW w:type="dxa" w:w="680"/>
            <w:vAlign w:val="top"/>
          </w:tcPr>
          <w:p>
            <w:r/>
            <w:r>
              <w:rPr>
                <w:b w:val="0"/>
                <w:sz w:val="16"/>
              </w:rPr>
              <w:t>6</w:t>
            </w:r>
          </w:p>
        </w:tc>
        <w:tc>
          <w:tcPr>
            <w:tcW w:type="dxa" w:w="2268"/>
            <w:vAlign w:val="top"/>
          </w:tcPr>
          <w:p>
            <w:r/>
            <w:r>
              <w:rPr>
                <w:b w:val="0"/>
                <w:sz w:val="16"/>
              </w:rPr>
              <w:t>Ange common cause</w:t>
            </w:r>
          </w:p>
        </w:tc>
        <w:tc>
          <w:tcPr>
            <w:tcW w:type="dxa" w:w="5953"/>
            <w:vAlign w:val="top"/>
          </w:tcPr>
          <w:p>
            <w:r/>
            <w:r>
              <w:rPr>
                <w:b w:val="0"/>
                <w:sz w:val="16"/>
              </w:rPr>
              <w:t>Sätt beta-faktorer för redundanta ben/grupper. Motivera separation/diversitet om beta sätts lågt.</w:t>
            </w:r>
          </w:p>
        </w:tc>
      </w:tr>
      <w:tr>
        <w:trPr>
          <w:cantSplit/>
        </w:trPr>
        <w:tc>
          <w:tcPr>
            <w:tcW w:type="dxa" w:w="680"/>
            <w:vAlign w:val="top"/>
          </w:tcPr>
          <w:p>
            <w:r/>
            <w:r>
              <w:rPr>
                <w:b w:val="0"/>
                <w:sz w:val="16"/>
              </w:rPr>
              <w:t>7</w:t>
            </w:r>
          </w:p>
        </w:tc>
        <w:tc>
          <w:tcPr>
            <w:tcW w:type="dxa" w:w="2268"/>
            <w:vAlign w:val="top"/>
          </w:tcPr>
          <w:p>
            <w:r/>
            <w:r>
              <w:rPr>
                <w:b w:val="0"/>
                <w:sz w:val="16"/>
              </w:rPr>
              <w:t>Kör verifiering</w:t>
            </w:r>
          </w:p>
        </w:tc>
        <w:tc>
          <w:tcPr>
            <w:tcW w:type="dxa" w:w="5953"/>
            <w:vAlign w:val="top"/>
          </w:tcPr>
          <w:p>
            <w:r/>
            <w:r>
              <w:rPr>
                <w:b w:val="0"/>
                <w:sz w:val="16"/>
              </w:rPr>
              <w:t>Granska PFDavg/PFH, achieved SIL, delsystemens bidrag och MTTFS/spurious trip.</w:t>
            </w:r>
          </w:p>
        </w:tc>
      </w:tr>
      <w:tr>
        <w:trPr>
          <w:cantSplit/>
        </w:trPr>
        <w:tc>
          <w:tcPr>
            <w:tcW w:type="dxa" w:w="680"/>
            <w:vAlign w:val="top"/>
          </w:tcPr>
          <w:p>
            <w:r/>
            <w:r>
              <w:rPr>
                <w:b w:val="0"/>
                <w:sz w:val="16"/>
              </w:rPr>
              <w:t>8</w:t>
            </w:r>
          </w:p>
        </w:tc>
        <w:tc>
          <w:tcPr>
            <w:tcW w:type="dxa" w:w="2268"/>
            <w:vAlign w:val="top"/>
          </w:tcPr>
          <w:p>
            <w:r/>
            <w:r>
              <w:rPr>
                <w:b w:val="0"/>
                <w:sz w:val="16"/>
              </w:rPr>
              <w:t>Granska barriärer</w:t>
            </w:r>
          </w:p>
        </w:tc>
        <w:tc>
          <w:tcPr>
            <w:tcW w:type="dxa" w:w="5953"/>
            <w:vAlign w:val="top"/>
          </w:tcPr>
          <w:p>
            <w:r/>
            <w:r>
              <w:rPr>
                <w:b w:val="0"/>
                <w:sz w:val="16"/>
              </w:rPr>
              <w:t>Kontrollera att PFD/PFH, architectural constraints och systematic capability/proven in use alla når target SIL.</w:t>
            </w:r>
          </w:p>
        </w:tc>
      </w:tr>
      <w:tr>
        <w:trPr>
          <w:cantSplit/>
        </w:trPr>
        <w:tc>
          <w:tcPr>
            <w:tcW w:type="dxa" w:w="680"/>
            <w:vAlign w:val="top"/>
          </w:tcPr>
          <w:p>
            <w:r/>
            <w:r>
              <w:rPr>
                <w:b w:val="0"/>
                <w:sz w:val="16"/>
              </w:rPr>
              <w:t>9</w:t>
            </w:r>
          </w:p>
        </w:tc>
        <w:tc>
          <w:tcPr>
            <w:tcW w:type="dxa" w:w="2268"/>
            <w:vAlign w:val="top"/>
          </w:tcPr>
          <w:p>
            <w:r/>
            <w:r>
              <w:rPr>
                <w:b w:val="0"/>
                <w:sz w:val="16"/>
              </w:rPr>
              <w:t>Dokumentera resultatet</w:t>
            </w:r>
          </w:p>
        </w:tc>
        <w:tc>
          <w:tcPr>
            <w:tcW w:type="dxa" w:w="5953"/>
            <w:vAlign w:val="top"/>
          </w:tcPr>
          <w:p>
            <w:r/>
            <w:r>
              <w:rPr>
                <w:b w:val="0"/>
                <w:sz w:val="16"/>
              </w:rPr>
              <w:t>Redovisa antaganden, datakällor, proof test coverage, MTTR, beta, SSI/MCI, begränsningar och rekommenderade åtgärder.</w:t>
            </w:r>
          </w:p>
        </w:tc>
      </w:tr>
    </w:tbl>
    <w:p>
      <w:pPr>
        <w:pStyle w:val="Heading1"/>
      </w:pPr>
      <w:r>
        <w:t>13. Begränsningar och granskningspunkter</w:t>
      </w:r>
    </w:p>
    <w:p>
      <w:pPr>
        <w:pStyle w:val="ListBullet"/>
      </w:pPr>
      <w:r>
        <w:t>Fullständig Markovmodell och utrustningsdatabas är proprietära. En extern granskare bör därför fokusera på indata, antaganden, rimlighet och känslighetsanalyser.</w:t>
      </w:r>
    </w:p>
    <w:p>
      <w:pPr>
        <w:pStyle w:val="ListBullet"/>
      </w:pPr>
      <w:r>
        <w:t>SILver användarguide anger att användaren är ansvarig för att granska alla antaganden och val i analysen. [1]</w:t>
      </w:r>
    </w:p>
    <w:p>
      <w:pPr>
        <w:pStyle w:val="ListBullet"/>
      </w:pPr>
      <w:r>
        <w:t>SILver kan enligt användarguiden användas för verifieringar upp till SIL 4, men för funktioner som ska nå SIL 4 bör användaren göra oberoende verifiering enligt IEC 61508/IEC 61511. [1]</w:t>
      </w:r>
    </w:p>
    <w:p>
      <w:pPr>
        <w:pStyle w:val="ListBullet"/>
      </w:pPr>
      <w:r>
        <w:t>SERH-data är generiska branschdata. Användaren måste bedöma om miljö, stressnivåer, media, vibrationer, temperatur, underhåll och verklig installation motiverar justerade felfrekvenser. [1]</w:t>
      </w:r>
    </w:p>
    <w:p>
      <w:pPr>
        <w:pStyle w:val="ListBullet"/>
      </w:pPr>
      <w:r>
        <w:t>Proof test coverage är ofta den mest osäkra parametern. Ett manuellt test som endast provar delar av funktionen ska inte ges 100 % CPT.</w:t>
      </w:r>
    </w:p>
    <w:p>
      <w:pPr>
        <w:pStyle w:val="ListBullet"/>
      </w:pPr>
      <w:r>
        <w:t>Finalelement är ofta dominerande för PFDavg. Det är särskilt viktigt att inkludera solenoider, luftförsörjning, ventilstickning, partial stroke-testning och verklig testbarhet.</w:t>
      </w:r>
    </w:p>
    <w:p>
      <w:pPr>
        <w:pStyle w:val="ListBullet"/>
      </w:pPr>
      <w:r>
        <w:t>Energize-to-trip kräver särskild granskning. Användarguiden anger att diskreta databaser normalt antar de-energize-to-trip om inget annat anges och att användaren behöver inkludera kraftförsörjningens felbidrag för ETT. [1]</w:t>
      </w:r>
    </w:p>
    <w:p>
      <w:pPr>
        <w:pStyle w:val="ListBullet"/>
      </w:pPr>
      <w:r>
        <w:t>Common cause ska inte antas bort. Låg beta bör motiveras med verklig separation, diversitet, installation, miljö och underhållsrutiner.</w:t>
      </w:r>
    </w:p>
    <w:p>
      <w:pPr>
        <w:pStyle w:val="ListBullet"/>
      </w:pPr>
      <w:r>
        <w:t>Ett PFDavg-värde utan dokumenterad proof test-procedur, bypasshantering, repair philosophy och proof test coverage är normalt inte tillräckligt för en robust SIL-verifiering.</w:t>
      </w:r>
    </w:p>
    <w:p>
      <w:pPr>
        <w:pStyle w:val="Heading1"/>
      </w:pPr>
      <w:r>
        <w:t>14. Rekommenderad rapporttext</w:t>
      </w:r>
    </w:p>
    <w:p>
      <w:r>
        <w:t>Nedanstående formulering kan användas i en rapport, med projektunika data och antaganden ifyllda:</w:t>
      </w:r>
    </w:p>
    <w:p>
      <w:pPr>
        <w:pStyle w:val="Note"/>
      </w:pPr>
      <w:r>
        <w:t>SIL-verifieringen har utförts genom modellering av respektive Safety Instrumented Function (SIF) med indelning i sensor-, logik- och finalelementdel. För low demand-funktioner har PFDavg beräknats över angiven mission time och för high/continuous demand-funktioner används PFH. Beräkningen har baserats på relevanta feldata, diagnostisk täckning, proof test-intervall, proof test coverage, MTTR, eventuell proof test-bypass, probability of initial failure samt common cause-faktorer för redundanta arkitekturer. Den uppnådda SIL-nivån har därefter bedömts som den lägsta nivån av tre verifieringsbarriärer: kvantitativ PFDavg/PFH, architectural constraints och systematic capability/proven in use. Där antaganden bedöms osäkra bör känslighetsanalys genomföras, särskilt avseende proof test coverage, finalelementdata, MTTR, beta-faktorer och site-/maintenance-relaterade parametrar.</w:t>
      </w:r>
    </w:p>
    <w:p>
      <w:pPr>
        <w:pStyle w:val="Heading1"/>
      </w:pPr>
      <w:r>
        <w:t>15. Källor</w:t>
      </w:r>
    </w:p>
    <w:p>
      <w:pPr>
        <w:pStyle w:val="Reference"/>
      </w:pPr>
      <w:r>
        <w:rPr>
          <w:b/>
        </w:rPr>
        <w:t xml:space="preserve">[1] exida, exSILentia 3.0 User Guide, Chapter 10 SILver - SIL Verification och Chapter 15 Assumptions SILver. </w:t>
      </w:r>
      <w:r>
        <w:t>https://www.exida.com/pub/exSILentiaUserGuide.pdf</w:t>
      </w:r>
    </w:p>
    <w:p>
      <w:pPr>
        <w:pStyle w:val="Reference"/>
      </w:pPr>
      <w:r>
        <w:rPr>
          <w:b/>
        </w:rPr>
        <w:t xml:space="preserve">[2] Iwan van Beurden &amp; William M. Goble, exida White Paper: The Key Variables Needed for PFDavg Calculation, February 2018. </w:t>
      </w:r>
      <w:r>
        <w:t>https://www.exida.com.sg/wp-content/uploads/2022/04/Key-Variables-Needed-for-PFDavg-Calculation.pdf</w:t>
      </w:r>
    </w:p>
    <w:p>
      <w:pPr>
        <w:pStyle w:val="Reference"/>
      </w:pPr>
      <w:r>
        <w:rPr>
          <w:b/>
        </w:rPr>
        <w:t xml:space="preserve">[3] exida White Paper: Quantifying the Impacts of Human Factors on Functional Safety. </w:t>
      </w:r>
      <w:r>
        <w:t>https://www.exida.com.sg/wp-content/uploads/2022/04/Quantifying-the-Impacts-of-Human-Factors-on-Functional-Safety.pdf</w:t>
      </w:r>
    </w:p>
    <w:p>
      <w:pPr>
        <w:pStyle w:val="Reference"/>
      </w:pPr>
      <w:r>
        <w:rPr>
          <w:b/>
        </w:rPr>
        <w:t xml:space="preserve">[4] exida product/training pages for exSILentia and SIL verification with SILver, accessed via public search results 2026-06-30. </w:t>
      </w:r>
      <w:r>
        <w:t>https://www.exida.com/exsilentia</w:t>
      </w:r>
    </w:p>
    <w:p>
      <w:r>
        <w:br w:type="page"/>
      </w:r>
    </w:p>
    <w:p>
      <w:pPr>
        <w:pStyle w:val="Heading1"/>
      </w:pPr>
      <w:r>
        <w:t>Bilaga A - Snabb checklista för granskning av en SILver-beräkning</w:t>
      </w:r>
    </w:p>
    <w:tbl>
      <w:tblPr>
        <w:tblStyle w:val="TableGrid"/>
        <w:tblW w:type="auto" w:w="0"/>
        <w:jc w:val="center"/>
        <w:tblLook w:firstColumn="1" w:firstRow="1" w:lastColumn="0" w:lastRow="0" w:noHBand="0" w:noVBand="1" w:val="04A0"/>
      </w:tblPr>
      <w:tblGrid>
        <w:gridCol w:w="5100"/>
        <w:gridCol w:w="5100"/>
      </w:tblGrid>
      <w:tr>
        <w:trPr>
          <w:cantSplit/>
        </w:trPr>
        <w:tc>
          <w:tcPr>
            <w:tcW w:type="dxa" w:w="2268"/>
            <w:shd w:fill="D9EAF7"/>
            <w:vAlign w:val="center"/>
          </w:tcPr>
          <w:p>
            <w:r/>
            <w:r>
              <w:rPr>
                <w:b/>
                <w:sz w:val="17"/>
              </w:rPr>
              <w:t>Område</w:t>
            </w:r>
          </w:p>
        </w:tc>
        <w:tc>
          <w:tcPr>
            <w:tcW w:type="dxa" w:w="6520"/>
            <w:shd w:fill="D9EAF7"/>
            <w:vAlign w:val="center"/>
          </w:tcPr>
          <w:p>
            <w:r/>
            <w:r>
              <w:rPr>
                <w:b/>
                <w:sz w:val="17"/>
              </w:rPr>
              <w:t>Fråga</w:t>
            </w:r>
          </w:p>
        </w:tc>
      </w:tr>
      <w:tr>
        <w:trPr>
          <w:cantSplit/>
        </w:trPr>
        <w:tc>
          <w:tcPr>
            <w:tcW w:type="dxa" w:w="2268"/>
            <w:vAlign w:val="top"/>
          </w:tcPr>
          <w:p>
            <w:r/>
            <w:r>
              <w:rPr>
                <w:b w:val="0"/>
                <w:sz w:val="17"/>
              </w:rPr>
              <w:t>SIF-definition</w:t>
            </w:r>
          </w:p>
        </w:tc>
        <w:tc>
          <w:tcPr>
            <w:tcW w:type="dxa" w:w="6520"/>
            <w:vAlign w:val="top"/>
          </w:tcPr>
          <w:p>
            <w:r/>
            <w:r>
              <w:rPr>
                <w:b w:val="0"/>
                <w:sz w:val="17"/>
              </w:rPr>
              <w:t>Är safe state, process safety time, demand source och target SIL tydligt definierade?</w:t>
            </w:r>
          </w:p>
        </w:tc>
      </w:tr>
      <w:tr>
        <w:trPr>
          <w:cantSplit/>
        </w:trPr>
        <w:tc>
          <w:tcPr>
            <w:tcW w:type="dxa" w:w="2268"/>
            <w:vAlign w:val="top"/>
          </w:tcPr>
          <w:p>
            <w:r/>
            <w:r>
              <w:rPr>
                <w:b w:val="0"/>
                <w:sz w:val="17"/>
              </w:rPr>
              <w:t>Demand mode</w:t>
            </w:r>
          </w:p>
        </w:tc>
        <w:tc>
          <w:tcPr>
            <w:tcW w:type="dxa" w:w="6520"/>
            <w:vAlign w:val="top"/>
          </w:tcPr>
          <w:p>
            <w:r/>
            <w:r>
              <w:rPr>
                <w:b w:val="0"/>
                <w:sz w:val="17"/>
              </w:rPr>
              <w:t>Är low/high/continuous demand motiverad? Är demand interval rimligt?</w:t>
            </w:r>
          </w:p>
        </w:tc>
      </w:tr>
      <w:tr>
        <w:trPr>
          <w:cantSplit/>
        </w:trPr>
        <w:tc>
          <w:tcPr>
            <w:tcW w:type="dxa" w:w="2268"/>
            <w:vAlign w:val="top"/>
          </w:tcPr>
          <w:p>
            <w:r/>
            <w:r>
              <w:rPr>
                <w:b w:val="0"/>
                <w:sz w:val="17"/>
              </w:rPr>
              <w:t>Mission time</w:t>
            </w:r>
          </w:p>
        </w:tc>
        <w:tc>
          <w:tcPr>
            <w:tcW w:type="dxa" w:w="6520"/>
            <w:vAlign w:val="top"/>
          </w:tcPr>
          <w:p>
            <w:r/>
            <w:r>
              <w:rPr>
                <w:b w:val="0"/>
                <w:sz w:val="17"/>
              </w:rPr>
              <w:t>Är mission time minst lika lång som största proof test-intervall?</w:t>
            </w:r>
          </w:p>
        </w:tc>
      </w:tr>
      <w:tr>
        <w:trPr>
          <w:cantSplit/>
        </w:trPr>
        <w:tc>
          <w:tcPr>
            <w:tcW w:type="dxa" w:w="2268"/>
            <w:vAlign w:val="top"/>
          </w:tcPr>
          <w:p>
            <w:r/>
            <w:r>
              <w:rPr>
                <w:b w:val="0"/>
                <w:sz w:val="17"/>
              </w:rPr>
              <w:t>Sensorarkitektur</w:t>
            </w:r>
          </w:p>
        </w:tc>
        <w:tc>
          <w:tcPr>
            <w:tcW w:type="dxa" w:w="6520"/>
            <w:vAlign w:val="top"/>
          </w:tcPr>
          <w:p>
            <w:r/>
            <w:r>
              <w:rPr>
                <w:b w:val="0"/>
                <w:sz w:val="17"/>
              </w:rPr>
              <w:t>Är mätprincip, signaldiagnostik, jämförelser och röstning korrekt modellerade?</w:t>
            </w:r>
          </w:p>
        </w:tc>
      </w:tr>
      <w:tr>
        <w:trPr>
          <w:cantSplit/>
        </w:trPr>
        <w:tc>
          <w:tcPr>
            <w:tcW w:type="dxa" w:w="2268"/>
            <w:vAlign w:val="top"/>
          </w:tcPr>
          <w:p>
            <w:r/>
            <w:r>
              <w:rPr>
                <w:b w:val="0"/>
                <w:sz w:val="17"/>
              </w:rPr>
              <w:t>Logic solver</w:t>
            </w:r>
          </w:p>
        </w:tc>
        <w:tc>
          <w:tcPr>
            <w:tcW w:type="dxa" w:w="6520"/>
            <w:vAlign w:val="top"/>
          </w:tcPr>
          <w:p>
            <w:r/>
            <w:r>
              <w:rPr>
                <w:b w:val="0"/>
                <w:sz w:val="17"/>
              </w:rPr>
              <w:t>Ingår rätt I/O, diagnostik, applikationslogik och eventuell kraftförsörjning?</w:t>
            </w:r>
          </w:p>
        </w:tc>
      </w:tr>
      <w:tr>
        <w:trPr>
          <w:cantSplit/>
        </w:trPr>
        <w:tc>
          <w:tcPr>
            <w:tcW w:type="dxa" w:w="2268"/>
            <w:vAlign w:val="top"/>
          </w:tcPr>
          <w:p>
            <w:r/>
            <w:r>
              <w:rPr>
                <w:b w:val="0"/>
                <w:sz w:val="17"/>
              </w:rPr>
              <w:t>Finalelement</w:t>
            </w:r>
          </w:p>
        </w:tc>
        <w:tc>
          <w:tcPr>
            <w:tcW w:type="dxa" w:w="6520"/>
            <w:vAlign w:val="top"/>
          </w:tcPr>
          <w:p>
            <w:r/>
            <w:r>
              <w:rPr>
                <w:b w:val="0"/>
                <w:sz w:val="17"/>
              </w:rPr>
              <w:t>Ingår alla delar: solenoid, luft/olja/hydraulik, ventilställdon, ventil, kontaktor, relä?</w:t>
            </w:r>
          </w:p>
        </w:tc>
      </w:tr>
      <w:tr>
        <w:trPr>
          <w:cantSplit/>
        </w:trPr>
        <w:tc>
          <w:tcPr>
            <w:tcW w:type="dxa" w:w="2268"/>
            <w:vAlign w:val="top"/>
          </w:tcPr>
          <w:p>
            <w:r/>
            <w:r>
              <w:rPr>
                <w:b w:val="0"/>
                <w:sz w:val="17"/>
              </w:rPr>
              <w:t>Proof test coverage</w:t>
            </w:r>
          </w:p>
        </w:tc>
        <w:tc>
          <w:tcPr>
            <w:tcW w:type="dxa" w:w="6520"/>
            <w:vAlign w:val="top"/>
          </w:tcPr>
          <w:p>
            <w:r/>
            <w:r>
              <w:rPr>
                <w:b w:val="0"/>
                <w:sz w:val="17"/>
              </w:rPr>
              <w:t>Finns faktisk proof test-procedur som stödjer angivet CPT?</w:t>
            </w:r>
          </w:p>
        </w:tc>
      </w:tr>
      <w:tr>
        <w:trPr>
          <w:cantSplit/>
        </w:trPr>
        <w:tc>
          <w:tcPr>
            <w:tcW w:type="dxa" w:w="2268"/>
            <w:vAlign w:val="top"/>
          </w:tcPr>
          <w:p>
            <w:r/>
            <w:r>
              <w:rPr>
                <w:b w:val="0"/>
                <w:sz w:val="17"/>
              </w:rPr>
              <w:t>Proof test bypass</w:t>
            </w:r>
          </w:p>
        </w:tc>
        <w:tc>
          <w:tcPr>
            <w:tcW w:type="dxa" w:w="6520"/>
            <w:vAlign w:val="top"/>
          </w:tcPr>
          <w:p>
            <w:r/>
            <w:r>
              <w:rPr>
                <w:b w:val="0"/>
                <w:sz w:val="17"/>
              </w:rPr>
              <w:t>Är PTD inkluderad om test sker online med SIF bypassad?</w:t>
            </w:r>
          </w:p>
        </w:tc>
      </w:tr>
      <w:tr>
        <w:trPr>
          <w:cantSplit/>
        </w:trPr>
        <w:tc>
          <w:tcPr>
            <w:tcW w:type="dxa" w:w="2268"/>
            <w:vAlign w:val="top"/>
          </w:tcPr>
          <w:p>
            <w:r/>
            <w:r>
              <w:rPr>
                <w:b w:val="0"/>
                <w:sz w:val="17"/>
              </w:rPr>
              <w:t>MTTR/MCI</w:t>
            </w:r>
          </w:p>
        </w:tc>
        <w:tc>
          <w:tcPr>
            <w:tcW w:type="dxa" w:w="6520"/>
            <w:vAlign w:val="top"/>
          </w:tcPr>
          <w:p>
            <w:r/>
            <w:r>
              <w:rPr>
                <w:b w:val="0"/>
                <w:sz w:val="17"/>
              </w:rPr>
              <w:t>Är reparationstid och underhållsförmåga realistiska?</w:t>
            </w:r>
          </w:p>
        </w:tc>
      </w:tr>
      <w:tr>
        <w:trPr>
          <w:cantSplit/>
        </w:trPr>
        <w:tc>
          <w:tcPr>
            <w:tcW w:type="dxa" w:w="2268"/>
            <w:vAlign w:val="top"/>
          </w:tcPr>
          <w:p>
            <w:r/>
            <w:r>
              <w:rPr>
                <w:b w:val="0"/>
                <w:sz w:val="17"/>
              </w:rPr>
              <w:t>PIF</w:t>
            </w:r>
          </w:p>
        </w:tc>
        <w:tc>
          <w:tcPr>
            <w:tcW w:type="dxa" w:w="6520"/>
            <w:vAlign w:val="top"/>
          </w:tcPr>
          <w:p>
            <w:r/>
            <w:r>
              <w:rPr>
                <w:b w:val="0"/>
                <w:sz w:val="17"/>
              </w:rPr>
              <w:t>Är commissioning/validering tillräcklig för att sätta PIF lågt?</w:t>
            </w:r>
          </w:p>
        </w:tc>
      </w:tr>
      <w:tr>
        <w:trPr>
          <w:cantSplit/>
        </w:trPr>
        <w:tc>
          <w:tcPr>
            <w:tcW w:type="dxa" w:w="2268"/>
            <w:vAlign w:val="top"/>
          </w:tcPr>
          <w:p>
            <w:r/>
            <w:r>
              <w:rPr>
                <w:b w:val="0"/>
                <w:sz w:val="17"/>
              </w:rPr>
              <w:t>SSI</w:t>
            </w:r>
          </w:p>
        </w:tc>
        <w:tc>
          <w:tcPr>
            <w:tcW w:type="dxa" w:w="6520"/>
            <w:vAlign w:val="top"/>
          </w:tcPr>
          <w:p>
            <w:r/>
            <w:r>
              <w:rPr>
                <w:b w:val="0"/>
                <w:sz w:val="17"/>
              </w:rPr>
              <w:t>Är platsens rutiner för test, dokumentation, reparation och modifiering beaktade?</w:t>
            </w:r>
          </w:p>
        </w:tc>
      </w:tr>
      <w:tr>
        <w:trPr>
          <w:cantSplit/>
        </w:trPr>
        <w:tc>
          <w:tcPr>
            <w:tcW w:type="dxa" w:w="2268"/>
            <w:vAlign w:val="top"/>
          </w:tcPr>
          <w:p>
            <w:r/>
            <w:r>
              <w:rPr>
                <w:b w:val="0"/>
                <w:sz w:val="17"/>
              </w:rPr>
              <w:t>Common cause</w:t>
            </w:r>
          </w:p>
        </w:tc>
        <w:tc>
          <w:tcPr>
            <w:tcW w:type="dxa" w:w="6520"/>
            <w:vAlign w:val="top"/>
          </w:tcPr>
          <w:p>
            <w:r/>
            <w:r>
              <w:rPr>
                <w:b w:val="0"/>
                <w:sz w:val="17"/>
              </w:rPr>
              <w:t>Är beta-faktor motiverad med separation/diversitet/miljö/underhåll?</w:t>
            </w:r>
          </w:p>
        </w:tc>
      </w:tr>
      <w:tr>
        <w:trPr>
          <w:cantSplit/>
        </w:trPr>
        <w:tc>
          <w:tcPr>
            <w:tcW w:type="dxa" w:w="2268"/>
            <w:vAlign w:val="top"/>
          </w:tcPr>
          <w:p>
            <w:r/>
            <w:r>
              <w:rPr>
                <w:b w:val="0"/>
                <w:sz w:val="17"/>
              </w:rPr>
              <w:t>AC/SC</w:t>
            </w:r>
          </w:p>
        </w:tc>
        <w:tc>
          <w:tcPr>
            <w:tcW w:type="dxa" w:w="6520"/>
            <w:vAlign w:val="top"/>
          </w:tcPr>
          <w:p>
            <w:r/>
            <w:r>
              <w:rPr>
                <w:b w:val="0"/>
                <w:sz w:val="17"/>
              </w:rPr>
              <w:t>Är architectural constraints och systematic capability/proven in use kontrollerade?</w:t>
            </w:r>
          </w:p>
        </w:tc>
      </w:tr>
      <w:tr>
        <w:trPr>
          <w:cantSplit/>
        </w:trPr>
        <w:tc>
          <w:tcPr>
            <w:tcW w:type="dxa" w:w="2268"/>
            <w:vAlign w:val="top"/>
          </w:tcPr>
          <w:p>
            <w:r/>
            <w:r>
              <w:rPr>
                <w:b w:val="0"/>
                <w:sz w:val="17"/>
              </w:rPr>
              <w:t>Resultat</w:t>
            </w:r>
          </w:p>
        </w:tc>
        <w:tc>
          <w:tcPr>
            <w:tcW w:type="dxa" w:w="6520"/>
            <w:vAlign w:val="top"/>
          </w:tcPr>
          <w:p>
            <w:r/>
            <w:r>
              <w:rPr>
                <w:b w:val="0"/>
                <w:sz w:val="17"/>
              </w:rPr>
              <w:t>Redovisas PFDavg/PFH, delsystemsbijdrag och begränsande SIL-barriär?</w:t>
            </w:r>
          </w:p>
        </w:tc>
      </w:tr>
      <w:tr>
        <w:trPr>
          <w:cantSplit/>
        </w:trPr>
        <w:tc>
          <w:tcPr>
            <w:tcW w:type="dxa" w:w="2268"/>
            <w:vAlign w:val="top"/>
          </w:tcPr>
          <w:p>
            <w:r/>
            <w:r>
              <w:rPr>
                <w:b w:val="0"/>
                <w:sz w:val="17"/>
              </w:rPr>
              <w:t>Känslighet</w:t>
            </w:r>
          </w:p>
        </w:tc>
        <w:tc>
          <w:tcPr>
            <w:tcW w:type="dxa" w:w="6520"/>
            <w:vAlign w:val="top"/>
          </w:tcPr>
          <w:p>
            <w:r/>
            <w:r>
              <w:rPr>
                <w:b w:val="0"/>
                <w:sz w:val="17"/>
              </w:rPr>
              <w:t>Har CPT, MTTR, beta, SSI/MCI och finalelementdata känslighetstestats?</w:t>
            </w:r>
          </w:p>
        </w:tc>
      </w:tr>
    </w:tbl>
    <w:sectPr w:rsidR="00FC693F" w:rsidRPr="0006063C" w:rsidSect="00034616">
      <w:headerReference w:type="default" r:id="rId9"/>
      <w:footerReference w:type="default" r:id="rId10"/>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Underlag sammanställt 2026-06-30 | ProSa Process Safety Consulting AB</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exSILentia / exida SILver - SIL-verifiering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Block">
    <w:name w:val="EquationBlock"/>
    <w:pPr>
      <w:spacing w:before="40" w:after="100"/>
      <w:ind w:left="283" w:right="113"/>
    </w:pPr>
    <w:rPr>
      <w:rFonts w:ascii="Consolas" w:hAnsi="Consolas" w:eastAsia="Consolas"/>
      <w:sz w:val="18"/>
    </w:rPr>
  </w:style>
  <w:style w:type="paragraph" w:customStyle="1" w:styleId="Note">
    <w:name w:val="Note"/>
    <w:pPr>
      <w:spacing w:before="60" w:after="120"/>
      <w:ind w:left="227"/>
    </w:pPr>
    <w:rPr>
      <w:rFonts w:ascii="Arial" w:hAnsi="Arial" w:eastAsia="Arial"/>
      <w:i/>
      <w:color w:val="5A5A5A"/>
      <w:sz w:val="18"/>
    </w:rPr>
  </w:style>
  <w:style w:type="paragraph" w:customStyle="1" w:styleId="Reference">
    <w:name w:val="Reference"/>
    <w:pPr>
      <w:spacing w:after="60"/>
      <w:ind w:hanging="340" w:left="340"/>
    </w:pPr>
    <w:rPr>
      <w:rFonts w:ascii="Arial" w:hAnsi="Arial" w:eastAsia="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