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prehľad NIST publikácií, FIPS a ich SP 800 série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CyBOK, top-down a bottom-up riadenie rizík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prehľad ISO/IEC 27000, špecificky 27005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prehľad BSI IT Grundschutz, Kompendium a 200-3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zľahka TOGAF (the open group architecture framework)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 xml:space="preserve">zľahka OCTAVE allegro </w:t>
      </w:r>
      <w:r>
        <w:rPr/>
        <w:t>top-down riadenie rizík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utrasené, zjednotené a jasne vymedzené pojmy</w:t>
      </w:r>
    </w:p>
    <w:p>
      <w:pPr>
        <w:pStyle w:val="Normal"/>
        <w:numPr>
          <w:ilvl w:val="1"/>
          <w:numId w:val="1"/>
        </w:numPr>
        <w:bidi w:val="0"/>
        <w:jc w:val="start"/>
        <w:rPr/>
      </w:pPr>
      <w:r>
        <w:rPr/>
        <w:t>kyberentická bezpečnosť</w:t>
      </w:r>
    </w:p>
    <w:p>
      <w:pPr>
        <w:pStyle w:val="Normal"/>
        <w:numPr>
          <w:ilvl w:val="1"/>
          <w:numId w:val="1"/>
        </w:numPr>
        <w:bidi w:val="0"/>
        <w:jc w:val="start"/>
        <w:rPr/>
      </w:pPr>
      <w:r>
        <w:rPr/>
        <w:t>ISMS</w:t>
      </w:r>
    </w:p>
    <w:p>
      <w:pPr>
        <w:pStyle w:val="Normal"/>
        <w:numPr>
          <w:ilvl w:val="1"/>
          <w:numId w:val="1"/>
        </w:numPr>
        <w:bidi w:val="0"/>
        <w:jc w:val="start"/>
        <w:rPr/>
      </w:pPr>
      <w:r>
        <w:rPr/>
        <w:t>riadenie rizík</w:t>
      </w:r>
    </w:p>
    <w:p>
      <w:pPr>
        <w:pStyle w:val="Normal"/>
        <w:numPr>
          <w:ilvl w:val="1"/>
          <w:numId w:val="1"/>
        </w:numPr>
        <w:bidi w:val="0"/>
        <w:jc w:val="start"/>
        <w:rPr/>
      </w:pPr>
      <w:r>
        <w:rPr/>
        <w:t>analýza rizík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prečo sa venujeme analýze rizík v kontexte SR/EÚ, zákonov a nariadení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súčasné trendy, lokálne a globálne hrozby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prečo sme si vybrali štandard BSI 200-3?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existujúce riešenia a súvisiace práce, príbuzná STU, zahraničné proof of concepts, proprietárne riešenia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komu navrhujeme systém a čo od neho očakávame?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aký bude mať prínos navrhovaný systém?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predpoklady pre začatie analýzy rizík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ukážka systému, reprezentatívna vzorka, na ktorej sa dá dobre demonštrovať systém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opis pracovného postupu so systémom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prepojenie systému so štandardami BSI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vzniknutý databázový model, význačné časti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softvérové nástroje, inštalácia a spustenie systému</w:t>
      </w:r>
    </w:p>
    <w:p>
      <w:pPr>
        <w:pStyle w:val="Normal"/>
        <w:numPr>
          <w:ilvl w:val="0"/>
          <w:numId w:val="1"/>
        </w:numPr>
        <w:bidi w:val="0"/>
        <w:rPr/>
      </w:pPr>
      <w:r>
        <w:rPr/>
        <w:t>problémy,  resp. zajačia diera analýzy rizík, ako vlastne vyhodnotiť riziká, kde začať, začarovaný kruh</w:t>
      </w:r>
    </w:p>
    <w:p>
      <w:pPr>
        <w:pStyle w:val="Normal"/>
        <w:numPr>
          <w:ilvl w:val="0"/>
          <w:numId w:val="1"/>
        </w:numPr>
        <w:bidi w:val="0"/>
        <w:rPr/>
      </w:pPr>
      <w:r>
        <w:rPr/>
        <w:t xml:space="preserve">potenciálna integrácia na externé systémy, OASIS STIX </w:t>
      </w:r>
      <w:r>
        <w:rPr/>
        <w:t>(structured thread information expression)</w:t>
      </w:r>
      <w:r>
        <w:rPr/>
        <w:t xml:space="preserve"> a TAXII </w:t>
      </w:r>
      <w:r>
        <w:rPr/>
        <w:t>(Trusted Automated Exchange of Intelligence Information)</w:t>
      </w:r>
    </w:p>
    <w:p>
      <w:pPr>
        <w:pStyle w:val="Normal"/>
        <w:numPr>
          <w:ilvl w:val="0"/>
          <w:numId w:val="1"/>
        </w:numPr>
        <w:bidi w:val="0"/>
        <w:rPr/>
      </w:pPr>
      <w:r>
        <w:rPr/>
        <w:t>pomohla by umelá inteligencia? máme dostatok dát? čisto konštatovanie</w:t>
      </w:r>
    </w:p>
    <w:p>
      <w:pPr>
        <w:pStyle w:val="Normal"/>
        <w:numPr>
          <w:ilvl w:val="0"/>
          <w:numId w:val="1"/>
        </w:numPr>
        <w:bidi w:val="0"/>
        <w:rPr/>
      </w:pPr>
      <w:r>
        <w:rPr/>
        <w:t>oblasti, ktoré je potrebne v širšom tíme a s väčšími skúsenostiam analyzovať</w:t>
      </w:r>
    </w:p>
    <w:p>
      <w:pPr>
        <w:pStyle w:val="Normal"/>
        <w:numPr>
          <w:ilvl w:val="0"/>
          <w:numId w:val="1"/>
        </w:numPr>
        <w:bidi w:val="0"/>
        <w:rPr/>
      </w:pPr>
      <w:r>
        <w:rPr/>
        <w:t>zhrnutie vecí, na ktoré si treba dať pozor pri návrhu systému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Noto Serif"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DejaVu Sans"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erif" w:hAnsi="Noto Serif" w:eastAsia="Noto Sans CJK HK" w:cs="NotoSans NF"/>
        <w:kern w:val="2"/>
        <w:sz w:val="24"/>
        <w:szCs w:val="24"/>
        <w:lang w:val="sk-SK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Noto Serif" w:hAnsi="Noto Serif" w:eastAsia="Noto Sans CJK HK" w:cs="NotoSans NF"/>
      <w:color w:val="auto"/>
      <w:kern w:val="2"/>
      <w:sz w:val="24"/>
      <w:szCs w:val="24"/>
      <w:lang w:val="sk-SK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Noto Sans CJK SC" w:cs="NotoSans NF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Sans NF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Sans NF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Sans NF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LibreOffice/24.8.7.2$Linux_X86_64 LibreOffice_project/480$Build-2</Application>
  <AppVersion>15.0000</AppVersion>
  <Pages>1</Pages>
  <Words>234</Words>
  <Characters>1310</Characters>
  <CharactersWithSpaces>1489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2026-02-16T11:51:55Z</dcterms:created>
  <dc:creator/>
  <dc:description/>
  <dc:language>sk-SK</dc:language>
  <cp:lastModifiedBy/>
  <dcterms:modified xsi:type="dcterms:W3CDTF">2026-02-16T12:30:04Z</dcterms:modified>
  <cp:revision>1</cp:revision>
  <dc:subject/>
  <dc:title/>
</cp:coreProperties>
</file>