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Прикормочные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1 При оформлении рыбалки при добавлении прикормочной смеси реализовать возможность добавления только прикорма (без выбора прикормочной смес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и)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2 При создании прикормочной смеси добавит поле для коментария по созданию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3 При добавлении кормушек порядок кормоёмкости должен быть от меньшей к большей, а не в алфавитном порядке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4. Возможность добавления новых прикормов на странице выбора прикорма при добавлении к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5. Скрытие прикорма добавленного в текущую смесь либо объединение одинаковых прикормов с суммированием частей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/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для дальнейшего подбора значения и фото.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number_of_fish — количество экземпляров.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Заполнение из списка.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Взаимосвязь с таблицами</w:t>
      </w:r>
    </w:p>
    <w:tbl>
      <w:tblPr>
        <w:tblW w:w="99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2344"/>
        <w:gridCol w:w="2336"/>
        <w:gridCol w:w="2345"/>
        <w:gridCol w:w="2340"/>
      </w:tblGrid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Название таблицы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(name=models.ForeignKey(название таблицы, ...)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Способ связи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Таблица Связи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ForeignKey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В таблице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2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Fish_Trophy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Fish_Trophy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Overcast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Overcast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Weather_Phenomena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Weather_Phenomena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5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District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Water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записи привязываются к только к одной из записей таблицы District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6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ForreignKey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талбицы Place может быть привязвно к 1 водоему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7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Bottom_Map привязана к одной записе в таблице Place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8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привязаны к одной записи таблицы Bottom_Map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9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Priming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могут быть привязаны к одной записи таблицы Priming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10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Fishing_Point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Fishing_Point может быть привязана только к одной записи таблицы Place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11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 привязана к к записи в таблице Place, но записи таблицы Place могут использоваться в разных записях таблицы Fishing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12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Fishing привязана к записи в таблице Weather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13</w:t>
            </w:r>
          </w:p>
        </w:tc>
        <w:tc>
          <w:tcPr>
            <w:tcW w:w="2344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3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ind w:left="0" w:right="0" w:hanging="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791</TotalTime>
  <Application>LibreOffice/7.1.1.2$Linux_X86_64 LibreOffice_project/fe0b08f4af1bacafe4c7ecc87ce55bb426164676</Application>
  <AppVersion>15.0000</AppVersion>
  <Pages>8</Pages>
  <Words>793</Words>
  <Characters>5328</Characters>
  <CharactersWithSpaces>6079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2021-03-31T21:49:31Z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