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1553170944486</w:t>
      </w:r>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r w:rsidR="00D01984">
        <w:rPr>
          <w:rFonts w:ascii="Times New Roman" w:hAnsi="Times New Roman" w:cs="Times New Roman"/>
          <w:b/>
          <w:bCs/>
          <w:sz w:val="24"/>
          <w:szCs w:val="24"/>
        </w:rPr>
        <w:t>2019-03-21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D01984" w:rsidP="00467074">
      <w:pPr>
        <w:rPr>
          <w:rFonts w:ascii="Times New Roman" w:hAnsi="Times New Roman" w:cs="Times New Roman"/>
          <w:sz w:val="24"/>
          <w:szCs w:val="24"/>
        </w:rPr>
      </w:pPr>
      <w:r w:rsidRPr="007D1ECA">
        <w:rPr>
          <w:rFonts w:ascii="Times New Roman" w:hAnsi="Times New Roman" w:cs="Times New Roman"/>
          <w:sz w:val="24"/>
          <w:szCs w:val="24"/>
        </w:rPr>
        <w:t>Лукьянов Вячеслав Дмитриевич</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54564 231123 Выдан1996-05-02 Отделом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Лукьянов Вячеслав Дмитриевич</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w:t>
      </w:r>
      <w:r w:rsidRPr="00467074">
        <w:rPr>
          <w:rFonts w:ascii="Times New Roman" w:hAnsi="Times New Roman" w:cs="Times New Roman"/>
          <w:sz w:val="24"/>
          <w:szCs w:val="24"/>
        </w:rPr>
        <w:lastRenderedPageBreak/>
        <w:t>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3.1. Стоимость услуг по настоящему Договору составляет </w:t>
      </w:r>
      <w:bookmarkStart w:id="0" w:name="_GoBack"/>
      <w:bookmarkEnd w:id="0"/>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Pr>
                <w:rFonts w:ascii="Times New Roman" w:hAnsi="Times New Roman" w:cs="Times New Roman"/>
                <w:sz w:val="24"/>
                <w:szCs w:val="24"/>
                <w:lang w:val="en-US"/>
              </w:rPr>
              <w:t>Лукьянов Вячеслав Дмитриевич</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r w:rsidR="00D01984">
              <w:rPr>
                <w:rFonts w:ascii="Times New Roman" w:hAnsi="Times New Roman" w:cs="Times New Roman"/>
                <w:sz w:val="24"/>
                <w:szCs w:val="24"/>
              </w:rPr>
              <w:t>1553170944486</w:t>
            </w:r>
            <w:r w:rsidRPr="00467074">
              <w:rPr>
                <w:rFonts w:ascii="Times New Roman" w:hAnsi="Times New Roman" w:cs="Times New Roman"/>
                <w:sz w:val="24"/>
                <w:szCs w:val="24"/>
              </w:rPr>
              <w:t>от </w:t>
            </w:r>
            <w:r w:rsidR="00D01984">
              <w:rPr>
                <w:rFonts w:ascii="Times New Roman" w:hAnsi="Times New Roman" w:cs="Times New Roman"/>
                <w:sz w:val="24"/>
                <w:szCs w:val="24"/>
              </w:rPr>
              <w:t>2019-03-21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7D1ECA">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7D1ECA"/>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1776</Words>
  <Characters>10124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4</cp:revision>
  <dcterms:created xsi:type="dcterms:W3CDTF">2019-03-19T19:41:00Z</dcterms:created>
  <dcterms:modified xsi:type="dcterms:W3CDTF">2019-03-20T15:50:00Z</dcterms:modified>
</cp:coreProperties>
</file>