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</w:pPr>
      <w:r>
        <w:t>Спецификация первой волны</w:t>
        <w:br/>
        <w:t>для Codex</w:t>
      </w:r>
    </w:p>
    <w:p>
      <w:r>
        <w:rPr>
          <w:rFonts w:ascii="DejaVu Sans" w:hAnsi="DejaVu Sans"/>
          <w:color w:val="475E7A"/>
          <w:sz w:val="24"/>
        </w:rPr>
        <w:t>Жёсткий рабочий документ по foundation-реализации</w:t>
      </w:r>
    </w:p>
    <w:p>
      <w:r>
        <w:rPr>
          <w:rFonts w:ascii="DejaVu Sans" w:hAnsi="DejaVu Sans"/>
          <w:color w:val="64748B"/>
          <w:sz w:val="21"/>
        </w:rPr>
        <w:t>Срез обсуждения на 17 апреля 2026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9"/>
      </w:tblGrid>
      <w:tr>
        <w:tc>
          <w:tcPr>
            <w:tcW w:type="dxa" w:w="9354"/>
            <w:shd w:fill="EAF2FF"/>
            <w:tcMar>
              <w:top w:w="140" w:type="dxa"/>
              <w:start w:w="180" w:type="dxa"/>
              <w:bottom w:w="120" w:type="dxa"/>
              <w:end w:w="180" w:type="dxa"/>
            </w:tcMar>
          </w:tcPr>
          <w:p>
            <w:pPr>
              <w:jc w:val="left"/>
            </w:pPr>
            <w:r>
              <w:rPr>
                <w:rFonts w:ascii="DejaVu Sans" w:hAnsi="DejaVu Sans"/>
                <w:b/>
                <w:color w:val="123463"/>
                <w:sz w:val="30"/>
              </w:rPr>
              <w:t>Назначение документа</w:t>
            </w:r>
          </w:p>
          <w:p>
            <w:pPr>
              <w:jc w:val="left"/>
            </w:pPr>
            <w:r>
              <w:rPr>
                <w:rFonts w:ascii="DejaVu Sans" w:hAnsi="DejaVu Sans"/>
                <w:color w:val="475E7A"/>
                <w:sz w:val="19"/>
              </w:rPr>
              <w:t>Этот документ не описывает весь финальный продукт. Он задаёт первую волну реализации так, чтобы Codex мог строить foundation и первый живой контур без расползания в лишние модули.</w:t>
            </w:r>
          </w:p>
        </w:tc>
      </w:tr>
    </w:tbl>
    <w:p/>
    <w:p>
      <w:pPr>
        <w:pStyle w:val="Heading1"/>
      </w:pPr>
      <w:r>
        <w:t>1. Цель первой волны</w:t>
      </w:r>
    </w:p>
    <w:p>
      <w:r>
        <w:t>Первая волна должна дать рабочий, но ограниченный боевой контур: поставщики собираются и приводятся в порядок; витрина показывает понятные товарные направления; сайт умеет принимать черновики и заявки; команда может дать предложение и руками/полуавтоматически довести кейс до исполнения.</w:t>
      </w:r>
    </w:p>
    <w:p>
      <w:pPr>
        <w:pStyle w:val="ListBullet"/>
      </w:pPr>
      <w:r>
        <w:t>Центр процесса: черновик → заявка → предложение → заказ.</w:t>
      </w:r>
    </w:p>
    <w:p>
      <w:pPr>
        <w:pStyle w:val="ListBullet"/>
      </w:pPr>
      <w:r>
        <w:t>Главный стартовый фокус: контур поставщиков.</w:t>
      </w:r>
    </w:p>
    <w:p>
      <w:pPr>
        <w:pStyle w:val="ListBullet"/>
      </w:pPr>
      <w:r>
        <w:t>Внешний вход: лёгкая витрина + форма сложного запроса.</w:t>
      </w:r>
    </w:p>
    <w:p>
      <w:pPr>
        <w:pStyle w:val="ListBullet"/>
      </w:pPr>
      <w:r>
        <w:t>Критичные решения ещё допускают ручное подтверждение.</w:t>
      </w:r>
    </w:p>
    <w:p>
      <w:pPr>
        <w:pStyle w:val="Heading1"/>
      </w:pPr>
      <w:r>
        <w:t>2. Что входит в первую волну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2551"/>
            <w:vAlign w:val="center"/>
            <w:shd w:fill="DCEBFF"/>
            <w:tcMar>
              <w:top w:w="12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123463"/>
                <w:sz w:val="19"/>
              </w:rPr>
              <w:t>Блок</w:t>
            </w:r>
          </w:p>
        </w:tc>
        <w:tc>
          <w:tcPr>
            <w:tcW w:type="dxa" w:w="6917"/>
            <w:vAlign w:val="center"/>
            <w:shd w:fill="DCEBFF"/>
            <w:tcMar>
              <w:top w:w="12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123463"/>
                <w:sz w:val="19"/>
              </w:rPr>
              <w:t>Что реализуем</w:t>
            </w:r>
          </w:p>
        </w:tc>
      </w:tr>
      <w:tr>
        <w:tc>
          <w:tcPr>
            <w:tcW w:type="dxa" w:w="255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Модуль поставщиков</w:t>
            </w:r>
          </w:p>
        </w:tc>
        <w:tc>
          <w:tcPr>
            <w:tcW w:type="dxa" w:w="6917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источники, парсинг, сырой слой, нормализация, дедупликация, ступени доверия, базовый рейтинг</w:t>
            </w:r>
          </w:p>
        </w:tc>
      </w:tr>
      <w:tr>
        <w:tc>
          <w:tcPr>
            <w:tcW w:type="dxa" w:w="255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Витрина</w:t>
            </w:r>
          </w:p>
        </w:tc>
        <w:tc>
          <w:tcPr>
            <w:tcW w:type="dxa" w:w="6917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ограниченный набор товарных направлений, смешанная витрина с уклоном в конкретные товары</w:t>
            </w:r>
          </w:p>
        </w:tc>
      </w:tr>
      <w:tr>
        <w:tc>
          <w:tcPr>
            <w:tcW w:type="dxa" w:w="255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Черновик и заявка</w:t>
            </w:r>
          </w:p>
        </w:tc>
        <w:tc>
          <w:tcPr>
            <w:tcW w:type="dxa" w:w="6917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сохранение, обязательные поля, циклы уточнения, блокировки перед переходом</w:t>
            </w:r>
          </w:p>
        </w:tc>
      </w:tr>
      <w:tr>
        <w:tc>
          <w:tcPr>
            <w:tcW w:type="dxa" w:w="255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Предложение</w:t>
            </w:r>
          </w:p>
        </w:tc>
        <w:tc>
          <w:tcPr>
            <w:tcW w:type="dxa" w:w="6917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один или несколько вариантов, версии предложений, сравнение условий</w:t>
            </w:r>
          </w:p>
        </w:tc>
      </w:tr>
      <w:tr>
        <w:tc>
          <w:tcPr>
            <w:tcW w:type="dxa" w:w="255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Заказ</w:t>
            </w:r>
          </w:p>
        </w:tc>
        <w:tc>
          <w:tcPr>
            <w:tcW w:type="dxa" w:w="6917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заказ как следующий слой после подтверждённого предложения; составной заказ закладывается архитектурно</w:t>
            </w:r>
          </w:p>
        </w:tc>
      </w:tr>
      <w:tr>
        <w:tc>
          <w:tcPr>
            <w:tcW w:type="dxa" w:w="255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Файлы</w:t>
            </w:r>
          </w:p>
        </w:tc>
        <w:tc>
          <w:tcPr>
            <w:tcW w:type="dxa" w:w="6917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загрузка, версии, базовая проверка, ролевой доступ</w:t>
            </w:r>
          </w:p>
        </w:tc>
      </w:tr>
      <w:tr>
        <w:tc>
          <w:tcPr>
            <w:tcW w:type="dxa" w:w="255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Документы</w:t>
            </w:r>
          </w:p>
        </w:tc>
        <w:tc>
          <w:tcPr>
            <w:tcW w:type="dxa" w:w="6917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шаблоны, версии, отправка, подтверждения</w:t>
            </w:r>
          </w:p>
        </w:tc>
      </w:tr>
      <w:tr>
        <w:tc>
          <w:tcPr>
            <w:tcW w:type="dxa" w:w="255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Сообщения</w:t>
            </w:r>
          </w:p>
        </w:tc>
        <w:tc>
          <w:tcPr>
            <w:tcW w:type="dxa" w:w="6917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базовый единый контур сообщений и уведомлений, без полного набора каналов</w:t>
            </w:r>
          </w:p>
        </w:tc>
      </w:tr>
      <w:tr>
        <w:tc>
          <w:tcPr>
            <w:tcW w:type="dxa" w:w="255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Аудит</w:t>
            </w:r>
          </w:p>
        </w:tc>
        <w:tc>
          <w:tcPr>
            <w:tcW w:type="dxa" w:w="6917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события, причины, история изменений, уровни видимости</w:t>
            </w:r>
          </w:p>
        </w:tc>
      </w:tr>
      <w:tr>
        <w:tc>
          <w:tcPr>
            <w:tcW w:type="dxa" w:w="255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Панели роли</w:t>
            </w:r>
          </w:p>
        </w:tc>
        <w:tc>
          <w:tcPr>
            <w:tcW w:type="dxa" w:w="6917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минимальные рабочие столы для клиента, оператора, админа</w:t>
            </w:r>
          </w:p>
        </w:tc>
      </w:tr>
    </w:tbl>
    <w:p/>
    <w:p>
      <w:pPr>
        <w:pStyle w:val="Heading1"/>
      </w:pPr>
      <w:r>
        <w:t>3. Что в первую волну не входит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2721"/>
            <w:vAlign w:val="center"/>
            <w:shd w:fill="DCEBFF"/>
            <w:tcMar>
              <w:top w:w="12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123463"/>
                <w:sz w:val="19"/>
              </w:rPr>
              <w:t>Направление</w:t>
            </w:r>
          </w:p>
        </w:tc>
        <w:tc>
          <w:tcPr>
            <w:tcW w:type="dxa" w:w="6746"/>
            <w:vAlign w:val="center"/>
            <w:shd w:fill="DCEBFF"/>
            <w:tcMar>
              <w:top w:w="12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123463"/>
                <w:sz w:val="19"/>
              </w:rPr>
              <w:t>Ограничение</w:t>
            </w:r>
          </w:p>
        </w:tc>
      </w:tr>
      <w:tr>
        <w:tc>
          <w:tcPr>
            <w:tcW w:type="dxa" w:w="272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Supplier portal</w:t>
            </w:r>
          </w:p>
        </w:tc>
        <w:tc>
          <w:tcPr>
            <w:tcW w:type="dxa" w:w="6746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не делать полноценный кабинет поставщика как обязательный стартовый сценарий</w:t>
            </w:r>
          </w:p>
        </w:tc>
      </w:tr>
      <w:tr>
        <w:tc>
          <w:tcPr>
            <w:tcW w:type="dxa" w:w="272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Полный платёжный контур</w:t>
            </w:r>
          </w:p>
        </w:tc>
        <w:tc>
          <w:tcPr>
            <w:tcW w:type="dxa" w:w="6746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не строить сразу официальный многосценарный payment-core на все кейсы</w:t>
            </w:r>
          </w:p>
        </w:tc>
      </w:tr>
      <w:tr>
        <w:tc>
          <w:tcPr>
            <w:tcW w:type="dxa" w:w="272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Склад</w:t>
            </w:r>
          </w:p>
        </w:tc>
        <w:tc>
          <w:tcPr>
            <w:tcW w:type="dxa" w:w="6746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не строить склад, остатки и сложную закупочную модель</w:t>
            </w:r>
          </w:p>
        </w:tc>
      </w:tr>
      <w:tr>
        <w:tc>
          <w:tcPr>
            <w:tcW w:type="dxa" w:w="272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Полная диспетчеризация</w:t>
            </w:r>
          </w:p>
        </w:tc>
        <w:tc>
          <w:tcPr>
            <w:tcW w:type="dxa" w:w="6746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не строить тяжёлый производственный планировщик / MES</w:t>
            </w:r>
          </w:p>
        </w:tc>
      </w:tr>
      <w:tr>
        <w:tc>
          <w:tcPr>
            <w:tcW w:type="dxa" w:w="272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Все каналы и страны</w:t>
            </w:r>
          </w:p>
        </w:tc>
        <w:tc>
          <w:tcPr>
            <w:tcW w:type="dxa" w:w="6746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не пытаться сразу покрыть все страны и все мессенджеры</w:t>
            </w:r>
          </w:p>
        </w:tc>
      </w:tr>
      <w:tr>
        <w:tc>
          <w:tcPr>
            <w:tcW w:type="dxa" w:w="272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Микросервисы</w:t>
            </w:r>
          </w:p>
        </w:tc>
        <w:tc>
          <w:tcPr>
            <w:tcW w:type="dxa" w:w="6746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не резать систему на набор отдельных сервисов</w:t>
            </w:r>
          </w:p>
        </w:tc>
      </w:tr>
      <w:tr>
        <w:tc>
          <w:tcPr>
            <w:tcW w:type="dxa" w:w="272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Отдельная векторная база</w:t>
            </w:r>
          </w:p>
        </w:tc>
        <w:tc>
          <w:tcPr>
            <w:tcW w:type="dxa" w:w="6746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не делать обязательной в первой волне</w:t>
            </w:r>
          </w:p>
        </w:tc>
      </w:tr>
    </w:tbl>
    <w:p/>
    <w:p>
      <w:pPr>
        <w:pStyle w:val="Heading1"/>
      </w:pPr>
      <w:r>
        <w:t>4. Целевой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2721"/>
            <w:vAlign w:val="center"/>
            <w:shd w:fill="DCEBFF"/>
            <w:tcMar>
              <w:top w:w="12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123463"/>
                <w:sz w:val="19"/>
              </w:rPr>
              <w:t>Слой</w:t>
            </w:r>
          </w:p>
        </w:tc>
        <w:tc>
          <w:tcPr>
            <w:tcW w:type="dxa" w:w="6746"/>
            <w:vAlign w:val="center"/>
            <w:shd w:fill="DCEBFF"/>
            <w:tcMar>
              <w:top w:w="12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123463"/>
                <w:sz w:val="19"/>
              </w:rPr>
              <w:t>Выбор</w:t>
            </w:r>
          </w:p>
        </w:tc>
      </w:tr>
      <w:tr>
        <w:tc>
          <w:tcPr>
            <w:tcW w:type="dxa" w:w="272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Веб</w:t>
            </w:r>
          </w:p>
        </w:tc>
        <w:tc>
          <w:tcPr>
            <w:tcW w:type="dxa" w:w="6746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Next.js</w:t>
            </w:r>
          </w:p>
        </w:tc>
      </w:tr>
      <w:tr>
        <w:tc>
          <w:tcPr>
            <w:tcW w:type="dxa" w:w="272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API и внутреннее ядро</w:t>
            </w:r>
          </w:p>
        </w:tc>
        <w:tc>
          <w:tcPr>
            <w:tcW w:type="dxa" w:w="6746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Python + FastAPI</w:t>
            </w:r>
          </w:p>
        </w:tc>
      </w:tr>
      <w:tr>
        <w:tc>
          <w:tcPr>
            <w:tcW w:type="dxa" w:w="272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Основная база</w:t>
            </w:r>
          </w:p>
        </w:tc>
        <w:tc>
          <w:tcPr>
            <w:tcW w:type="dxa" w:w="6746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PostgreSQL</w:t>
            </w:r>
          </w:p>
        </w:tc>
      </w:tr>
      <w:tr>
        <w:tc>
          <w:tcPr>
            <w:tcW w:type="dxa" w:w="272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Очереди и кэш</w:t>
            </w:r>
          </w:p>
        </w:tc>
        <w:tc>
          <w:tcPr>
            <w:tcW w:type="dxa" w:w="6746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Redis</w:t>
            </w:r>
          </w:p>
        </w:tc>
      </w:tr>
      <w:tr>
        <w:tc>
          <w:tcPr>
            <w:tcW w:type="dxa" w:w="272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Фоновые задачи</w:t>
            </w:r>
          </w:p>
        </w:tc>
        <w:tc>
          <w:tcPr>
            <w:tcW w:type="dxa" w:w="6746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Celery</w:t>
            </w:r>
          </w:p>
        </w:tc>
      </w:tr>
      <w:tr>
        <w:tc>
          <w:tcPr>
            <w:tcW w:type="dxa" w:w="272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Ingress/TLS</w:t>
            </w:r>
          </w:p>
        </w:tc>
        <w:tc>
          <w:tcPr>
            <w:tcW w:type="dxa" w:w="6746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Caddy</w:t>
            </w:r>
          </w:p>
        </w:tc>
      </w:tr>
      <w:tr>
        <w:tc>
          <w:tcPr>
            <w:tcW w:type="dxa" w:w="272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Runtime</w:t>
            </w:r>
          </w:p>
        </w:tc>
        <w:tc>
          <w:tcPr>
            <w:tcW w:type="dxa" w:w="6746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Docker Compose</w:t>
            </w:r>
          </w:p>
        </w:tc>
      </w:tr>
      <w:tr>
        <w:tc>
          <w:tcPr>
            <w:tcW w:type="dxa" w:w="272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Телеметрия</w:t>
            </w:r>
          </w:p>
        </w:tc>
        <w:tc>
          <w:tcPr>
            <w:tcW w:type="dxa" w:w="6746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OpenTelemetry + Prometheus + Grafana + Sentry</w:t>
            </w:r>
          </w:p>
        </w:tc>
      </w:tr>
      <w:tr>
        <w:tc>
          <w:tcPr>
            <w:tcW w:type="dxa" w:w="272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Файлы</w:t>
            </w:r>
          </w:p>
        </w:tc>
        <w:tc>
          <w:tcPr>
            <w:tcW w:type="dxa" w:w="6746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объектное файловое хранилище / выделенный файловый контур</w:t>
            </w:r>
          </w:p>
        </w:tc>
      </w:tr>
    </w:tbl>
    <w:p/>
    <w:p>
      <w:pPr>
        <w:pStyle w:val="Heading1"/>
      </w:pPr>
      <w:r>
        <w:t>5. Модули первой волны и их границы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2835"/>
            <w:vAlign w:val="center"/>
            <w:shd w:fill="DCEBFF"/>
            <w:tcMar>
              <w:top w:w="12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123463"/>
                <w:sz w:val="19"/>
              </w:rPr>
              <w:t>Модуль</w:t>
            </w:r>
          </w:p>
        </w:tc>
        <w:tc>
          <w:tcPr>
            <w:tcW w:type="dxa" w:w="6633"/>
            <w:vAlign w:val="center"/>
            <w:shd w:fill="DCEBFF"/>
            <w:tcMar>
              <w:top w:w="12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123463"/>
                <w:sz w:val="19"/>
              </w:rPr>
              <w:t>Граница ответственности</w:t>
            </w:r>
          </w:p>
        </w:tc>
      </w:tr>
      <w:tr>
        <w:tc>
          <w:tcPr>
            <w:tcW w:type="dxa" w:w="2835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UsersAccess</w:t>
            </w:r>
          </w:p>
        </w:tc>
        <w:tc>
          <w:tcPr>
            <w:tcW w:type="dxa" w:w="6633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аккаунты, роли, уровни доверия, критичные действия</w:t>
            </w:r>
          </w:p>
        </w:tc>
      </w:tr>
      <w:tr>
        <w:tc>
          <w:tcPr>
            <w:tcW w:type="dxa" w:w="2835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Companies</w:t>
            </w:r>
          </w:p>
        </w:tc>
        <w:tc>
          <w:tcPr>
            <w:tcW w:type="dxa" w:w="6633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компании, контакты, адреса, производственные площадки</w:t>
            </w:r>
          </w:p>
        </w:tc>
      </w:tr>
      <w:tr>
        <w:tc>
          <w:tcPr>
            <w:tcW w:type="dxa" w:w="2835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Suppliers</w:t>
            </w:r>
          </w:p>
        </w:tc>
        <w:tc>
          <w:tcPr>
            <w:tcW w:type="dxa" w:w="6633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сырой слой, нормализация, верификация, рейтинг, загрузка</w:t>
            </w:r>
          </w:p>
        </w:tc>
      </w:tr>
      <w:tr>
        <w:tc>
          <w:tcPr>
            <w:tcW w:type="dxa" w:w="2835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Catalog</w:t>
            </w:r>
          </w:p>
        </w:tc>
        <w:tc>
          <w:tcPr>
            <w:tcW w:type="dxa" w:w="6633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товары, услуги, варианты исполнения, публичные представления</w:t>
            </w:r>
          </w:p>
        </w:tc>
      </w:tr>
      <w:tr>
        <w:tc>
          <w:tcPr>
            <w:tcW w:type="dxa" w:w="2835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DraftsRequests</w:t>
            </w:r>
          </w:p>
        </w:tc>
        <w:tc>
          <w:tcPr>
            <w:tcW w:type="dxa" w:w="6633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черновики, заявки, обязательные поля, уточнения</w:t>
            </w:r>
          </w:p>
        </w:tc>
      </w:tr>
      <w:tr>
        <w:tc>
          <w:tcPr>
            <w:tcW w:type="dxa" w:w="2835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Offers</w:t>
            </w:r>
          </w:p>
        </w:tc>
        <w:tc>
          <w:tcPr>
            <w:tcW w:type="dxa" w:w="6633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варианты, версии, подтверждения</w:t>
            </w:r>
          </w:p>
        </w:tc>
      </w:tr>
      <w:tr>
        <w:tc>
          <w:tcPr>
            <w:tcW w:type="dxa" w:w="2835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Orders</w:t>
            </w:r>
          </w:p>
        </w:tc>
        <w:tc>
          <w:tcPr>
            <w:tcW w:type="dxa" w:w="6633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заказы, позиции, этапы исполнения как архитектурный каркас</w:t>
            </w:r>
          </w:p>
        </w:tc>
      </w:tr>
      <w:tr>
        <w:tc>
          <w:tcPr>
            <w:tcW w:type="dxa" w:w="2835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FilesMedia</w:t>
            </w:r>
          </w:p>
        </w:tc>
        <w:tc>
          <w:tcPr>
            <w:tcW w:type="dxa" w:w="6633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файлы, версии, базовая проверка, привязки к объектам</w:t>
            </w:r>
          </w:p>
        </w:tc>
      </w:tr>
      <w:tr>
        <w:tc>
          <w:tcPr>
            <w:tcW w:type="dxa" w:w="2835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Documents</w:t>
            </w:r>
          </w:p>
        </w:tc>
        <w:tc>
          <w:tcPr>
            <w:tcW w:type="dxa" w:w="6633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шаблоны, версии, подтверждения, отправка</w:t>
            </w:r>
          </w:p>
        </w:tc>
      </w:tr>
      <w:tr>
        <w:tc>
          <w:tcPr>
            <w:tcW w:type="dxa" w:w="2835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Comms</w:t>
            </w:r>
          </w:p>
        </w:tc>
        <w:tc>
          <w:tcPr>
            <w:tcW w:type="dxa" w:w="6633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сообщения, уведомления, события по ролям</w:t>
            </w:r>
          </w:p>
        </w:tc>
      </w:tr>
      <w:tr>
        <w:tc>
          <w:tcPr>
            <w:tcW w:type="dxa" w:w="2835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RulesEngine</w:t>
            </w:r>
          </w:p>
        </w:tc>
        <w:tc>
          <w:tcPr>
            <w:tcW w:type="dxa" w:w="6633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блокировки, причины, эскалации, explainability</w:t>
            </w:r>
          </w:p>
        </w:tc>
      </w:tr>
      <w:tr>
        <w:tc>
          <w:tcPr>
            <w:tcW w:type="dxa" w:w="2835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AuditDashboards</w:t>
            </w:r>
          </w:p>
        </w:tc>
        <w:tc>
          <w:tcPr>
            <w:tcW w:type="dxa" w:w="6633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хронология, причины, причины сброса, рабочие панели</w:t>
            </w:r>
          </w:p>
        </w:tc>
      </w:tr>
    </w:tbl>
    <w:p/>
    <w:p>
      <w:pPr>
        <w:pStyle w:val="Heading1"/>
      </w:pPr>
      <w:r>
        <w:t>6. Базовые сущности и минимальные поля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2551"/>
            <w:vAlign w:val="center"/>
            <w:shd w:fill="DCEBFF"/>
            <w:tcMar>
              <w:top w:w="12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123463"/>
                <w:sz w:val="19"/>
              </w:rPr>
              <w:t>Сущность</w:t>
            </w:r>
          </w:p>
        </w:tc>
        <w:tc>
          <w:tcPr>
            <w:tcW w:type="dxa" w:w="6917"/>
            <w:vAlign w:val="center"/>
            <w:shd w:fill="DCEBFF"/>
            <w:tcMar>
              <w:top w:w="12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123463"/>
                <w:sz w:val="19"/>
              </w:rPr>
              <w:t>Минимальный набор полей / смысл</w:t>
            </w:r>
          </w:p>
        </w:tc>
      </w:tr>
      <w:tr>
        <w:tc>
          <w:tcPr>
            <w:tcW w:type="dxa" w:w="255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Draft</w:t>
            </w:r>
          </w:p>
        </w:tc>
        <w:tc>
          <w:tcPr>
            <w:tcW w:type="dxa" w:w="6917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id, type, customer_context, contact_data, item_context, required_fields_state, file_links, draft_status, owner, timestamps</w:t>
            </w:r>
          </w:p>
        </w:tc>
      </w:tr>
      <w:tr>
        <w:tc>
          <w:tcPr>
            <w:tcW w:type="dxa" w:w="255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Request</w:t>
            </w:r>
          </w:p>
        </w:tc>
        <w:tc>
          <w:tcPr>
            <w:tcW w:type="dxa" w:w="6917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id/code, request_type, source_channel, customer_ref, item/service context, city/geo, requested_deadline, request_status, owner, reasons, timestamps</w:t>
            </w:r>
          </w:p>
        </w:tc>
      </w:tr>
      <w:tr>
        <w:tc>
          <w:tcPr>
            <w:tcW w:type="dxa" w:w="255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SupplierCompany</w:t>
            </w:r>
          </w:p>
        </w:tc>
        <w:tc>
          <w:tcPr>
            <w:tcW w:type="dxa" w:w="6917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id/code, legal/public names, roles, trust_level, rating, country, city, contacts, visibility</w:t>
            </w:r>
          </w:p>
        </w:tc>
      </w:tr>
      <w:tr>
        <w:tc>
          <w:tcPr>
            <w:tcW w:type="dxa" w:w="255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SupplierSite</w:t>
            </w:r>
          </w:p>
        </w:tc>
        <w:tc>
          <w:tcPr>
            <w:tcW w:type="dxa" w:w="6917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id, supplier_company_ref, location, capabilities_summary, equipment_summary, load_state, lead_time_hint</w:t>
            </w:r>
          </w:p>
        </w:tc>
      </w:tr>
      <w:tr>
        <w:tc>
          <w:tcPr>
            <w:tcW w:type="dxa" w:w="255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CatalogItem</w:t>
            </w:r>
          </w:p>
        </w:tc>
        <w:tc>
          <w:tcPr>
            <w:tcW w:type="dxa" w:w="6917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id/code, public title, mode (ready/config/rfq), category, options_summary, visibility, pricing_mode</w:t>
            </w:r>
          </w:p>
        </w:tc>
      </w:tr>
      <w:tr>
        <w:tc>
          <w:tcPr>
            <w:tcW w:type="dxa" w:w="255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Offer</w:t>
            </w:r>
          </w:p>
        </w:tc>
        <w:tc>
          <w:tcPr>
            <w:tcW w:type="dxa" w:w="6917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id/code, request_ref, version_no, price, lead_time, terms, scenario_type, supplier_ref(optional), offer_status, confirmation_state</w:t>
            </w:r>
          </w:p>
        </w:tc>
      </w:tr>
      <w:tr>
        <w:tc>
          <w:tcPr>
            <w:tcW w:type="dxa" w:w="255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Order</w:t>
            </w:r>
          </w:p>
        </w:tc>
        <w:tc>
          <w:tcPr>
            <w:tcW w:type="dxa" w:w="6917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id/code, request_ref, accepted_offer_ref, order_status, payment_state, logistics_state, customer_refs, supplier_refs, internal_owner</w:t>
            </w:r>
          </w:p>
        </w:tc>
      </w:tr>
      <w:tr>
        <w:tc>
          <w:tcPr>
            <w:tcW w:type="dxa" w:w="255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OrderLine</w:t>
            </w:r>
          </w:p>
        </w:tc>
        <w:tc>
          <w:tcPr>
            <w:tcW w:type="dxa" w:w="6917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id, order_ref, catalog/service ref, quantity, line_status, planned_supplier_ref, planned_stage_refs</w:t>
            </w:r>
          </w:p>
        </w:tc>
      </w:tr>
      <w:tr>
        <w:tc>
          <w:tcPr>
            <w:tcW w:type="dxa" w:w="255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FileAsset</w:t>
            </w:r>
          </w:p>
        </w:tc>
        <w:tc>
          <w:tcPr>
            <w:tcW w:type="dxa" w:w="6917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id/code, owner_object_ref, file_type, visibility_scope, version_no, check_state, final_flag</w:t>
            </w:r>
          </w:p>
        </w:tc>
      </w:tr>
      <w:tr>
        <w:tc>
          <w:tcPr>
            <w:tcW w:type="dxa" w:w="255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Document</w:t>
            </w:r>
          </w:p>
        </w:tc>
        <w:tc>
          <w:tcPr>
            <w:tcW w:type="dxa" w:w="6917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id/code, owner_object_ref, doc_type, version_no, visibility_scope, confirmation_state, sent_state</w:t>
            </w:r>
          </w:p>
        </w:tc>
      </w:tr>
      <w:tr>
        <w:tc>
          <w:tcPr>
            <w:tcW w:type="dxa" w:w="255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PaymentRecord</w:t>
            </w:r>
          </w:p>
        </w:tc>
        <w:tc>
          <w:tcPr>
            <w:tcW w:type="dxa" w:w="6917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id/code, owner_object_ref, amount, currency, payment_kind, payment_state, payer_ref, timestamps</w:t>
            </w:r>
          </w:p>
        </w:tc>
      </w:tr>
      <w:tr>
        <w:tc>
          <w:tcPr>
            <w:tcW w:type="dxa" w:w="255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Message/Event</w:t>
            </w:r>
          </w:p>
        </w:tc>
        <w:tc>
          <w:tcPr>
            <w:tcW w:type="dxa" w:w="6917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id, object_ref, actor_type, channel, message_type/event_type, visibility_scope, reason_code, timestamps</w:t>
            </w:r>
          </w:p>
        </w:tc>
      </w:tr>
    </w:tbl>
    <w:p/>
    <w:p>
      <w:pPr>
        <w:pStyle w:val="Heading1"/>
      </w:pPr>
      <w:r>
        <w:t>7. Базовые состояния объектов (черновой уровень)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2268"/>
            <w:vAlign w:val="center"/>
            <w:shd w:fill="DCEBFF"/>
            <w:tcMar>
              <w:top w:w="12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123463"/>
                <w:sz w:val="19"/>
              </w:rPr>
              <w:t>Объект</w:t>
            </w:r>
          </w:p>
        </w:tc>
        <w:tc>
          <w:tcPr>
            <w:tcW w:type="dxa" w:w="7200"/>
            <w:vAlign w:val="center"/>
            <w:shd w:fill="DCEBFF"/>
            <w:tcMar>
              <w:top w:w="12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123463"/>
                <w:sz w:val="19"/>
              </w:rPr>
              <w:t>Базовые статусы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Draft</w:t>
            </w:r>
          </w:p>
        </w:tc>
        <w:tc>
          <w:tcPr>
            <w:tcW w:type="dxa" w:w="7200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draft · awaiting_data · ready_to_submit · blocked · abandoned · archived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Request</w:t>
            </w:r>
          </w:p>
        </w:tc>
        <w:tc>
          <w:tcPr>
            <w:tcW w:type="dxa" w:w="7200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new · needs_review · needs_clarification · supplier_search · offer_prep · offer_sent · converted_to_order · cancelled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Offer</w:t>
            </w:r>
          </w:p>
        </w:tc>
        <w:tc>
          <w:tcPr>
            <w:tcW w:type="dxa" w:w="7200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draft · sent · awaiting_confirmation · revised · accepted · declined · expired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Order</w:t>
            </w:r>
          </w:p>
        </w:tc>
        <w:tc>
          <w:tcPr>
            <w:tcW w:type="dxa" w:w="7200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awaiting_confirmation · awaiting_payment · paid · supplier_assigned · in_production · partially_ready · ready · in_delivery · completed · cancelled · disputed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File</w:t>
            </w:r>
          </w:p>
        </w:tc>
        <w:tc>
          <w:tcPr>
            <w:tcW w:type="dxa" w:w="7200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uploaded · checking · passed · failed · needs_manual_review · approved_final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Document</w:t>
            </w:r>
          </w:p>
        </w:tc>
        <w:tc>
          <w:tcPr>
            <w:tcW w:type="dxa" w:w="7200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draft · published · sent · confirmed · replaced · archived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Supplier</w:t>
            </w:r>
          </w:p>
        </w:tc>
        <w:tc>
          <w:tcPr>
            <w:tcW w:type="dxa" w:w="7200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discovered · normalized · contact_confirmed · capability_confirmed · trusted · blocked · archived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Payment</w:t>
            </w:r>
          </w:p>
        </w:tc>
        <w:tc>
          <w:tcPr>
            <w:tcW w:type="dxa" w:w="7200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created · pending · confirmed · failed · partially_refunded · refunded</w:t>
            </w:r>
          </w:p>
        </w:tc>
      </w:tr>
    </w:tbl>
    <w:p/>
    <w:p>
      <w:pPr>
        <w:pStyle w:val="Heading1"/>
      </w:pPr>
      <w:r>
        <w:t>8. Критичные блокировки и условия переходов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2948"/>
            <w:vAlign w:val="center"/>
            <w:shd w:fill="DCEBFF"/>
            <w:tcMar>
              <w:top w:w="12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123463"/>
                <w:sz w:val="19"/>
              </w:rPr>
              <w:t>Переход</w:t>
            </w:r>
          </w:p>
        </w:tc>
        <w:tc>
          <w:tcPr>
            <w:tcW w:type="dxa" w:w="6520"/>
            <w:vAlign w:val="center"/>
            <w:shd w:fill="DCEBFF"/>
            <w:tcMar>
              <w:top w:w="12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123463"/>
                <w:sz w:val="19"/>
              </w:rPr>
              <w:t>Обязательные условия</w:t>
            </w:r>
          </w:p>
        </w:tc>
      </w:tr>
      <w:tr>
        <w:tc>
          <w:tcPr>
            <w:tcW w:type="dxa" w:w="2948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Из черновика в заявку</w:t>
            </w:r>
          </w:p>
        </w:tc>
        <w:tc>
          <w:tcPr>
            <w:tcW w:type="dxa" w:w="6520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обязательные поля заполнены; файл либо не нужен, либо присутствует; блокирующих ошибок нет</w:t>
            </w:r>
          </w:p>
        </w:tc>
      </w:tr>
      <w:tr>
        <w:tc>
          <w:tcPr>
            <w:tcW w:type="dxa" w:w="2948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Из заявки в предложение</w:t>
            </w:r>
          </w:p>
        </w:tc>
        <w:tc>
          <w:tcPr>
            <w:tcW w:type="dxa" w:w="6520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есть достаточно данных; понятен сценарий; заявка прошла начальный review</w:t>
            </w:r>
          </w:p>
        </w:tc>
      </w:tr>
      <w:tr>
        <w:tc>
          <w:tcPr>
            <w:tcW w:type="dxa" w:w="2948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Из предложения в заказ</w:t>
            </w:r>
          </w:p>
        </w:tc>
        <w:tc>
          <w:tcPr>
            <w:tcW w:type="dxa" w:w="6520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конкретная версия предложения подтверждена; критичные изменения не сбросили подтверждение</w:t>
            </w:r>
          </w:p>
        </w:tc>
      </w:tr>
      <w:tr>
        <w:tc>
          <w:tcPr>
            <w:tcW w:type="dxa" w:w="2948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Запуск в производство</w:t>
            </w:r>
          </w:p>
        </w:tc>
        <w:tc>
          <w:tcPr>
            <w:tcW w:type="dxa" w:w="6520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есть валидное подтверждение; платёжный сценарий разрешён; поставщик/сценарий подтверждён</w:t>
            </w:r>
          </w:p>
        </w:tc>
      </w:tr>
      <w:tr>
        <w:tc>
          <w:tcPr>
            <w:tcW w:type="dxa" w:w="2948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Отправка документа как финального</w:t>
            </w:r>
          </w:p>
        </w:tc>
        <w:tc>
          <w:tcPr>
            <w:tcW w:type="dxa" w:w="6520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существует актуальная версия; видимость и статус документа корректны</w:t>
            </w:r>
          </w:p>
        </w:tc>
      </w:tr>
    </w:tbl>
    <w:p/>
    <w:p>
      <w:pPr>
        <w:pStyle w:val="Heading1"/>
      </w:pPr>
      <w:r>
        <w:t>9. Роли и критичные действия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2268"/>
            <w:vAlign w:val="center"/>
            <w:shd w:fill="DCEBFF"/>
            <w:tcMar>
              <w:top w:w="12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123463"/>
                <w:sz w:val="19"/>
              </w:rPr>
              <w:t>Роль</w:t>
            </w:r>
          </w:p>
        </w:tc>
        <w:tc>
          <w:tcPr>
            <w:tcW w:type="dxa" w:w="7200"/>
            <w:vAlign w:val="center"/>
            <w:shd w:fill="DCEBFF"/>
            <w:tcMar>
              <w:top w:w="12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123463"/>
                <w:sz w:val="19"/>
              </w:rPr>
              <w:t>Разрешённый контур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Гость</w:t>
            </w:r>
          </w:p>
        </w:tc>
        <w:tc>
          <w:tcPr>
            <w:tcW w:type="dxa" w:w="7200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видит витрину, может начать черновик и смотреть публичный контент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Клиент</w:t>
            </w:r>
          </w:p>
        </w:tc>
        <w:tc>
          <w:tcPr>
            <w:tcW w:type="dxa" w:w="7200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ведёт свои черновики/заявки/заказы, файлы, оплаты, сообщения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Поставщик</w:t>
            </w:r>
          </w:p>
        </w:tc>
        <w:tc>
          <w:tcPr>
            <w:tcW w:type="dxa" w:w="7200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в первой волне в основном внешний контур; позже кабинет и самообновление профиля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Оператор</w:t>
            </w:r>
          </w:p>
        </w:tc>
        <w:tc>
          <w:tcPr>
            <w:tcW w:type="dxa" w:w="7200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обрабатывает заявки, готовит предложения, проверяет файлы, ведёт поставщиков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Админ</w:t>
            </w:r>
          </w:p>
        </w:tc>
        <w:tc>
          <w:tcPr>
            <w:tcW w:type="dxa" w:w="7200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утверждает критичные действия, меняет правила, видит финансы, аварийные/сервисные режимы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2948"/>
            <w:vAlign w:val="center"/>
            <w:shd w:fill="DCEBFF"/>
            <w:tcMar>
              <w:top w:w="12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123463"/>
                <w:sz w:val="19"/>
              </w:rPr>
              <w:t>Критичное действие</w:t>
            </w:r>
          </w:p>
        </w:tc>
        <w:tc>
          <w:tcPr>
            <w:tcW w:type="dxa" w:w="6520"/>
            <w:vAlign w:val="center"/>
            <w:shd w:fill="DCEBFF"/>
            <w:tcMar>
              <w:top w:w="12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123463"/>
                <w:sz w:val="19"/>
              </w:rPr>
              <w:t>Ограничение</w:t>
            </w:r>
          </w:p>
        </w:tc>
      </w:tr>
      <w:tr>
        <w:tc>
          <w:tcPr>
            <w:tcW w:type="dxa" w:w="2948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Утверждение цены</w:t>
            </w:r>
          </w:p>
        </w:tc>
        <w:tc>
          <w:tcPr>
            <w:tcW w:type="dxa" w:w="6520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не любой пользователь; только нужная внутренняя роль</w:t>
            </w:r>
          </w:p>
        </w:tc>
      </w:tr>
      <w:tr>
        <w:tc>
          <w:tcPr>
            <w:tcW w:type="dxa" w:w="2948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Возврат денег</w:t>
            </w:r>
          </w:p>
        </w:tc>
        <w:tc>
          <w:tcPr>
            <w:tcW w:type="dxa" w:w="6520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не любой пользователь; отдельное разрешение</w:t>
            </w:r>
          </w:p>
        </w:tc>
      </w:tr>
      <w:tr>
        <w:tc>
          <w:tcPr>
            <w:tcW w:type="dxa" w:w="2948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Изменение критичных правил</w:t>
            </w:r>
          </w:p>
        </w:tc>
        <w:tc>
          <w:tcPr>
            <w:tcW w:type="dxa" w:w="6520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не любой пользователь; журнал и версия правил обязательны</w:t>
            </w:r>
          </w:p>
        </w:tc>
      </w:tr>
      <w:tr>
        <w:tc>
          <w:tcPr>
            <w:tcW w:type="dxa" w:w="2948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Подтверждение запуска</w:t>
            </w:r>
          </w:p>
        </w:tc>
        <w:tc>
          <w:tcPr>
            <w:tcW w:type="dxa" w:w="6520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только роль с правом на чувствительные действия</w:t>
            </w:r>
          </w:p>
        </w:tc>
      </w:tr>
    </w:tbl>
    <w:p/>
    <w:p>
      <w:pPr>
        <w:pStyle w:val="Heading1"/>
      </w:pPr>
      <w:r>
        <w:t>10. Обязательные платформенные контуры</w:t>
      </w:r>
    </w:p>
    <w:p>
      <w:pPr>
        <w:pStyle w:val="ListBullet"/>
      </w:pPr>
      <w:r>
        <w:t>аудит и единая хронология по объектам;</w:t>
      </w:r>
    </w:p>
    <w:p>
      <w:pPr>
        <w:pStyle w:val="ListBullet"/>
      </w:pPr>
      <w:r>
        <w:t>причины действий и ролевые объяснения;</w:t>
      </w:r>
    </w:p>
    <w:p>
      <w:pPr>
        <w:pStyle w:val="ListBullet"/>
      </w:pPr>
      <w:r>
        <w:t>версии предложений, файлов и документов;</w:t>
      </w:r>
    </w:p>
    <w:p>
      <w:pPr>
        <w:pStyle w:val="ListBullet"/>
      </w:pPr>
      <w:r>
        <w:t>ролевые дашборды и рабочие столы;</w:t>
      </w:r>
    </w:p>
    <w:p>
      <w:pPr>
        <w:pStyle w:val="ListBullet"/>
      </w:pPr>
      <w:r>
        <w:t>эскалации и внутренние нормативы реакции;</w:t>
      </w:r>
    </w:p>
    <w:p>
      <w:pPr>
        <w:pStyle w:val="ListBullet"/>
      </w:pPr>
      <w:r>
        <w:t>мягкое удаление и архивный контур;</w:t>
      </w:r>
    </w:p>
    <w:p>
      <w:pPr>
        <w:pStyle w:val="ListBullet"/>
      </w:pPr>
      <w:r>
        <w:t>локальная, тестовая и боевая среды;</w:t>
      </w:r>
    </w:p>
    <w:p>
      <w:pPr>
        <w:pStyle w:val="ListBullet"/>
      </w:pPr>
      <w:r>
        <w:t>режимы системы: обычный, тестовый, обслуживание, аварийный;</w:t>
      </w:r>
    </w:p>
    <w:p>
      <w:pPr>
        <w:pStyle w:val="ListBullet"/>
      </w:pPr>
      <w:r>
        <w:t>контур секретов и безопасной конфигурации;</w:t>
      </w:r>
    </w:p>
    <w:p>
      <w:pPr>
        <w:pStyle w:val="ListBullet"/>
      </w:pPr>
      <w:r>
        <w:t>встроенные подсказки, демо и онбординг.</w:t>
      </w:r>
    </w:p>
    <w:p>
      <w:pPr>
        <w:pStyle w:val="Heading1"/>
      </w:pPr>
      <w:r>
        <w:t>11. Порядок реализации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1871"/>
            <w:vAlign w:val="center"/>
            <w:shd w:fill="DCEBFF"/>
            <w:tcMar>
              <w:top w:w="12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123463"/>
                <w:sz w:val="19"/>
              </w:rPr>
              <w:t>Очередь</w:t>
            </w:r>
          </w:p>
        </w:tc>
        <w:tc>
          <w:tcPr>
            <w:tcW w:type="dxa" w:w="7597"/>
            <w:vAlign w:val="center"/>
            <w:shd w:fill="DCEBFF"/>
            <w:tcMar>
              <w:top w:w="12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123463"/>
                <w:sz w:val="19"/>
              </w:rPr>
              <w:t>Что строим</w:t>
            </w:r>
          </w:p>
        </w:tc>
      </w:tr>
      <w:tr>
        <w:tc>
          <w:tcPr>
            <w:tcW w:type="dxa" w:w="187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Шаг 1</w:t>
            </w:r>
          </w:p>
        </w:tc>
        <w:tc>
          <w:tcPr>
            <w:tcW w:type="dxa" w:w="7597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скелет проекта, среды, конфигурации, базовый стек, авторизация, аудит</w:t>
            </w:r>
          </w:p>
        </w:tc>
      </w:tr>
      <w:tr>
        <w:tc>
          <w:tcPr>
            <w:tcW w:type="dxa" w:w="187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Шаг 2</w:t>
            </w:r>
          </w:p>
        </w:tc>
        <w:tc>
          <w:tcPr>
            <w:tcW w:type="dxa" w:w="7597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модуль компаний и поставщиков: источники, парсинг, нормализация, доверие</w:t>
            </w:r>
          </w:p>
        </w:tc>
      </w:tr>
      <w:tr>
        <w:tc>
          <w:tcPr>
            <w:tcW w:type="dxa" w:w="187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Шаг 3</w:t>
            </w:r>
          </w:p>
        </w:tc>
        <w:tc>
          <w:tcPr>
            <w:tcW w:type="dxa" w:w="7597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каталог и витрина первой волны</w:t>
            </w:r>
          </w:p>
        </w:tc>
      </w:tr>
      <w:tr>
        <w:tc>
          <w:tcPr>
            <w:tcW w:type="dxa" w:w="187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Шаг 4</w:t>
            </w:r>
          </w:p>
        </w:tc>
        <w:tc>
          <w:tcPr>
            <w:tcW w:type="dxa" w:w="7597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черновик и заявка + циклы уточнений</w:t>
            </w:r>
          </w:p>
        </w:tc>
      </w:tr>
      <w:tr>
        <w:tc>
          <w:tcPr>
            <w:tcW w:type="dxa" w:w="187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Шаг 5</w:t>
            </w:r>
          </w:p>
        </w:tc>
        <w:tc>
          <w:tcPr>
            <w:tcW w:type="dxa" w:w="7597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предложение и версии предложений</w:t>
            </w:r>
          </w:p>
        </w:tc>
      </w:tr>
      <w:tr>
        <w:tc>
          <w:tcPr>
            <w:tcW w:type="dxa" w:w="187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Шаг 6</w:t>
            </w:r>
          </w:p>
        </w:tc>
        <w:tc>
          <w:tcPr>
            <w:tcW w:type="dxa" w:w="7597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заказ, файлы, документы, хронология</w:t>
            </w:r>
          </w:p>
        </w:tc>
      </w:tr>
      <w:tr>
        <w:tc>
          <w:tcPr>
            <w:tcW w:type="dxa" w:w="187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Шаг 7</w:t>
            </w:r>
          </w:p>
        </w:tc>
        <w:tc>
          <w:tcPr>
            <w:tcW w:type="dxa" w:w="7597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ролевые дашборды, базовые уведомления, объяснения решений</w:t>
            </w:r>
          </w:p>
        </w:tc>
      </w:tr>
    </w:tbl>
    <w:p/>
    <w:p>
      <w:pPr>
        <w:pStyle w:val="Heading1"/>
      </w:pPr>
      <w:r>
        <w:t>12. Правила, которые Codex не должен нарушать</w:t>
      </w:r>
    </w:p>
    <w:p>
      <w:pPr>
        <w:pStyle w:val="ListBullet"/>
      </w:pPr>
      <w:r>
        <w:t>Не превращать первую волну в полный маркетплейс на все сценарии.</w:t>
      </w:r>
    </w:p>
    <w:p>
      <w:pPr>
        <w:pStyle w:val="ListBullet"/>
      </w:pPr>
      <w:r>
        <w:t>Не резать систему на микросервисы.</w:t>
      </w:r>
    </w:p>
    <w:p>
      <w:pPr>
        <w:pStyle w:val="ListBullet"/>
      </w:pPr>
      <w:r>
        <w:t>Не пытаться автоматизировать все спорные решения без ручных подтверждений.</w:t>
      </w:r>
    </w:p>
    <w:p>
      <w:pPr>
        <w:pStyle w:val="ListBullet"/>
      </w:pPr>
      <w:r>
        <w:t>Не смешивать в одну сущность черновик, заявку, предложение и заказ.</w:t>
      </w:r>
    </w:p>
    <w:p>
      <w:pPr>
        <w:pStyle w:val="ListBullet"/>
      </w:pPr>
      <w:r>
        <w:t>Не держать одну универсальную цену в карточке товара.</w:t>
      </w:r>
    </w:p>
    <w:p>
      <w:pPr>
        <w:pStyle w:val="ListBullet"/>
      </w:pPr>
      <w:r>
        <w:t>Не зашивать критичные интеграции напрямую в ядро без отдельного интеграционного слоя.</w:t>
      </w:r>
    </w:p>
    <w:p>
      <w:pPr>
        <w:pStyle w:val="ListBullet"/>
      </w:pPr>
      <w:r>
        <w:t>Не стирать важные объекты физически, если они участвуют в истории, документах и деньгах.</w:t>
      </w:r>
    </w:p>
    <w:p>
      <w:pPr>
        <w:pStyle w:val="Heading1"/>
      </w:pPr>
      <w:r>
        <w:t>13. Критерии приёмки первой волны</w:t>
      </w:r>
    </w:p>
    <w:p>
      <w:pPr>
        <w:pStyle w:val="ListBullet"/>
      </w:pPr>
      <w:r>
        <w:t>Система умеет собрать и хранить поставщиков через управляемый контур парсинга и нормализации.</w:t>
      </w:r>
    </w:p>
    <w:p>
      <w:pPr>
        <w:pStyle w:val="ListBullet"/>
      </w:pPr>
      <w:r>
        <w:t>Витрина показывает ограниченный набор направлений и принимает черновики/заявки.</w:t>
      </w:r>
    </w:p>
    <w:p>
      <w:pPr>
        <w:pStyle w:val="ListBullet"/>
      </w:pPr>
      <w:r>
        <w:t>Черновик не переходит дальше без обязательных условий.</w:t>
      </w:r>
    </w:p>
    <w:p>
      <w:pPr>
        <w:pStyle w:val="ListBullet"/>
      </w:pPr>
      <w:r>
        <w:t>Для заявки можно создать версионное предложение.</w:t>
      </w:r>
    </w:p>
    <w:p>
      <w:pPr>
        <w:pStyle w:val="ListBullet"/>
      </w:pPr>
      <w:r>
        <w:t>Подтверждённое предложение переводится в заказ без потери истории.</w:t>
      </w:r>
    </w:p>
    <w:p>
      <w:pPr>
        <w:pStyle w:val="ListBullet"/>
      </w:pPr>
      <w:r>
        <w:t>Файлы и документы имеют версии и ролевую видимость.</w:t>
      </w:r>
    </w:p>
    <w:p>
      <w:pPr>
        <w:pStyle w:val="ListBullet"/>
      </w:pPr>
      <w:r>
        <w:t>Есть сквозная хронология, причины и аудит по ключевым объектам.</w:t>
      </w:r>
    </w:p>
    <w:p>
      <w:pPr>
        <w:pStyle w:val="ListBullet"/>
      </w:pPr>
      <w:r>
        <w:t>Есть минимальные ролевые рабочие столы.</w:t>
      </w:r>
    </w:p>
    <w:p>
      <w:pPr>
        <w:pStyle w:val="ListBullet"/>
      </w:pPr>
      <w:r>
        <w:t>Есть базовые дашборды по supply-side и статусу обработки.</w:t>
      </w:r>
    </w:p>
    <w:p>
      <w:pPr>
        <w:pStyle w:val="Heading1"/>
      </w:pPr>
      <w:r>
        <w:t>14. Что ещё останется после первой волны</w:t>
      </w:r>
    </w:p>
    <w:p>
      <w:pPr>
        <w:pStyle w:val="ListBullet"/>
      </w:pPr>
      <w:r>
        <w:t>полный supplier portal;</w:t>
      </w:r>
    </w:p>
    <w:p>
      <w:pPr>
        <w:pStyle w:val="ListBullet"/>
      </w:pPr>
      <w:r>
        <w:t>официальный широкий платёжный контур;</w:t>
      </w:r>
    </w:p>
    <w:p>
      <w:pPr>
        <w:pStyle w:val="ListBullet"/>
      </w:pPr>
      <w:r>
        <w:t>тяжёлый редактор файлов и продвинутая предпечатная проверка;</w:t>
      </w:r>
    </w:p>
    <w:p>
      <w:pPr>
        <w:pStyle w:val="ListBullet"/>
      </w:pPr>
      <w:r>
        <w:t>материалы и закупочный слой в полном виде;</w:t>
      </w:r>
    </w:p>
    <w:p>
      <w:pPr>
        <w:pStyle w:val="ListBullet"/>
      </w:pPr>
      <w:r>
        <w:t>склад и локальные запасы;</w:t>
      </w:r>
    </w:p>
    <w:p>
      <w:pPr>
        <w:pStyle w:val="ListBullet"/>
      </w:pPr>
      <w:r>
        <w:t>расширенная мультирынковая матрица каналов;</w:t>
      </w:r>
    </w:p>
    <w:p>
      <w:pPr>
        <w:pStyle w:val="ListBullet"/>
      </w:pPr>
      <w:r>
        <w:t>тяжёлый ИИ-контур и продвинутый поиск по смыслу как обязательное ядро;</w:t>
      </w:r>
    </w:p>
    <w:sectPr w:rsidR="00FC693F" w:rsidRPr="0006063C" w:rsidSect="00034616">
      <w:footerReference w:type="default" r:id="rId9"/>
      <w:pgSz w:w="11906" w:h="16838"/>
      <w:pgMar w:top="1020" w:right="1020" w:bottom="850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DejaVu Sans" w:hAnsi="DejaVu Sans"/>
        <w:color w:val="64748B"/>
        <w:sz w:val="18"/>
      </w:rPr>
      <w:t xml:space="preserve">Стр.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DejaVu Sans" w:hAnsi="DejaVu San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234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2D4F7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 Title"/>
    <w:basedOn w:val="Title"/>
    <w:pPr>
      <w:spacing w:after="160"/>
    </w:pPr>
    <w:rPr>
      <w:rFonts w:ascii="DejaVu Sans" w:hAnsi="DejaVu Sans"/>
      <w:b/>
      <w:color w:val="123463"/>
      <w:sz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