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E43C58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E43C58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E43C58">
        <w:rPr>
          <w:rFonts w:cs="Times New Roman"/>
          <w:szCs w:val="28"/>
        </w:rPr>
        <w:t>Изучение работы транзакций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8471B3" w:rsidRDefault="008471B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71B3">
        <w:rPr>
          <w:rFonts w:ascii="Times New Roman" w:hAnsi="Times New Roman" w:cs="Times New Roman"/>
          <w:sz w:val="28"/>
          <w:szCs w:val="28"/>
        </w:rPr>
        <w:t>Познакомить студентов с языком создания запросов управления данными SQL-DML.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43C58" w:rsidRPr="00E43C58" w:rsidRDefault="00E43C58" w:rsidP="00E43C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основные принципы работы транзакций.</w:t>
      </w:r>
    </w:p>
    <w:p w:rsidR="00E43C58" w:rsidRPr="00E43C58" w:rsidRDefault="00E43C58" w:rsidP="00E43C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эксперименты по запуску, подтверждению и откату транзакций.</w:t>
      </w:r>
    </w:p>
    <w:p w:rsidR="00E43C58" w:rsidRPr="00E43C58" w:rsidRDefault="00E43C58" w:rsidP="00E43C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Разобраться с уровнями изоляции транзакций в </w:t>
      </w:r>
      <w:proofErr w:type="spellStart"/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Firebird</w:t>
      </w:r>
      <w:proofErr w:type="spellEnd"/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43C58" w:rsidRPr="00E43C58" w:rsidRDefault="00E43C58" w:rsidP="00E43C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E43C58" w:rsidRPr="00E43C58" w:rsidRDefault="00E43C58" w:rsidP="00E43C5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преподавателю, ответить на контрольные вопросы.</w:t>
      </w:r>
    </w:p>
    <w:p w:rsidR="00E43C58" w:rsidRPr="00E43C58" w:rsidRDefault="00E43C58" w:rsidP="002562C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Транзакции</w:t>
      </w:r>
    </w:p>
    <w:p w:rsidR="002562C0" w:rsidRPr="008471B3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Транзакция - это неделимая, с точки зрения воздействия на СУБД, последовательность операций манипулирования данными. Для пользователя транзакция выполняется по принципу "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все или ничего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", т.е. либо транзакция выполняется целиком и переводит базу данных из одного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целостного состояния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другое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целостное состояние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либо, если по каким-либо причинам, одно из действий транзакции невыполнимо, или произошло какое-либо нарушение работы системы, база данных возвращается в исходное состояние, которое было до начала транзакции (происходит откат транзакции). С этой точки зрения, транзакции важны как в многопользовательских, так и в однопользовательских системах. В однопользовательских системах транзакции - это логические единицы работы, после выполнения которых база данных остается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 целостном состоянии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Транзакции также являются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единицами восстановления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 после сбоев - восстанавливаясь, система ликвидирует следы транзакций, не успевших успешно завершиться в результате программного или аппаратного сбоя. Эти два свойства транзакций определяют атомарность (неделимость) транзакции. В многопользовательских системах, кроме того, транзакции служат для обеспечения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изолированной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работы отдельных пользователей - пользователям, одновременно работающим с одной базой данных, кажется, что они работают как бы в однопользовательской системе и не мешают друг другу.</w:t>
      </w:r>
    </w:p>
    <w:p w:rsidR="003A4AB0" w:rsidRDefault="003A4AB0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Транзакция обладает четырьмя важными свойствами, известными как </w:t>
      </w:r>
      <w:r w:rsidRPr="00E43C5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свойства АСИД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43C58" w:rsidRPr="001D73AE" w:rsidRDefault="00E43C58" w:rsidP="001D73A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(А) Атомарность</w:t>
      </w: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Транзакция выполняется как атомарная операция - либо выполняется вся транзакция целиком, либо она целиком не выполняется.</w:t>
      </w:r>
    </w:p>
    <w:p w:rsidR="00E43C58" w:rsidRPr="001D73AE" w:rsidRDefault="00E43C58" w:rsidP="001D73A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(С) Согласованность</w:t>
      </w: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Транзакция переводит базу данных из одного согласованного (целостного) состояния в другое согласованное </w:t>
      </w: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(целостное) состояние. Внутри транзакции согласованность базы данных может нарушаться.</w:t>
      </w:r>
    </w:p>
    <w:p w:rsidR="00E43C58" w:rsidRPr="001D73AE" w:rsidRDefault="00E43C58" w:rsidP="001D73A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(И) Изоляция</w:t>
      </w: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Транзакции разных пользователей не должны мешать друг другу (например, как если бы они выполнялись строго по очереди).</w:t>
      </w:r>
    </w:p>
    <w:p w:rsidR="00E43C58" w:rsidRPr="001D73AE" w:rsidRDefault="00E43C58" w:rsidP="001D73A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(Д) Долговечность</w:t>
      </w: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Если транзакция выполнена, то результаты ее работы должны сохраниться в базе данных, даже если в следующий момент произойдет сбой системы.</w:t>
      </w: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Транзакция обычно начинается автоматически с момента присоединения пользователя к СУБД и продолжается до тех пор, пока не произойдет одно из следующих событий:</w:t>
      </w:r>
    </w:p>
    <w:p w:rsidR="00E43C58" w:rsidRPr="001D73AE" w:rsidRDefault="00E43C58" w:rsidP="001D73A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Подана команда COMMIT WORK (зафиксировать транзакцию).</w:t>
      </w:r>
    </w:p>
    <w:p w:rsidR="00E43C58" w:rsidRPr="001D73AE" w:rsidRDefault="00E43C58" w:rsidP="001D73A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Подана команда ROLLBACK WORK (откатить транзакцию).</w:t>
      </w:r>
    </w:p>
    <w:p w:rsidR="00E43C58" w:rsidRPr="001D73AE" w:rsidRDefault="00E43C58" w:rsidP="001D73A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Произошло отсоединение пользователя от СУБД.</w:t>
      </w:r>
    </w:p>
    <w:p w:rsidR="00E43C58" w:rsidRPr="001D73AE" w:rsidRDefault="00E43C58" w:rsidP="001D73A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Произошел сбой системы.</w:t>
      </w: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Команда COMMIT WORK завершает текущую транзакцию и автоматически начинает новую транзакцию. При этом гарантируется, что результаты работы завершенной транзакции фиксируются, т.е. сохраняются в базе данных.</w:t>
      </w:r>
    </w:p>
    <w:p w:rsid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Команда ROLLBACK WORK приводит к тому, что все изменения, сделанные текущей транзакцией откатываются, т.е. отменяются так,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как будто их вообще не было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 этом автоматически начинается новая транзакция.</w:t>
      </w: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отсоединении пользователя от СУБД происходит автоматическая фиксация транзакций.</w:t>
      </w:r>
    </w:p>
    <w:p w:rsidR="00E43C58" w:rsidRPr="00E43C58" w:rsidRDefault="00E43C58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сбое системы происходят более сложные процессы. Кратко суть их сводится к тому, что при последующем запуске системы происходит анализ выполнявшихся до момента сбоя транзакций. Те транзакции, для которых была подана команда COMMIT WORK, но </w:t>
      </w:r>
      <w:r w:rsidRPr="00E43C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результаты работы которых не были занесены в базу данных</w:t>
      </w:r>
      <w:r w:rsidRPr="00E43C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выполняются снова (накатываются). Те транзакции, для которых не была подана команда COMMIT WORK, откатываются. Более подробно восстановление после сбоев рассматривается далее.</w:t>
      </w:r>
    </w:p>
    <w:p w:rsidR="00E43C58" w:rsidRPr="00E43C58" w:rsidRDefault="00E43C58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73AE" w:rsidRDefault="001D73AE" w:rsidP="001D73A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D73AE" w:rsidRPr="001D73AE" w:rsidRDefault="001D73AE" w:rsidP="001D7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Провести эксперименты по запуску, подтверждению и откату транзакций.</w:t>
      </w:r>
    </w:p>
    <w:p w:rsidR="00422949" w:rsidRPr="0010359A" w:rsidRDefault="001D73AE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проведения данных экспериментов </w:t>
      </w:r>
      <w:r w:rsidR="0010359A">
        <w:rPr>
          <w:rFonts w:ascii="Times New Roman" w:hAnsi="Times New Roman" w:cs="Times New Roman"/>
          <w:sz w:val="28"/>
          <w:szCs w:val="28"/>
        </w:rPr>
        <w:t xml:space="preserve">была создана БД, состоящая из одной таблицы с одним полем типа </w:t>
      </w:r>
      <w:r w:rsidR="001035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0359A" w:rsidRPr="0010359A">
        <w:rPr>
          <w:rFonts w:ascii="Times New Roman" w:hAnsi="Times New Roman" w:cs="Times New Roman"/>
          <w:sz w:val="28"/>
          <w:szCs w:val="28"/>
        </w:rPr>
        <w:t>.</w:t>
      </w:r>
    </w:p>
    <w:p w:rsidR="0010359A" w:rsidRDefault="0010359A" w:rsidP="004229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3315" cy="2679700"/>
            <wp:effectExtent l="19050" t="0" r="635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9A" w:rsidRDefault="0010359A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Заполнили таблицу некоторыми данными.</w:t>
      </w:r>
    </w:p>
    <w:p w:rsidR="0010359A" w:rsidRDefault="0010359A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исследуем возможность создания точки сохранения. Для этого добавим еще данные, создадим точку восстановления, удалим новые данные и вернемся к точке восстановления. Удаленные данные должны будут восстановиться.</w:t>
      </w:r>
    </w:p>
    <w:p w:rsidR="0010359A" w:rsidRDefault="0010359A" w:rsidP="0010359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3645" cy="4220845"/>
            <wp:effectExtent l="19050" t="0" r="825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9A" w:rsidRDefault="0010359A" w:rsidP="001035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рисунке, после отката к точке восстановления. удаленные данные были восстановлены.</w:t>
      </w:r>
    </w:p>
    <w:p w:rsidR="001657E8" w:rsidRDefault="001657E8" w:rsidP="0010359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57E8" w:rsidRPr="001657E8" w:rsidRDefault="001657E8" w:rsidP="0010359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57E8" w:rsidRPr="001657E8" w:rsidRDefault="001657E8" w:rsidP="0010359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7E8">
        <w:rPr>
          <w:rFonts w:ascii="Times New Roman" w:hAnsi="Times New Roman" w:cs="Times New Roman"/>
          <w:b/>
          <w:sz w:val="28"/>
          <w:szCs w:val="28"/>
        </w:rPr>
        <w:lastRenderedPageBreak/>
        <w:t>Уровни изоляции транзакции.</w:t>
      </w:r>
    </w:p>
    <w:p w:rsidR="00422949" w:rsidRDefault="001657E8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7E8">
        <w:rPr>
          <w:rFonts w:ascii="Times New Roman" w:hAnsi="Times New Roman" w:cs="Times New Roman"/>
          <w:sz w:val="28"/>
          <w:szCs w:val="28"/>
        </w:rPr>
        <w:t>Важнейшая характеристика транзакции — </w:t>
      </w:r>
      <w:r w:rsidRPr="001657E8">
        <w:rPr>
          <w:rFonts w:ascii="Times New Roman" w:hAnsi="Times New Roman" w:cs="Times New Roman"/>
          <w:b/>
          <w:bCs/>
          <w:sz w:val="28"/>
          <w:szCs w:val="28"/>
        </w:rPr>
        <w:t>уровень изоляции</w:t>
      </w:r>
      <w:r w:rsidRPr="001657E8">
        <w:rPr>
          <w:rFonts w:ascii="Times New Roman" w:hAnsi="Times New Roman" w:cs="Times New Roman"/>
          <w:sz w:val="28"/>
          <w:szCs w:val="28"/>
        </w:rPr>
        <w:t>. В следующей таблице представлены три существующих уровня изоляции транзакции.</w:t>
      </w:r>
    </w:p>
    <w:p w:rsidR="001657E8" w:rsidRPr="00F8130F" w:rsidRDefault="001657E8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7E8">
        <w:rPr>
          <w:rFonts w:ascii="Times New Roman" w:hAnsi="Times New Roman" w:cs="Times New Roman"/>
          <w:b/>
          <w:bCs/>
          <w:sz w:val="28"/>
          <w:szCs w:val="28"/>
        </w:rPr>
        <w:t>Уровень изолированности транзакций</w:t>
      </w:r>
      <w:r w:rsidRPr="001657E8">
        <w:rPr>
          <w:rFonts w:ascii="Times New Roman" w:hAnsi="Times New Roman" w:cs="Times New Roman"/>
          <w:sz w:val="28"/>
          <w:szCs w:val="28"/>
        </w:rPr>
        <w:t> — значение, определяющее уровень, при котором в </w:t>
      </w:r>
      <w:hyperlink r:id="rId8" w:tooltip="Транзакция (информатика)" w:history="1">
        <w:r w:rsidRPr="001657E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транзакции</w:t>
        </w:r>
      </w:hyperlink>
      <w:r w:rsidRPr="001657E8">
        <w:rPr>
          <w:rFonts w:ascii="Times New Roman" w:hAnsi="Times New Roman" w:cs="Times New Roman"/>
          <w:color w:val="000000" w:themeColor="text1"/>
          <w:sz w:val="28"/>
          <w:szCs w:val="28"/>
        </w:rPr>
        <w:t> допускаются несогласованные данные, то есть степень изолированности одной</w:t>
      </w:r>
      <w:r w:rsidRPr="001657E8">
        <w:rPr>
          <w:rFonts w:ascii="Times New Roman" w:hAnsi="Times New Roman" w:cs="Times New Roman"/>
          <w:sz w:val="28"/>
          <w:szCs w:val="28"/>
        </w:rPr>
        <w:t xml:space="preserve"> транзакции от другой. Более высокий уровень изолированности повышает точность данных, но при этом может снижаться количество параллельно выполняемых транзакций. С другой стороны, более низкий уровень изолированности позволяет выполнять больше параллельных транзакций, но снижает точность данных.</w:t>
      </w:r>
    </w:p>
    <w:p w:rsidR="00422949" w:rsidRDefault="001657E8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165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поддерживаются следующие уровни изоляции:</w:t>
      </w:r>
    </w:p>
    <w:p w:rsidR="001657E8" w:rsidRPr="001657E8" w:rsidRDefault="001657E8" w:rsidP="001657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1657E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65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E8"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  <w:r w:rsidRPr="001657E8">
        <w:rPr>
          <w:rFonts w:ascii="Times New Roman" w:hAnsi="Times New Roman" w:cs="Times New Roman"/>
          <w:sz w:val="28"/>
          <w:szCs w:val="28"/>
        </w:rPr>
        <w:t xml:space="preserve"> - </w:t>
      </w:r>
      <w:r w:rsidRPr="001657E8">
        <w:rPr>
          <w:rFonts w:ascii="Times New Roman" w:hAnsi="Times New Roman" w:cs="Times New Roman"/>
          <w:sz w:val="28"/>
          <w:szCs w:val="28"/>
        </w:rPr>
        <w:t xml:space="preserve">Чтение подтвержденных изменений. Транзакция </w:t>
      </w:r>
      <w:r>
        <w:rPr>
          <w:rFonts w:ascii="Times New Roman" w:hAnsi="Times New Roman" w:cs="Times New Roman"/>
          <w:sz w:val="28"/>
          <w:szCs w:val="28"/>
        </w:rPr>
        <w:tab/>
      </w:r>
      <w:r w:rsidRPr="001657E8">
        <w:rPr>
          <w:rFonts w:ascii="Times New Roman" w:hAnsi="Times New Roman" w:cs="Times New Roman"/>
          <w:sz w:val="28"/>
          <w:szCs w:val="28"/>
        </w:rPr>
        <w:t xml:space="preserve">может видеть самые последние подтвержденные изменения базы </w:t>
      </w:r>
      <w:r w:rsidR="00147B52">
        <w:rPr>
          <w:rFonts w:ascii="Times New Roman" w:hAnsi="Times New Roman" w:cs="Times New Roman"/>
          <w:sz w:val="28"/>
          <w:szCs w:val="28"/>
        </w:rPr>
        <w:tab/>
      </w:r>
      <w:r w:rsidRPr="001657E8">
        <w:rPr>
          <w:rFonts w:ascii="Times New Roman" w:hAnsi="Times New Roman" w:cs="Times New Roman"/>
          <w:sz w:val="28"/>
          <w:szCs w:val="28"/>
        </w:rPr>
        <w:t>данных, выполненные другими транзакциями.</w:t>
      </w:r>
      <w:r w:rsidRPr="001657E8">
        <w:rPr>
          <w:rFonts w:ascii="Times New Roman" w:hAnsi="Times New Roman" w:cs="Times New Roman"/>
          <w:sz w:val="28"/>
          <w:szCs w:val="28"/>
        </w:rPr>
        <w:t xml:space="preserve"> </w:t>
      </w:r>
      <w:r w:rsidRPr="001657E8">
        <w:rPr>
          <w:rFonts w:ascii="Times New Roman" w:hAnsi="Times New Roman" w:cs="Times New Roman"/>
          <w:sz w:val="28"/>
          <w:szCs w:val="28"/>
        </w:rPr>
        <w:t xml:space="preserve">При этом уровне </w:t>
      </w:r>
      <w:r w:rsidR="00147B52">
        <w:rPr>
          <w:rFonts w:ascii="Times New Roman" w:hAnsi="Times New Roman" w:cs="Times New Roman"/>
          <w:sz w:val="28"/>
          <w:szCs w:val="28"/>
        </w:rPr>
        <w:tab/>
      </w:r>
      <w:r w:rsidRPr="001657E8">
        <w:rPr>
          <w:rFonts w:ascii="Times New Roman" w:hAnsi="Times New Roman" w:cs="Times New Roman"/>
          <w:sz w:val="28"/>
          <w:szCs w:val="28"/>
        </w:rPr>
        <w:t>изоляции используются еще два взаимоисключающих параметра:</w:t>
      </w:r>
    </w:p>
    <w:p w:rsidR="001657E8" w:rsidRPr="001657E8" w:rsidRDefault="00147B52" w:rsidP="001657E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NO RECORD_VERSION</w:t>
      </w:r>
      <w:r w:rsidR="001657E8" w:rsidRPr="001657E8">
        <w:rPr>
          <w:rFonts w:ascii="Times New Roman" w:hAnsi="Times New Roman" w:cs="Times New Roman"/>
          <w:sz w:val="28"/>
          <w:szCs w:val="28"/>
        </w:rPr>
        <w:t xml:space="preserve"> требует, чтобы было выполнено подтверждение всех измененных другими транзакциями данных.</w:t>
      </w:r>
    </w:p>
    <w:p w:rsidR="001657E8" w:rsidRDefault="001657E8" w:rsidP="001657E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7E8">
        <w:rPr>
          <w:rFonts w:ascii="Times New Roman" w:hAnsi="Times New Roman" w:cs="Times New Roman"/>
          <w:sz w:val="28"/>
          <w:szCs w:val="28"/>
        </w:rPr>
        <w:t>RECORD_VERSION позволяет читать самую последнюю подтвержденную версию изменений, даже если существуют другие неподтвержденные версии.</w:t>
      </w:r>
    </w:p>
    <w:p w:rsidR="00147B52" w:rsidRDefault="00147B52" w:rsidP="00147B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>Мгновенный снимок (образ). Значение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Другое название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147B52">
        <w:rPr>
          <w:rFonts w:ascii="Times New Roman" w:hAnsi="Times New Roman" w:cs="Times New Roman"/>
          <w:sz w:val="28"/>
          <w:szCs w:val="28"/>
        </w:rPr>
        <w:t xml:space="preserve"> повторяемое чтение (</w:t>
      </w:r>
      <w:proofErr w:type="spellStart"/>
      <w:r w:rsidRPr="00147B52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Pr="00147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B5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D43C99" w:rsidRPr="00D43C99">
        <w:rPr>
          <w:rFonts w:ascii="Times New Roman" w:hAnsi="Times New Roman" w:cs="Times New Roman"/>
          <w:sz w:val="28"/>
          <w:szCs w:val="28"/>
        </w:rPr>
        <w:t>/</w:t>
      </w:r>
      <w:r w:rsidR="00D43C99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147B52">
        <w:rPr>
          <w:rFonts w:ascii="Times New Roman" w:hAnsi="Times New Roman" w:cs="Times New Roman"/>
          <w:sz w:val="28"/>
          <w:szCs w:val="28"/>
        </w:rPr>
        <w:t xml:space="preserve">). Дает состояние базы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данных на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момент старта транзакции. Изменения, выполненные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другими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транзакциями, в данной транзакции не видны. Естественно,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транзакция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«видит» все изменения, выполненные в контексте этой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>транзакции.</w:t>
      </w:r>
    </w:p>
    <w:p w:rsidR="00147B52" w:rsidRPr="00147B52" w:rsidRDefault="00147B52" w:rsidP="00147B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Изолированный образ или упорядочиваемый, </w:t>
      </w:r>
      <w:proofErr w:type="spellStart"/>
      <w:r w:rsidRPr="00147B52">
        <w:rPr>
          <w:rFonts w:ascii="Times New Roman" w:hAnsi="Times New Roman" w:cs="Times New Roman"/>
          <w:sz w:val="28"/>
          <w:szCs w:val="28"/>
        </w:rPr>
        <w:t>сериализуемый</w:t>
      </w:r>
      <w:proofErr w:type="spellEnd"/>
      <w:r w:rsidRPr="00147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B52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D43C99" w:rsidRPr="00D43C99">
        <w:rPr>
          <w:rFonts w:ascii="Times New Roman" w:hAnsi="Times New Roman" w:cs="Times New Roman"/>
          <w:sz w:val="28"/>
          <w:szCs w:val="28"/>
        </w:rPr>
        <w:t>/</w:t>
      </w:r>
      <w:r w:rsidR="00D43C99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D43C99" w:rsidRPr="00D43C99">
        <w:rPr>
          <w:rFonts w:ascii="Times New Roman" w:hAnsi="Times New Roman" w:cs="Times New Roman"/>
          <w:sz w:val="28"/>
          <w:szCs w:val="28"/>
        </w:rPr>
        <w:t xml:space="preserve"> </w:t>
      </w:r>
      <w:r w:rsidR="00D43C9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D43C99" w:rsidRPr="00D43C99">
        <w:rPr>
          <w:rFonts w:ascii="Times New Roman" w:hAnsi="Times New Roman" w:cs="Times New Roman"/>
          <w:sz w:val="28"/>
          <w:szCs w:val="28"/>
        </w:rPr>
        <w:t xml:space="preserve"> </w:t>
      </w:r>
      <w:r w:rsidR="00D43C99"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Pr="00147B52">
        <w:rPr>
          <w:rFonts w:ascii="Times New Roman" w:hAnsi="Times New Roman" w:cs="Times New Roman"/>
          <w:sz w:val="28"/>
          <w:szCs w:val="28"/>
        </w:rPr>
        <w:t xml:space="preserve">) образ. Аналогичен уровню </w:t>
      </w:r>
      <w:r w:rsidR="00D43C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SNAPSHOT с тем отличием,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что другим транзакциям разрешено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чтение данных из таблиц данной </w:t>
      </w:r>
      <w:r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 xml:space="preserve">транзакции, однако они не могут </w:t>
      </w:r>
      <w:r w:rsidR="00D43C99" w:rsidRPr="00D43C99">
        <w:rPr>
          <w:rFonts w:ascii="Times New Roman" w:hAnsi="Times New Roman" w:cs="Times New Roman"/>
          <w:sz w:val="28"/>
          <w:szCs w:val="28"/>
        </w:rPr>
        <w:tab/>
      </w:r>
      <w:r w:rsidRPr="00147B52">
        <w:rPr>
          <w:rFonts w:ascii="Times New Roman" w:hAnsi="Times New Roman" w:cs="Times New Roman"/>
          <w:sz w:val="28"/>
          <w:szCs w:val="28"/>
        </w:rPr>
        <w:t>вносить в них никаких изменений.</w:t>
      </w:r>
    </w:p>
    <w:p w:rsidR="00147B52" w:rsidRPr="00D43C99" w:rsidRDefault="00147B52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47B52" w:rsidRPr="00D43C99" w:rsidRDefault="00147B52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C2B1A" w:rsidRDefault="002C2B1A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43C99" w:rsidRDefault="00D43C99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43C99" w:rsidRDefault="00D43C99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43C99" w:rsidRDefault="00D43C99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43C99" w:rsidRPr="00D43C99" w:rsidRDefault="00D43C99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147B52" w:rsidRPr="00147B52" w:rsidRDefault="00147B52" w:rsidP="00147B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47B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Спланировать и провести эксперименты, показывающие основные возможности транзакций с различным уровнем изоляции.</w:t>
      </w:r>
    </w:p>
    <w:p w:rsidR="002C2B1A" w:rsidRPr="00D43C99" w:rsidRDefault="002C2B1A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7B52" w:rsidRPr="002C2B1A" w:rsidRDefault="00147B52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2B1A">
        <w:rPr>
          <w:rFonts w:ascii="Times New Roman" w:hAnsi="Times New Roman" w:cs="Times New Roman"/>
          <w:b/>
          <w:sz w:val="28"/>
          <w:szCs w:val="28"/>
        </w:rPr>
        <w:t>Уровень</w:t>
      </w:r>
      <w:r w:rsidRPr="002C2B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READ COMMITED.</w:t>
      </w:r>
    </w:p>
    <w:p w:rsidR="00147B52" w:rsidRPr="002C2B1A" w:rsidRDefault="003013D8" w:rsidP="003A4AB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C2B1A">
        <w:rPr>
          <w:rFonts w:ascii="Times New Roman" w:hAnsi="Times New Roman" w:cs="Times New Roman"/>
          <w:i/>
          <w:sz w:val="28"/>
          <w:szCs w:val="28"/>
        </w:rPr>
        <w:t>Флаг</w:t>
      </w:r>
      <w:r w:rsidRPr="002C2B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RECORD_VERSION.</w:t>
      </w:r>
    </w:p>
    <w:p w:rsidR="003013D8" w:rsidRDefault="003013D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51917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D8" w:rsidRDefault="003013D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данных первым клиентов в таблицу, второй клиент не видит новые данные, пока первый не подтвердит транзакцию. После подтверж</w:t>
      </w:r>
      <w:r w:rsidR="002D75FC">
        <w:rPr>
          <w:rFonts w:ascii="Times New Roman" w:hAnsi="Times New Roman" w:cs="Times New Roman"/>
          <w:sz w:val="28"/>
          <w:szCs w:val="28"/>
        </w:rPr>
        <w:t>дения транзакции первым клиентом</w:t>
      </w:r>
      <w:r>
        <w:rPr>
          <w:rFonts w:ascii="Times New Roman" w:hAnsi="Times New Roman" w:cs="Times New Roman"/>
          <w:sz w:val="28"/>
          <w:szCs w:val="28"/>
        </w:rPr>
        <w:t>, второй видит обновленные данные.</w:t>
      </w:r>
    </w:p>
    <w:p w:rsidR="002D75FC" w:rsidRDefault="002D75FC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551555"/>
            <wp:effectExtent l="19050" t="0" r="0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FC" w:rsidRDefault="002D75F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флаге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2D75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2D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разрешения блокировок на работу транзакций никак не повлиял.</w:t>
      </w:r>
    </w:p>
    <w:p w:rsidR="002C2B1A" w:rsidRDefault="002C2B1A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13D8" w:rsidRPr="002C2B1A" w:rsidRDefault="003013D8" w:rsidP="003A4AB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C2B1A">
        <w:rPr>
          <w:rFonts w:ascii="Times New Roman" w:hAnsi="Times New Roman" w:cs="Times New Roman"/>
          <w:i/>
          <w:sz w:val="28"/>
          <w:szCs w:val="28"/>
        </w:rPr>
        <w:t xml:space="preserve">Флаг </w:t>
      </w:r>
      <w:r w:rsidRPr="002C2B1A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2C2B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2B1A">
        <w:rPr>
          <w:rFonts w:ascii="Times New Roman" w:hAnsi="Times New Roman" w:cs="Times New Roman"/>
          <w:i/>
          <w:sz w:val="28"/>
          <w:szCs w:val="28"/>
          <w:lang w:val="en-US"/>
        </w:rPr>
        <w:t>RECORD</w:t>
      </w:r>
      <w:r w:rsidRPr="002C2B1A">
        <w:rPr>
          <w:rFonts w:ascii="Times New Roman" w:hAnsi="Times New Roman" w:cs="Times New Roman"/>
          <w:i/>
          <w:sz w:val="28"/>
          <w:szCs w:val="28"/>
        </w:rPr>
        <w:t>_</w:t>
      </w:r>
      <w:r w:rsidRPr="002C2B1A">
        <w:rPr>
          <w:rFonts w:ascii="Times New Roman" w:hAnsi="Times New Roman" w:cs="Times New Roman"/>
          <w:i/>
          <w:sz w:val="28"/>
          <w:szCs w:val="28"/>
          <w:lang w:val="en-US"/>
        </w:rPr>
        <w:t>VERSION</w:t>
      </w:r>
      <w:r w:rsidRPr="002C2B1A">
        <w:rPr>
          <w:rFonts w:ascii="Times New Roman" w:hAnsi="Times New Roman" w:cs="Times New Roman"/>
          <w:i/>
          <w:sz w:val="28"/>
          <w:szCs w:val="28"/>
        </w:rPr>
        <w:t>.</w:t>
      </w:r>
    </w:p>
    <w:p w:rsidR="003013D8" w:rsidRDefault="002D75FC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6197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FC" w:rsidRPr="002D75FC" w:rsidRDefault="002D75F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разрешения блокировок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D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2D75FC">
        <w:rPr>
          <w:rFonts w:ascii="Times New Roman" w:hAnsi="Times New Roman" w:cs="Times New Roman"/>
          <w:sz w:val="28"/>
          <w:szCs w:val="28"/>
        </w:rPr>
        <w:t>.</w:t>
      </w:r>
    </w:p>
    <w:p w:rsidR="002D75FC" w:rsidRDefault="002D75F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флаге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D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2D75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2D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установленном режиме блокировок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D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 после внесения изменений в таблице первым клиентом, второй клиент не может посмотреть ни обновленные данные, ни последние подтвержденные данные. </w:t>
      </w:r>
    </w:p>
    <w:p w:rsidR="002D75FC" w:rsidRDefault="002D75F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 изменений первым клиентом, второй клиент смог посмотреть обновленную и подтвержденную информацию.</w:t>
      </w:r>
    </w:p>
    <w:p w:rsidR="004D5108" w:rsidRPr="00D43C99" w:rsidRDefault="002D75FC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30695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B1A">
        <w:rPr>
          <w:rFonts w:ascii="Times New Roman" w:hAnsi="Times New Roman" w:cs="Times New Roman"/>
          <w:sz w:val="28"/>
          <w:szCs w:val="28"/>
        </w:rPr>
        <w:t xml:space="preserve">При режиме разрешения блокировок </w:t>
      </w:r>
      <w:r w:rsidR="002C2B1A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2C2B1A" w:rsidRPr="002C2B1A">
        <w:rPr>
          <w:rFonts w:ascii="Times New Roman" w:hAnsi="Times New Roman" w:cs="Times New Roman"/>
          <w:sz w:val="28"/>
          <w:szCs w:val="28"/>
        </w:rPr>
        <w:t>,</w:t>
      </w:r>
      <w:r w:rsidR="002C2B1A">
        <w:rPr>
          <w:rFonts w:ascii="Times New Roman" w:hAnsi="Times New Roman" w:cs="Times New Roman"/>
          <w:sz w:val="28"/>
          <w:szCs w:val="28"/>
        </w:rPr>
        <w:t xml:space="preserve"> после внесения изменений первым клиентом, второй клиент остается в "подвешенном" состоянии, ожидая подтверждения изменений первым клиентом. После подтверждения изменений первым клиентом, второй клиент видит обновленные и подтвержденные данные.</w:t>
      </w:r>
    </w:p>
    <w:p w:rsidR="002C2B1A" w:rsidRDefault="002C2B1A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51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Уровень </w:t>
      </w:r>
      <w:r w:rsidR="004D5108" w:rsidRPr="004D5108">
        <w:rPr>
          <w:rFonts w:ascii="Times New Roman" w:hAnsi="Times New Roman" w:cs="Times New Roman"/>
          <w:b/>
          <w:sz w:val="28"/>
          <w:szCs w:val="28"/>
          <w:lang w:val="en-US"/>
        </w:rPr>
        <w:t>SNAPSHOT.</w:t>
      </w:r>
    </w:p>
    <w:p w:rsidR="004D5108" w:rsidRPr="004D5108" w:rsidRDefault="004D510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615055"/>
            <wp:effectExtent l="19050" t="0" r="0" b="0"/>
            <wp:docPr id="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Сделаем изменения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D51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D5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каждым из клиентов. Пока клиенты не подтвердили изменения, они могут видеть транзакции, совершенные другим клиентом. После подтверждения транзакций, оба клиента видят также данные, записанные другим клиентом.</w:t>
      </w:r>
    </w:p>
    <w:p w:rsidR="00147B52" w:rsidRDefault="004D510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разрешения блокировок на результат работы транзакций не повлиял.</w:t>
      </w:r>
    </w:p>
    <w:p w:rsidR="004D5108" w:rsidRDefault="004D510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157345"/>
            <wp:effectExtent l="19050" t="0" r="0" b="0"/>
            <wp:docPr id="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08" w:rsidRPr="00555E70" w:rsidRDefault="004D5108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E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Уровень </w:t>
      </w:r>
      <w:r w:rsidRPr="00555E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SNAPSHOT </w:t>
      </w:r>
      <w:r w:rsidR="00555E70" w:rsidRPr="00555E70">
        <w:rPr>
          <w:rFonts w:ascii="Times New Roman" w:hAnsi="Times New Roman" w:cs="Times New Roman"/>
          <w:b/>
          <w:sz w:val="28"/>
          <w:szCs w:val="28"/>
          <w:lang w:val="en-US"/>
        </w:rPr>
        <w:t>TABLE STABILITY.</w:t>
      </w:r>
    </w:p>
    <w:p w:rsidR="00555E70" w:rsidRDefault="00555E7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859530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70" w:rsidRPr="00555E70" w:rsidRDefault="00555E7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внесли новую запись в таблицу первым клиентом. Первый клиент видит внесенные изменения до совершения подтверждения, второй клиент наоборот, не видит внесенные первым клиентом изменения. Кроме того, второй клиент не может сам внести никакие изменения в таблицу, он остается в "подвешенном" состоянии,</w:t>
      </w:r>
      <w:r w:rsidRPr="0055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первый не подтвердит транзакцию. После того, как первый подтвердил транзакцию, второй клиент смог внести свои данные.</w:t>
      </w:r>
      <w:r w:rsidRPr="0055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Клиенты видят все обновленные данные только после того, как каждый из них подтвердил все свои транзакции.</w:t>
      </w:r>
    </w:p>
    <w:p w:rsidR="00147B52" w:rsidRPr="003013D8" w:rsidRDefault="00147B52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7B52" w:rsidRPr="003013D8" w:rsidRDefault="00147B52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7B52" w:rsidRPr="003013D8" w:rsidRDefault="00147B52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43C99" w:rsidRPr="00D43C99" w:rsidRDefault="00B22B57" w:rsidP="00D43C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C99" w:rsidRPr="00D43C99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925E6C" w:rsidRPr="00F03F8C" w:rsidRDefault="00D43C99" w:rsidP="00F03F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C99">
        <w:rPr>
          <w:rFonts w:ascii="Times New Roman" w:hAnsi="Times New Roman" w:cs="Times New Roman"/>
          <w:sz w:val="28"/>
          <w:szCs w:val="28"/>
        </w:rPr>
        <w:t xml:space="preserve">Уровни изоляции транзакций </w:t>
      </w:r>
      <w:r>
        <w:rPr>
          <w:rFonts w:ascii="Times New Roman" w:hAnsi="Times New Roman" w:cs="Times New Roman"/>
          <w:sz w:val="28"/>
          <w:szCs w:val="28"/>
        </w:rPr>
        <w:t xml:space="preserve">позволяют управлять параллельной работой с данными. Например, при уровне изоляции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910AC6" w:rsidRPr="00910AC6">
        <w:rPr>
          <w:rFonts w:ascii="Times New Roman" w:hAnsi="Times New Roman" w:cs="Times New Roman"/>
          <w:sz w:val="28"/>
          <w:szCs w:val="28"/>
        </w:rPr>
        <w:t xml:space="preserve">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10AC6" w:rsidRPr="00910AC6">
        <w:rPr>
          <w:rFonts w:ascii="Times New Roman" w:hAnsi="Times New Roman" w:cs="Times New Roman"/>
          <w:sz w:val="28"/>
          <w:szCs w:val="28"/>
        </w:rPr>
        <w:t xml:space="preserve">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="00910AC6" w:rsidRPr="00910AC6">
        <w:rPr>
          <w:rFonts w:ascii="Times New Roman" w:hAnsi="Times New Roman" w:cs="Times New Roman"/>
          <w:sz w:val="28"/>
          <w:szCs w:val="28"/>
        </w:rPr>
        <w:t xml:space="preserve">, </w:t>
      </w:r>
      <w:r w:rsidR="00910AC6">
        <w:rPr>
          <w:rFonts w:ascii="Times New Roman" w:hAnsi="Times New Roman" w:cs="Times New Roman"/>
          <w:sz w:val="28"/>
          <w:szCs w:val="28"/>
        </w:rPr>
        <w:t xml:space="preserve">одновременно изменять данные может только один клиент, остальным придется ждать, пока он не подтвердит транзакции. На уровнях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910AC6">
        <w:rPr>
          <w:rFonts w:ascii="Times New Roman" w:hAnsi="Times New Roman" w:cs="Times New Roman"/>
          <w:sz w:val="28"/>
          <w:szCs w:val="28"/>
        </w:rPr>
        <w:t xml:space="preserve"> и </w:t>
      </w:r>
      <w:r w:rsidR="00910AC6" w:rsidRPr="00910AC6">
        <w:rPr>
          <w:rFonts w:ascii="Times New Roman" w:hAnsi="Times New Roman" w:cs="Times New Roman"/>
          <w:sz w:val="28"/>
          <w:szCs w:val="28"/>
        </w:rPr>
        <w:t xml:space="preserve">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910AC6" w:rsidRPr="00910AC6">
        <w:rPr>
          <w:rFonts w:ascii="Times New Roman" w:hAnsi="Times New Roman" w:cs="Times New Roman"/>
          <w:sz w:val="28"/>
          <w:szCs w:val="28"/>
        </w:rPr>
        <w:t xml:space="preserve"> </w:t>
      </w:r>
      <w:r w:rsidR="00910AC6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="00910AC6">
        <w:rPr>
          <w:rFonts w:ascii="Times New Roman" w:hAnsi="Times New Roman" w:cs="Times New Roman"/>
          <w:sz w:val="28"/>
          <w:szCs w:val="28"/>
        </w:rPr>
        <w:t xml:space="preserve"> разрешают нескольким пользователям одновременно изменять данные</w:t>
      </w:r>
      <w:r w:rsidR="00910AC6" w:rsidRPr="00910AC6">
        <w:rPr>
          <w:rFonts w:ascii="Times New Roman" w:hAnsi="Times New Roman" w:cs="Times New Roman"/>
          <w:sz w:val="28"/>
          <w:szCs w:val="28"/>
        </w:rPr>
        <w:t>.</w:t>
      </w:r>
      <w:r w:rsidR="00910AC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19F4"/>
    <w:multiLevelType w:val="hybridMultilevel"/>
    <w:tmpl w:val="CB24A8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E75DB"/>
    <w:multiLevelType w:val="multilevel"/>
    <w:tmpl w:val="369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946CA"/>
    <w:multiLevelType w:val="multilevel"/>
    <w:tmpl w:val="369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461B1D"/>
    <w:multiLevelType w:val="multilevel"/>
    <w:tmpl w:val="CF6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7E6579"/>
    <w:multiLevelType w:val="multilevel"/>
    <w:tmpl w:val="541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94956"/>
    <w:multiLevelType w:val="multilevel"/>
    <w:tmpl w:val="369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065F34"/>
    <w:multiLevelType w:val="hybridMultilevel"/>
    <w:tmpl w:val="3B4E8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B610E2"/>
    <w:multiLevelType w:val="multilevel"/>
    <w:tmpl w:val="369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875DBD"/>
    <w:multiLevelType w:val="hybridMultilevel"/>
    <w:tmpl w:val="BF40B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0"/>
  </w:num>
  <w:num w:numId="15">
    <w:abstractNumId w:val="3"/>
  </w:num>
  <w:num w:numId="16">
    <w:abstractNumId w:val="16"/>
  </w:num>
  <w:num w:numId="17">
    <w:abstractNumId w:val="1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65733"/>
    <w:rsid w:val="000B73B7"/>
    <w:rsid w:val="000F077A"/>
    <w:rsid w:val="0010359A"/>
    <w:rsid w:val="00147B52"/>
    <w:rsid w:val="001657E8"/>
    <w:rsid w:val="001947A3"/>
    <w:rsid w:val="001D73AE"/>
    <w:rsid w:val="0021602E"/>
    <w:rsid w:val="002562C0"/>
    <w:rsid w:val="002B33E8"/>
    <w:rsid w:val="002C1A72"/>
    <w:rsid w:val="002C2B1A"/>
    <w:rsid w:val="002D75FC"/>
    <w:rsid w:val="002F3852"/>
    <w:rsid w:val="003013D8"/>
    <w:rsid w:val="00363FC3"/>
    <w:rsid w:val="003A0404"/>
    <w:rsid w:val="003A4AB0"/>
    <w:rsid w:val="00422949"/>
    <w:rsid w:val="004D5108"/>
    <w:rsid w:val="00505E18"/>
    <w:rsid w:val="00555E70"/>
    <w:rsid w:val="005A2BAE"/>
    <w:rsid w:val="00636476"/>
    <w:rsid w:val="00833493"/>
    <w:rsid w:val="008471B3"/>
    <w:rsid w:val="00910AC6"/>
    <w:rsid w:val="00925E6C"/>
    <w:rsid w:val="00990150"/>
    <w:rsid w:val="009A2CB7"/>
    <w:rsid w:val="009B7E32"/>
    <w:rsid w:val="009C16FC"/>
    <w:rsid w:val="00AC57B6"/>
    <w:rsid w:val="00B22B57"/>
    <w:rsid w:val="00B31ABB"/>
    <w:rsid w:val="00C56ED8"/>
    <w:rsid w:val="00C95014"/>
    <w:rsid w:val="00CD185F"/>
    <w:rsid w:val="00D43C99"/>
    <w:rsid w:val="00D54058"/>
    <w:rsid w:val="00D729D2"/>
    <w:rsid w:val="00D96F26"/>
    <w:rsid w:val="00DE7BF8"/>
    <w:rsid w:val="00DF7DC2"/>
    <w:rsid w:val="00E43C58"/>
    <w:rsid w:val="00F03F8C"/>
    <w:rsid w:val="00F8130F"/>
    <w:rsid w:val="00FD4255"/>
    <w:rsid w:val="00FE2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1CEA2-67DD-4388-9012-777C99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3</cp:revision>
  <dcterms:created xsi:type="dcterms:W3CDTF">2016-01-15T07:08:00Z</dcterms:created>
  <dcterms:modified xsi:type="dcterms:W3CDTF">2016-01-15T09:36:00Z</dcterms:modified>
</cp:coreProperties>
</file>