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Style w:val="a5"/>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bookmarkStart w:id="0" w:name="_GoBack"/>
      <w:bookmarkEnd w:id="0"/>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904166" w:rsidP="005024E2">
      <w:pPr>
        <w:spacing w:line="360" w:lineRule="auto"/>
        <w:rPr>
          <w:rFonts w:ascii="Times New Roman" w:hAnsi="Times New Roman" w:cs="Times New Roman"/>
          <w:b/>
          <w:sz w:val="32"/>
          <w:szCs w:val="32"/>
          <w:lang w:val="ru-RU"/>
        </w:rPr>
      </w:pPr>
      <w:proofErr w:type="spellStart"/>
      <w:r w:rsidRPr="00904166">
        <w:rPr>
          <w:rFonts w:ascii="Times New Roman" w:hAnsi="Times New Roman" w:cs="Times New Roman"/>
          <w:b/>
          <w:sz w:val="32"/>
          <w:szCs w:val="32"/>
          <w:lang w:val="ru-RU"/>
        </w:rPr>
        <w:t>Aktywność</w:t>
      </w:r>
      <w:proofErr w:type="spellEnd"/>
      <w:r w:rsidRPr="00904166">
        <w:rPr>
          <w:rFonts w:ascii="Times New Roman" w:hAnsi="Times New Roman" w:cs="Times New Roman"/>
          <w:b/>
          <w:sz w:val="32"/>
          <w:szCs w:val="32"/>
          <w:lang w:val="ru-RU"/>
        </w:rPr>
        <w:t xml:space="preserve"> </w:t>
      </w:r>
      <w:proofErr w:type="spellStart"/>
      <w:r w:rsidRPr="00904166">
        <w:rPr>
          <w:rFonts w:ascii="Times New Roman" w:hAnsi="Times New Roman" w:cs="Times New Roman"/>
          <w:b/>
          <w:sz w:val="32"/>
          <w:szCs w:val="32"/>
          <w:lang w:val="ru-RU"/>
        </w:rPr>
        <w:t>protestacyjna</w:t>
      </w:r>
      <w:proofErr w:type="spellEnd"/>
      <w:r w:rsidRPr="00904166">
        <w:rPr>
          <w:rFonts w:ascii="Times New Roman" w:hAnsi="Times New Roman" w:cs="Times New Roman"/>
          <w:b/>
          <w:sz w:val="32"/>
          <w:szCs w:val="32"/>
          <w:lang w:val="ru-RU"/>
        </w:rPr>
        <w:t xml:space="preserve"> w </w:t>
      </w:r>
      <w:proofErr w:type="spellStart"/>
      <w:r w:rsidRPr="00904166">
        <w:rPr>
          <w:rFonts w:ascii="Times New Roman" w:hAnsi="Times New Roman" w:cs="Times New Roman"/>
          <w:b/>
          <w:sz w:val="32"/>
          <w:szCs w:val="32"/>
          <w:lang w:val="ru-RU"/>
        </w:rPr>
        <w:t>latach</w:t>
      </w:r>
      <w:proofErr w:type="spellEnd"/>
      <w:r w:rsidRPr="00904166">
        <w:rPr>
          <w:rFonts w:ascii="Times New Roman" w:hAnsi="Times New Roman" w:cs="Times New Roman"/>
          <w:b/>
          <w:sz w:val="32"/>
          <w:szCs w:val="32"/>
          <w:lang w:val="ru-RU"/>
        </w:rPr>
        <w:t xml:space="preserve">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Media społecznościowe to potężne narzędzie, które może pomóc dużej liczbie osób znaleźć prawdę w każdej sytuacji. Ale ze względu na politykę it gigantów, </w:t>
      </w:r>
      <w:r w:rsidRPr="00065A9F">
        <w:rPr>
          <w:rFonts w:ascii="Times New Roman" w:hAnsi="Times New Roman" w:cs="Times New Roman"/>
          <w:sz w:val="24"/>
          <w:szCs w:val="24"/>
          <w:lang w:val="pl-PL"/>
        </w:rPr>
        <w:lastRenderedPageBreak/>
        <w:t>takich jak facebook, google, vKontakte i tak dalej, którzy są zainteresowani jedynie zyskami z wyświetlania reklam, media społecznościowe jeszcze bardziej dzielą społeczeństwo i nie dają powodu do poszukiwania alternatywnych rozwiązań.</w:t>
      </w:r>
    </w:p>
    <w:p w:rsidR="005024E2" w:rsidRPr="00065A9F" w:rsidRDefault="005024E2">
      <w:pPr>
        <w:rPr>
          <w:lang w:val="pl-PL"/>
        </w:rPr>
      </w:pPr>
    </w:p>
    <w:sectPr w:rsidR="005024E2" w:rsidRPr="00065A9F">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46" w:rsidRDefault="00A64E46" w:rsidP="005024E2">
      <w:pPr>
        <w:spacing w:after="0" w:line="240" w:lineRule="auto"/>
      </w:pPr>
      <w:r>
        <w:separator/>
      </w:r>
    </w:p>
  </w:endnote>
  <w:endnote w:type="continuationSeparator" w:id="0">
    <w:p w:rsidR="00A64E46" w:rsidRDefault="00A64E46"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A64E46">
        <w:pPr>
          <w:pStyle w:val="a7"/>
        </w:pPr>
      </w:p>
      <w:p w:rsidR="004006AB" w:rsidRDefault="007A3834">
        <w:pPr>
          <w:pStyle w:val="a7"/>
        </w:pPr>
        <w:r>
          <w:fldChar w:fldCharType="begin"/>
        </w:r>
        <w:r>
          <w:instrText>PAGE   \* MERGEFORMAT</w:instrText>
        </w:r>
        <w:r>
          <w:fldChar w:fldCharType="separate"/>
        </w:r>
        <w:r w:rsidR="00D045AB" w:rsidRPr="00D045AB">
          <w:rPr>
            <w:noProof/>
            <w:lang w:val="ru-RU"/>
          </w:rPr>
          <w:t>22</w:t>
        </w:r>
        <w:r>
          <w:fldChar w:fldCharType="end"/>
        </w:r>
      </w:p>
    </w:sdtContent>
  </w:sdt>
  <w:p w:rsidR="004006AB" w:rsidRDefault="00A64E4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46" w:rsidRDefault="00A64E46" w:rsidP="005024E2">
      <w:pPr>
        <w:spacing w:after="0" w:line="240" w:lineRule="auto"/>
      </w:pPr>
      <w:r>
        <w:separator/>
      </w:r>
    </w:p>
  </w:footnote>
  <w:footnote w:type="continuationSeparator" w:id="0">
    <w:p w:rsidR="00A64E46" w:rsidRDefault="00A64E46" w:rsidP="005024E2">
      <w:pPr>
        <w:spacing w:after="0" w:line="240" w:lineRule="auto"/>
      </w:pPr>
      <w:r>
        <w:continuationSeparator/>
      </w:r>
    </w:p>
  </w:footnote>
  <w:footnote w:id="1">
    <w:p w:rsidR="00FA6C2B" w:rsidRPr="005A0648" w:rsidRDefault="00FA6C2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496B3A" w:rsidRPr="00496B3A" w:rsidRDefault="00496B3A">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0095545F" w:rsidRPr="005A0648">
        <w:rPr>
          <w:rFonts w:ascii="Times New Roman" w:hAnsi="Times New Roman" w:cs="Times New Roman"/>
        </w:rPr>
        <w:t>Obar</w:t>
      </w:r>
      <w:proofErr w:type="spellEnd"/>
      <w:r w:rsidR="0095545F" w:rsidRPr="005A0648">
        <w:rPr>
          <w:rFonts w:ascii="Times New Roman" w:hAnsi="Times New Roman" w:cs="Times New Roman"/>
        </w:rPr>
        <w:t xml:space="preserve">, J.A. and Wildman, S. (2015). Social media definition and the governance challenge: An introduction to the special issue. </w:t>
      </w:r>
      <w:hyperlink r:id="rId1" w:history="1">
        <w:r w:rsidRPr="005A0648">
          <w:rPr>
            <w:rStyle w:val="a6"/>
            <w:rFonts w:ascii="Times New Roman" w:hAnsi="Times New Roman" w:cs="Times New Roman"/>
            <w:color w:val="auto"/>
            <w:lang w:val="ru-RU"/>
          </w:rPr>
          <w:t>https://papers.ssrn.com/sol3/papers.cfm?abstract_id=2647377</w:t>
        </w:r>
      </w:hyperlink>
    </w:p>
  </w:footnote>
  <w:footnote w:id="4">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5">
    <w:p w:rsidR="009E6718" w:rsidRPr="009E6718" w:rsidRDefault="009E6718">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5024E2" w:rsidRPr="009E6718" w:rsidRDefault="005024E2" w:rsidP="005024E2">
      <w:pPr>
        <w:pStyle w:val="a9"/>
        <w:rPr>
          <w:rFonts w:ascii="Times New Roman" w:hAnsi="Times New Roman" w:cs="Times New Roman"/>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proofErr w:type="spellStart"/>
      <w:r w:rsidRPr="009E6718">
        <w:rPr>
          <w:rFonts w:ascii="Times New Roman" w:hAnsi="Times New Roman" w:cs="Times New Roman"/>
        </w:rPr>
        <w:t>wciom</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analytical</w:t>
      </w:r>
      <w:r w:rsidRPr="009E6718">
        <w:rPr>
          <w:rFonts w:ascii="Times New Roman" w:hAnsi="Times New Roman" w:cs="Times New Roman"/>
          <w:lang w:val="ru-RU"/>
        </w:rPr>
        <w:t>-</w:t>
      </w:r>
      <w:r w:rsidRPr="009E6718">
        <w:rPr>
          <w:rFonts w:ascii="Times New Roman" w:hAnsi="Times New Roman" w:cs="Times New Roman"/>
        </w:rPr>
        <w:t>reviews</w:t>
      </w:r>
      <w:r w:rsidRPr="009E6718">
        <w:rPr>
          <w:rFonts w:ascii="Times New Roman" w:hAnsi="Times New Roman" w:cs="Times New Roman"/>
          <w:lang w:val="ru-RU"/>
        </w:rPr>
        <w:t>/</w:t>
      </w:r>
      <w:proofErr w:type="spellStart"/>
      <w:r w:rsidRPr="009E6718">
        <w:rPr>
          <w:rFonts w:ascii="Times New Roman" w:hAnsi="Times New Roman" w:cs="Times New Roman"/>
        </w:rPr>
        <w:t>analiticheskii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obzor</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mediapotreblenie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aktivnost</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internete</w:t>
      </w:r>
      <w:proofErr w:type="spellEnd"/>
    </w:p>
  </w:footnote>
  <w:footnote w:id="7">
    <w:p w:rsidR="005024E2" w:rsidRPr="00DE4EB9" w:rsidRDefault="005024E2" w:rsidP="005024E2">
      <w:pPr>
        <w:pStyle w:val="a9"/>
        <w:rPr>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r w:rsidRPr="009E6718">
        <w:rPr>
          <w:rFonts w:ascii="Times New Roman" w:hAnsi="Times New Roman" w:cs="Times New Roman"/>
        </w:rPr>
        <w:t>www</w:t>
      </w:r>
      <w:r w:rsidRPr="009E6718">
        <w:rPr>
          <w:rFonts w:ascii="Times New Roman" w:hAnsi="Times New Roman" w:cs="Times New Roman"/>
          <w:lang w:val="ru-RU"/>
        </w:rPr>
        <w:t>.</w:t>
      </w:r>
      <w:r w:rsidRPr="009E6718">
        <w:rPr>
          <w:rFonts w:ascii="Times New Roman" w:hAnsi="Times New Roman" w:cs="Times New Roman"/>
        </w:rPr>
        <w:t>web</w:t>
      </w:r>
      <w:r w:rsidRPr="009E6718">
        <w:rPr>
          <w:rFonts w:ascii="Times New Roman" w:hAnsi="Times New Roman" w:cs="Times New Roman"/>
          <w:lang w:val="ru-RU"/>
        </w:rPr>
        <w:t>-</w:t>
      </w:r>
      <w:proofErr w:type="spellStart"/>
      <w:r w:rsidRPr="009E6718">
        <w:rPr>
          <w:rFonts w:ascii="Times New Roman" w:hAnsi="Times New Roman" w:cs="Times New Roman"/>
        </w:rPr>
        <w:t>canape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business</w:t>
      </w:r>
      <w:r w:rsidRPr="009E6718">
        <w:rPr>
          <w:rFonts w:ascii="Times New Roman" w:hAnsi="Times New Roman" w:cs="Times New Roman"/>
          <w:lang w:val="ru-RU"/>
        </w:rPr>
        <w:t>/</w:t>
      </w:r>
      <w:r w:rsidRPr="009E6718">
        <w:rPr>
          <w:rFonts w:ascii="Times New Roman" w:hAnsi="Times New Roman" w:cs="Times New Roman"/>
        </w:rPr>
        <w:t>internet</w:t>
      </w:r>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socseti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rossii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-2021-</w:t>
      </w:r>
      <w:proofErr w:type="spellStart"/>
      <w:r w:rsidRPr="009E6718">
        <w:rPr>
          <w:rFonts w:ascii="Times New Roman" w:hAnsi="Times New Roman" w:cs="Times New Roman"/>
        </w:rPr>
        <w:t>godu</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vsya</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statistika</w:t>
      </w:r>
      <w:proofErr w:type="spellEnd"/>
      <w:r w:rsidRPr="009E6718">
        <w:rPr>
          <w:rFonts w:ascii="Times New Roman" w:hAnsi="Times New Roman" w:cs="Times New Roman"/>
          <w:lang w:val="ru-RU"/>
        </w:rPr>
        <w:t>/</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9">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off</w:t>
      </w:r>
      <w:r w:rsidRPr="005A0648">
        <w:rPr>
          <w:rFonts w:ascii="Times New Roman" w:hAnsi="Times New Roman" w:cs="Times New Roman"/>
          <w:lang w:val="ru-RU"/>
        </w:rPr>
        <w:t>_</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_</w:t>
      </w:r>
      <w:r w:rsidRPr="005A0648">
        <w:rPr>
          <w:rFonts w:ascii="Times New Roman" w:hAnsi="Times New Roman" w:cs="Times New Roman"/>
        </w:rPr>
        <w:t>activity</w:t>
      </w:r>
    </w:p>
  </w:footnote>
  <w:footnote w:id="10">
    <w:p w:rsidR="009E6718" w:rsidRPr="005A0648" w:rsidRDefault="009E6718" w:rsidP="009E6718">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washingtonpost</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technology</w:t>
      </w:r>
      <w:r w:rsidRPr="005A0648">
        <w:rPr>
          <w:rFonts w:ascii="Times New Roman" w:hAnsi="Times New Roman" w:cs="Times New Roman"/>
          <w:lang w:val="ru-RU"/>
        </w:rPr>
        <w:t>/</w:t>
      </w:r>
      <w:r w:rsidRPr="005A0648">
        <w:rPr>
          <w:rFonts w:ascii="Times New Roman" w:hAnsi="Times New Roman" w:cs="Times New Roman"/>
        </w:rPr>
        <w:t>interactive</w:t>
      </w:r>
      <w:r w:rsidRPr="005A0648">
        <w:rPr>
          <w:rFonts w:ascii="Times New Roman" w:hAnsi="Times New Roman" w:cs="Times New Roman"/>
          <w:lang w:val="ru-RU"/>
        </w:rPr>
        <w:t>/2021/</w:t>
      </w:r>
      <w:r w:rsidRPr="005A0648">
        <w:rPr>
          <w:rFonts w:ascii="Times New Roman" w:hAnsi="Times New Roman" w:cs="Times New Roman"/>
        </w:rPr>
        <w:t>how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algorithm</w:t>
      </w:r>
      <w:r w:rsidRPr="005A0648">
        <w:rPr>
          <w:rFonts w:ascii="Times New Roman" w:hAnsi="Times New Roman" w:cs="Times New Roman"/>
          <w:lang w:val="ru-RU"/>
        </w:rPr>
        <w:t>-</w:t>
      </w:r>
      <w:r w:rsidRPr="005A0648">
        <w:rPr>
          <w:rFonts w:ascii="Times New Roman" w:hAnsi="Times New Roman" w:cs="Times New Roman"/>
        </w:rPr>
        <w:t>works</w:t>
      </w:r>
      <w:r w:rsidRPr="005A0648">
        <w:rPr>
          <w:rFonts w:ascii="Times New Roman" w:hAnsi="Times New Roman" w:cs="Times New Roman"/>
          <w:lang w:val="ru-RU"/>
        </w:rPr>
        <w:t>/</w:t>
      </w:r>
    </w:p>
  </w:footnote>
  <w:footnote w:id="11">
    <w:p w:rsidR="00B82A8E" w:rsidRPr="00B82A8E" w:rsidRDefault="00B82A8E">
      <w:pPr>
        <w:pStyle w:val="a9"/>
      </w:pPr>
      <w:r>
        <w:rPr>
          <w:rStyle w:val="ab"/>
        </w:rPr>
        <w:footnoteRef/>
      </w:r>
      <w:r>
        <w:t xml:space="preserve"> </w:t>
      </w:r>
      <w:r w:rsidRPr="005A0648">
        <w:rPr>
          <w:rFonts w:ascii="Times New Roman" w:hAnsi="Times New Roman" w:cs="Times New Roman"/>
        </w:rPr>
        <w:t>https</w:t>
      </w:r>
      <w:r w:rsidRPr="005A0648">
        <w:rPr>
          <w:rFonts w:ascii="Times New Roman" w:hAnsi="Times New Roman" w:cs="Times New Roman"/>
          <w:lang w:val="ru-RU"/>
        </w:rPr>
        <w:t>://</w:t>
      </w:r>
      <w:proofErr w:type="spellStart"/>
      <w:r w:rsidRPr="005A0648">
        <w:rPr>
          <w:rFonts w:ascii="Times New Roman" w:hAnsi="Times New Roman" w:cs="Times New Roman"/>
        </w:rPr>
        <w:t>novayagazeta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news</w:t>
      </w:r>
      <w:r w:rsidRPr="005A0648">
        <w:rPr>
          <w:rFonts w:ascii="Times New Roman" w:hAnsi="Times New Roman" w:cs="Times New Roman"/>
          <w:lang w:val="ru-RU"/>
        </w:rPr>
        <w:t>/2018/11/28/147156-</w:t>
      </w:r>
      <w:proofErr w:type="spellStart"/>
      <w:r w:rsidRPr="005A0648">
        <w:rPr>
          <w:rFonts w:ascii="Times New Roman" w:hAnsi="Times New Roman" w:cs="Times New Roman"/>
        </w:rPr>
        <w:t>navalnyy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zapustil</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proekt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umnoe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golosovanie</w:t>
      </w:r>
      <w:proofErr w:type="spellEnd"/>
      <w:r w:rsidRPr="005A0648">
        <w:rPr>
          <w:rFonts w:ascii="Times New Roman" w:hAnsi="Times New Roman" w:cs="Times New Roman"/>
          <w:lang w:val="ru-RU"/>
        </w:rPr>
        <w:t>-</w:t>
      </w:r>
      <w:r w:rsidRPr="005A0648">
        <w:rPr>
          <w:rFonts w:ascii="Times New Roman" w:hAnsi="Times New Roman" w:cs="Times New Roman"/>
        </w:rPr>
        <w:t>on</w:t>
      </w:r>
      <w:r w:rsidRPr="005A0648">
        <w:rPr>
          <w:rFonts w:ascii="Times New Roman" w:hAnsi="Times New Roman" w:cs="Times New Roman"/>
          <w:lang w:val="ru-RU"/>
        </w:rPr>
        <w:t>-</w:t>
      </w:r>
      <w:proofErr w:type="spellStart"/>
      <w:r w:rsidRPr="005A0648">
        <w:rPr>
          <w:rFonts w:ascii="Times New Roman" w:hAnsi="Times New Roman" w:cs="Times New Roman"/>
        </w:rPr>
        <w:t>dolzhen</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ob</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oppozitsiyu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chtoby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pobedit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edinuyu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rossiyu</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regionah</w:t>
      </w:r>
      <w:proofErr w:type="spellEnd"/>
    </w:p>
  </w:footnote>
  <w:footnote w:id="1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5024E2" w:rsidRPr="005A0648" w:rsidRDefault="005024E2"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5024E2" w:rsidRPr="00E6207C"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A271EB" w:rsidRPr="00A271EB" w:rsidRDefault="00A271EB">
      <w:pPr>
        <w:pStyle w:val="a9"/>
      </w:pPr>
      <w:r>
        <w:rPr>
          <w:rStyle w:val="ab"/>
        </w:rPr>
        <w:footnoteRef/>
      </w:r>
      <w:r>
        <w:t xml:space="preserve"> </w:t>
      </w:r>
      <w:r w:rsidRPr="00A271EB">
        <w:t>https://www.youtube.com/watch?v=_LYe58b-3HM</w:t>
      </w:r>
    </w:p>
  </w:footnote>
  <w:footnote w:id="26">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5024E2" w:rsidRPr="00E6207C" w:rsidRDefault="005024E2" w:rsidP="005024E2">
      <w:pPr>
        <w:pStyle w:val="a9"/>
      </w:pPr>
      <w:r>
        <w:rPr>
          <w:rStyle w:val="ab"/>
        </w:rPr>
        <w:footnoteRef/>
      </w:r>
      <w:r>
        <w:t xml:space="preserve"> </w:t>
      </w:r>
      <w:r w:rsidRPr="006F3689">
        <w:t>https://tass.ru/ekonomika/1696096</w:t>
      </w:r>
    </w:p>
  </w:footnote>
  <w:footnote w:id="28">
    <w:p w:rsidR="005024E2" w:rsidRPr="00E6207C" w:rsidRDefault="005024E2" w:rsidP="005024E2">
      <w:pPr>
        <w:pStyle w:val="a9"/>
      </w:pPr>
      <w:r>
        <w:rPr>
          <w:rStyle w:val="ab"/>
        </w:rPr>
        <w:footnoteRef/>
      </w:r>
      <w:r>
        <w:t xml:space="preserve"> </w:t>
      </w:r>
      <w:r w:rsidRPr="006F3689">
        <w:t>https://tass.ru/obschestvo/1902700</w:t>
      </w:r>
    </w:p>
  </w:footnote>
  <w:footnote w:id="29">
    <w:p w:rsidR="005024E2" w:rsidRPr="00E6207C" w:rsidRDefault="005024E2" w:rsidP="005024E2">
      <w:pPr>
        <w:pStyle w:val="a9"/>
      </w:pPr>
      <w:r>
        <w:rPr>
          <w:rStyle w:val="ab"/>
        </w:rPr>
        <w:footnoteRef/>
      </w:r>
      <w:r>
        <w:t xml:space="preserve"> </w:t>
      </w:r>
      <w:r w:rsidRPr="006F3689">
        <w:t>https://tass.ru/ekonomika/3623188</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865D92" w:rsidRPr="00865D92" w:rsidRDefault="00865D92">
      <w:pPr>
        <w:pStyle w:val="a9"/>
      </w:pPr>
      <w:r>
        <w:rPr>
          <w:rStyle w:val="ab"/>
        </w:rPr>
        <w:footnoteRef/>
      </w:r>
      <w:r>
        <w:t xml:space="preserve"> </w:t>
      </w:r>
      <w:r w:rsidRPr="00865D92">
        <w:t>https://www.mk.ru/incident/2020/08/20/istochnik-navalnyy-pil-samogon-pered-poletom.html</w:t>
      </w:r>
    </w:p>
  </w:footnote>
  <w:footnote w:id="34">
    <w:p w:rsidR="00865D92" w:rsidRPr="00865D92" w:rsidRDefault="00865D92">
      <w:pPr>
        <w:pStyle w:val="a9"/>
      </w:pPr>
      <w:r>
        <w:rPr>
          <w:rStyle w:val="ab"/>
        </w:rPr>
        <w:footnoteRef/>
      </w:r>
      <w:r>
        <w:t xml:space="preserve"> </w:t>
      </w:r>
      <w:r w:rsidRPr="00865D92">
        <w:t>https://www.rbc.ru/society/21/08/2020/5f3f9df49a7947e321887f0a</w:t>
      </w:r>
    </w:p>
  </w:footnote>
  <w:footnote w:id="35">
    <w:p w:rsidR="00D045AB" w:rsidRPr="00D045AB" w:rsidRDefault="00D045AB">
      <w:pPr>
        <w:pStyle w:val="a9"/>
      </w:pPr>
      <w:r>
        <w:rPr>
          <w:rStyle w:val="ab"/>
        </w:rPr>
        <w:footnoteRef/>
      </w:r>
      <w:r>
        <w:t xml:space="preserve"> </w:t>
      </w:r>
      <w:r w:rsidRPr="00D045AB">
        <w:t>https://www.rbc.ru/rbcfreenews/5fad295d9a79470b0ed74e73</w:t>
      </w:r>
    </w:p>
  </w:footnote>
  <w:footnote w:id="36">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8">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9">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0">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5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2">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3">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6">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7">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277826"/>
    <w:rsid w:val="003024A4"/>
    <w:rsid w:val="003148D2"/>
    <w:rsid w:val="003728D0"/>
    <w:rsid w:val="003F001B"/>
    <w:rsid w:val="004140C3"/>
    <w:rsid w:val="00496B3A"/>
    <w:rsid w:val="005024E2"/>
    <w:rsid w:val="005A0648"/>
    <w:rsid w:val="005A20B4"/>
    <w:rsid w:val="006C209C"/>
    <w:rsid w:val="007A3834"/>
    <w:rsid w:val="00865BEE"/>
    <w:rsid w:val="00865D92"/>
    <w:rsid w:val="0088482D"/>
    <w:rsid w:val="00904166"/>
    <w:rsid w:val="0093163D"/>
    <w:rsid w:val="00937CBC"/>
    <w:rsid w:val="0095545F"/>
    <w:rsid w:val="009D63DA"/>
    <w:rsid w:val="009E6718"/>
    <w:rsid w:val="00A271EB"/>
    <w:rsid w:val="00A64E46"/>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35</Pages>
  <Words>9646</Words>
  <Characters>57878</Characters>
  <Application>Microsoft Office Word</Application>
  <DocSecurity>0</DocSecurity>
  <Lines>482</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15</cp:revision>
  <dcterms:created xsi:type="dcterms:W3CDTF">2022-09-08T10:51:00Z</dcterms:created>
  <dcterms:modified xsi:type="dcterms:W3CDTF">2022-09-10T12:33:00Z</dcterms:modified>
</cp:coreProperties>
</file>