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9F33AB" w:rsidRDefault="00392FDE" w:rsidP="00392FDE">
      <w:pPr>
        <w:spacing w:after="138" w:line="287" w:lineRule="auto"/>
        <w:ind w:left="-5"/>
        <w:rPr>
          <w:rFonts w:ascii="Times New Roman" w:hAnsi="Times New Roman" w:cs="Times New Roman"/>
        </w:rPr>
      </w:pPr>
      <w:proofErr w:type="spellStart"/>
      <w:r w:rsidRPr="009F33AB">
        <w:rPr>
          <w:rFonts w:ascii="Times New Roman" w:eastAsia="Times New Roman" w:hAnsi="Times New Roman" w:cs="Times New Roman"/>
          <w:b/>
        </w:rPr>
        <w:lastRenderedPageBreak/>
        <w:t>Słowa</w:t>
      </w:r>
      <w:proofErr w:type="spellEnd"/>
      <w:r w:rsidRPr="009F33AB">
        <w:rPr>
          <w:rFonts w:ascii="Times New Roman" w:eastAsia="Times New Roman" w:hAnsi="Times New Roman" w:cs="Times New Roman"/>
          <w:b/>
        </w:rPr>
        <w:t xml:space="preserve"> </w:t>
      </w:r>
      <w:proofErr w:type="spellStart"/>
      <w:r w:rsidRPr="009F33AB">
        <w:rPr>
          <w:rFonts w:ascii="Times New Roman" w:eastAsia="Times New Roman" w:hAnsi="Times New Roman" w:cs="Times New Roman"/>
          <w:b/>
        </w:rPr>
        <w:t>kluczowe</w:t>
      </w:r>
      <w:proofErr w:type="spellEnd"/>
      <w:r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392FDE">
      <w:pPr>
        <w:spacing w:after="1080" w:line="287"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392FDE">
      <w:pPr>
        <w:pStyle w:val="3"/>
        <w:spacing w:after="746"/>
        <w:ind w:left="-5"/>
      </w:pPr>
      <w:bookmarkStart w:id="0" w:name="_Toc113718123"/>
      <w:r w:rsidRPr="009F33AB">
        <w:t>Streszczenie</w:t>
      </w:r>
      <w:bookmarkEnd w:id="0"/>
    </w:p>
    <w:p w:rsidR="00392FDE" w:rsidRDefault="009F33AB" w:rsidP="00392FDE">
      <w:pPr>
        <w:spacing w:after="721" w:line="286"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392FDE">
      <w:pPr>
        <w:pStyle w:val="3"/>
        <w:spacing w:after="764"/>
        <w:ind w:left="-5"/>
      </w:pPr>
      <w:bookmarkStart w:id="1" w:name="_Toc113718124"/>
      <w:r>
        <w:t>Abstract</w:t>
      </w:r>
      <w:bookmarkEnd w:id="1"/>
    </w:p>
    <w:p w:rsidR="001630AD" w:rsidRPr="008707E8" w:rsidRDefault="001630AD" w:rsidP="005F0EAB">
      <w:pPr>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00592BFE" w:rsidRPr="005F0EAB">
              <w:rPr>
                <w:rStyle w:val="a6"/>
                <w:rFonts w:ascii="Times New Roman" w:eastAsia="Times New Roman" w:hAnsi="Times New Roman" w:cs="Times New Roman"/>
                <w:noProof/>
                <w:sz w:val="24"/>
                <w:szCs w:val="24"/>
                <w:lang w:val="pl-PL"/>
              </w:rPr>
              <w:t>Wstęp</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00592BFE" w:rsidRPr="005F0EAB">
              <w:rPr>
                <w:rStyle w:val="a6"/>
                <w:rFonts w:ascii="Times New Roman" w:eastAsia="Times New Roman" w:hAnsi="Times New Roman" w:cs="Times New Roman"/>
                <w:noProof/>
                <w:sz w:val="24"/>
                <w:szCs w:val="24"/>
                <w:lang w:val="pl-PL"/>
              </w:rPr>
              <w:t>Rozdział 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_Toc113718126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6</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2"/>
            <w:rPr>
              <w:rFonts w:eastAsiaTheme="minorEastAsia"/>
              <w:noProof/>
              <w:lang w:val="pl-PL" w:eastAsia="pl-PL"/>
            </w:rPr>
          </w:pPr>
          <w:hyperlink w:anchor="_Toc113718127" w:history="1">
            <w:r w:rsidR="00592BFE" w:rsidRPr="005F0EAB">
              <w:rPr>
                <w:rStyle w:val="a6"/>
                <w:rFonts w:ascii="Times New Roman" w:hAnsi="Times New Roman" w:cs="Times New Roman"/>
                <w:noProof/>
                <w:sz w:val="24"/>
                <w:szCs w:val="24"/>
                <w:lang w:val="pl-PL"/>
              </w:rPr>
              <w:t xml:space="preserve">1.1 </w:t>
            </w:r>
            <w:r w:rsidR="00592BFE" w:rsidRPr="005F0EAB">
              <w:rPr>
                <w:rStyle w:val="a6"/>
                <w:rFonts w:ascii="Times New Roman" w:hAnsi="Times New Roman" w:cs="Times New Roman"/>
                <w:noProof/>
                <w:sz w:val="24"/>
                <w:szCs w:val="24"/>
                <w:lang w:val="ru-RU"/>
              </w:rPr>
              <w:t>Социальные</w:t>
            </w:r>
            <w:r w:rsidR="00592BFE" w:rsidRPr="005F0EAB">
              <w:rPr>
                <w:rStyle w:val="a6"/>
                <w:rFonts w:ascii="Times New Roman" w:hAnsi="Times New Roman" w:cs="Times New Roman"/>
                <w:noProof/>
                <w:sz w:val="24"/>
                <w:szCs w:val="24"/>
                <w:lang w:val="pl-PL"/>
              </w:rPr>
              <w:t xml:space="preserve"> </w:t>
            </w:r>
            <w:r w:rsidR="00592BFE" w:rsidRPr="005F0EAB">
              <w:rPr>
                <w:rStyle w:val="a6"/>
                <w:rFonts w:ascii="Times New Roman" w:hAnsi="Times New Roman" w:cs="Times New Roman"/>
                <w:noProof/>
                <w:sz w:val="24"/>
                <w:szCs w:val="24"/>
                <w:lang w:val="ru-RU"/>
              </w:rPr>
              <w:t>медиа</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_Toc113718127 \h </w:instrText>
            </w:r>
            <w:r w:rsidR="00592BFE" w:rsidRPr="005F0EAB">
              <w:rPr>
                <w:noProof/>
                <w:webHidden/>
              </w:rPr>
            </w:r>
            <w:r w:rsidR="00592BFE" w:rsidRPr="005F0EAB">
              <w:rPr>
                <w:noProof/>
                <w:webHidden/>
              </w:rPr>
              <w:fldChar w:fldCharType="separate"/>
            </w:r>
            <w:r w:rsidR="00592BFE" w:rsidRPr="005F0EAB">
              <w:rPr>
                <w:noProof/>
                <w:webHidden/>
              </w:rPr>
              <w:t>6</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28" w:history="1">
            <w:r w:rsidR="00592BFE" w:rsidRPr="005F0EAB">
              <w:rPr>
                <w:rStyle w:val="a6"/>
                <w:rFonts w:ascii="Times New Roman" w:hAnsi="Times New Roman" w:cs="Times New Roman"/>
                <w:noProof/>
                <w:sz w:val="24"/>
                <w:szCs w:val="24"/>
                <w:lang w:val="pl-PL"/>
              </w:rPr>
              <w:t>1.2 Liczba użytkowników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_Toc113718128 \h </w:instrText>
            </w:r>
            <w:r w:rsidR="00592BFE" w:rsidRPr="005F0EAB">
              <w:rPr>
                <w:noProof/>
                <w:webHidden/>
              </w:rPr>
            </w:r>
            <w:r w:rsidR="00592BFE" w:rsidRPr="005F0EAB">
              <w:rPr>
                <w:noProof/>
                <w:webHidden/>
              </w:rPr>
              <w:fldChar w:fldCharType="separate"/>
            </w:r>
            <w:r w:rsidR="00592BFE" w:rsidRPr="005F0EAB">
              <w:rPr>
                <w:noProof/>
                <w:webHidden/>
              </w:rPr>
              <w:t>8</w:t>
            </w:r>
            <w:r w:rsidR="00592BFE" w:rsidRPr="005F0EAB">
              <w:rPr>
                <w:noProof/>
                <w:webHidden/>
              </w:rPr>
              <w:fldChar w:fldCharType="end"/>
            </w:r>
          </w:hyperlink>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00592BFE" w:rsidRPr="005F0EAB">
              <w:rPr>
                <w:rStyle w:val="a6"/>
                <w:rFonts w:ascii="Times New Roman" w:hAnsi="Times New Roman" w:cs="Times New Roman"/>
                <w:noProof/>
                <w:sz w:val="24"/>
                <w:szCs w:val="24"/>
                <w:lang w:val="pl-PL"/>
              </w:rPr>
              <w:t>Rozdział 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_Toc113718129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13</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2"/>
            <w:rPr>
              <w:rFonts w:eastAsiaTheme="minorEastAsia"/>
              <w:noProof/>
              <w:lang w:val="pl-PL" w:eastAsia="pl-PL"/>
            </w:rPr>
          </w:pPr>
          <w:hyperlink w:anchor="_Toc113718130" w:history="1">
            <w:r w:rsidR="00592BFE" w:rsidRPr="005F0EAB">
              <w:rPr>
                <w:rStyle w:val="a6"/>
                <w:rFonts w:ascii="Times New Roman" w:hAnsi="Times New Roman" w:cs="Times New Roman"/>
                <w:noProof/>
                <w:sz w:val="24"/>
                <w:szCs w:val="24"/>
                <w:lang w:val="pl-PL"/>
              </w:rPr>
              <w:t>2.1 Mądre głosowanie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_Toc113718130 \h </w:instrText>
            </w:r>
            <w:r w:rsidR="00592BFE" w:rsidRPr="005F0EAB">
              <w:rPr>
                <w:noProof/>
                <w:webHidden/>
              </w:rPr>
            </w:r>
            <w:r w:rsidR="00592BFE" w:rsidRPr="005F0EAB">
              <w:rPr>
                <w:noProof/>
                <w:webHidden/>
              </w:rPr>
              <w:fldChar w:fldCharType="separate"/>
            </w:r>
            <w:r w:rsidR="00592BFE" w:rsidRPr="005F0EAB">
              <w:rPr>
                <w:noProof/>
                <w:webHidden/>
              </w:rPr>
              <w:t>13</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1" w:history="1">
            <w:r w:rsidR="00592BFE" w:rsidRPr="005F0EAB">
              <w:rPr>
                <w:rStyle w:val="a6"/>
                <w:rFonts w:ascii="Times New Roman" w:hAnsi="Times New Roman" w:cs="Times New Roman"/>
                <w:noProof/>
                <w:sz w:val="24"/>
                <w:szCs w:val="24"/>
                <w:lang w:val="pl-PL"/>
              </w:rPr>
              <w:t>2.2 On nie jest "Dimonem"</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_Toc113718131 \h </w:instrText>
            </w:r>
            <w:r w:rsidR="00592BFE" w:rsidRPr="005F0EAB">
              <w:rPr>
                <w:noProof/>
                <w:webHidden/>
              </w:rPr>
            </w:r>
            <w:r w:rsidR="00592BFE" w:rsidRPr="005F0EAB">
              <w:rPr>
                <w:noProof/>
                <w:webHidden/>
              </w:rPr>
              <w:fldChar w:fldCharType="separate"/>
            </w:r>
            <w:r w:rsidR="00592BFE" w:rsidRPr="005F0EAB">
              <w:rPr>
                <w:noProof/>
                <w:webHidden/>
              </w:rPr>
              <w:t>15</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2" w:history="1">
            <w:r w:rsidR="00592BFE" w:rsidRPr="005F0EAB">
              <w:rPr>
                <w:rStyle w:val="a6"/>
                <w:rFonts w:ascii="Times New Roman" w:hAnsi="Times New Roman" w:cs="Times New Roman"/>
                <w:noProof/>
                <w:sz w:val="24"/>
                <w:szCs w:val="24"/>
                <w:lang w:val="pl-PL"/>
              </w:rPr>
              <w:t>2.3 Protest w sieciach społecznościowych – komunikatorach internetowych.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_Toc113718132 \h </w:instrText>
            </w:r>
            <w:r w:rsidR="00592BFE" w:rsidRPr="005F0EAB">
              <w:rPr>
                <w:noProof/>
                <w:webHidden/>
              </w:rPr>
            </w:r>
            <w:r w:rsidR="00592BFE" w:rsidRPr="005F0EAB">
              <w:rPr>
                <w:noProof/>
                <w:webHidden/>
              </w:rPr>
              <w:fldChar w:fldCharType="separate"/>
            </w:r>
            <w:r w:rsidR="00592BFE" w:rsidRPr="005F0EAB">
              <w:rPr>
                <w:noProof/>
                <w:webHidden/>
              </w:rPr>
              <w:t>16</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3" w:history="1">
            <w:r w:rsidR="00592BFE" w:rsidRPr="005F0EAB">
              <w:rPr>
                <w:rStyle w:val="a6"/>
                <w:rFonts w:ascii="Times New Roman" w:hAnsi="Times New Roman" w:cs="Times New Roman"/>
                <w:noProof/>
                <w:sz w:val="24"/>
                <w:szCs w:val="24"/>
                <w:lang w:val="pl-PL"/>
              </w:rPr>
              <w:t>2.4 Wyciek danych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_Toc113718133 \h </w:instrText>
            </w:r>
            <w:r w:rsidR="00592BFE" w:rsidRPr="005F0EAB">
              <w:rPr>
                <w:noProof/>
                <w:webHidden/>
              </w:rPr>
            </w:r>
            <w:r w:rsidR="00592BFE" w:rsidRPr="005F0EAB">
              <w:rPr>
                <w:noProof/>
                <w:webHidden/>
              </w:rPr>
              <w:fldChar w:fldCharType="separate"/>
            </w:r>
            <w:r w:rsidR="00592BFE" w:rsidRPr="005F0EAB">
              <w:rPr>
                <w:noProof/>
                <w:webHidden/>
              </w:rPr>
              <w:t>18</w:t>
            </w:r>
            <w:r w:rsidR="00592BFE" w:rsidRPr="005F0EAB">
              <w:rPr>
                <w:noProof/>
                <w:webHidden/>
              </w:rPr>
              <w:fldChar w:fldCharType="end"/>
            </w:r>
          </w:hyperlink>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_Toc113718134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20</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2"/>
            <w:rPr>
              <w:rFonts w:eastAsiaTheme="minorEastAsia"/>
              <w:noProof/>
              <w:lang w:val="pl-PL" w:eastAsia="pl-PL"/>
            </w:rPr>
          </w:pPr>
          <w:hyperlink w:anchor="_Toc113718135" w:history="1">
            <w:r w:rsidR="00592BFE" w:rsidRPr="005F0EAB">
              <w:rPr>
                <w:rStyle w:val="a6"/>
                <w:rFonts w:ascii="Times New Roman" w:hAnsi="Times New Roman" w:cs="Times New Roman"/>
                <w:noProof/>
                <w:sz w:val="24"/>
                <w:szCs w:val="24"/>
                <w:lang w:val="pl-PL"/>
              </w:rPr>
              <w:t>3.1 Kontrola nad ważnymi wydawnictwami</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_Toc113718135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6" w:history="1">
            <w:r w:rsidR="00592BFE" w:rsidRPr="005F0EAB">
              <w:rPr>
                <w:rStyle w:val="a6"/>
                <w:rFonts w:ascii="Times New Roman" w:hAnsi="Times New Roman" w:cs="Times New Roman"/>
                <w:noProof/>
                <w:sz w:val="24"/>
                <w:szCs w:val="24"/>
                <w:lang w:val="pl-PL"/>
              </w:rPr>
              <w:t>3.2 Powtórzenie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_Toc113718136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7" w:history="1">
            <w:r w:rsidR="00592BFE"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Większość</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_Toc113718137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8" w:history="1">
            <w:r w:rsidR="00592BFE" w:rsidRPr="005F0EAB">
              <w:rPr>
                <w:rStyle w:val="a6"/>
                <w:rFonts w:ascii="Times New Roman" w:hAnsi="Times New Roman" w:cs="Times New Roman"/>
                <w:noProof/>
                <w:sz w:val="24"/>
                <w:szCs w:val="24"/>
                <w:lang w:val="pl-PL"/>
              </w:rPr>
              <w:t>3.4 Okienko Overtona</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_Toc113718138 \h </w:instrText>
            </w:r>
            <w:r w:rsidR="00592BFE" w:rsidRPr="005F0EAB">
              <w:rPr>
                <w:noProof/>
                <w:webHidden/>
              </w:rPr>
            </w:r>
            <w:r w:rsidR="00592BFE" w:rsidRPr="005F0EAB">
              <w:rPr>
                <w:noProof/>
                <w:webHidden/>
              </w:rPr>
              <w:fldChar w:fldCharType="separate"/>
            </w:r>
            <w:r w:rsidR="00592BFE" w:rsidRPr="005F0EAB">
              <w:rPr>
                <w:noProof/>
                <w:webHidden/>
              </w:rPr>
              <w:t>21</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39" w:history="1">
            <w:r w:rsidR="00592BFE" w:rsidRPr="005F0EAB">
              <w:rPr>
                <w:rStyle w:val="a6"/>
                <w:rFonts w:ascii="Times New Roman" w:hAnsi="Times New Roman" w:cs="Times New Roman"/>
                <w:noProof/>
                <w:sz w:val="24"/>
                <w:szCs w:val="24"/>
                <w:lang w:val="pl-PL"/>
              </w:rPr>
              <w:t>3.5 Uwikłanie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_Toc113718139 \h </w:instrText>
            </w:r>
            <w:r w:rsidR="00592BFE" w:rsidRPr="005F0EAB">
              <w:rPr>
                <w:noProof/>
                <w:webHidden/>
              </w:rPr>
            </w:r>
            <w:r w:rsidR="00592BFE" w:rsidRPr="005F0EAB">
              <w:rPr>
                <w:noProof/>
                <w:webHidden/>
              </w:rPr>
              <w:fldChar w:fldCharType="separate"/>
            </w:r>
            <w:r w:rsidR="00592BFE" w:rsidRPr="005F0EAB">
              <w:rPr>
                <w:noProof/>
                <w:webHidden/>
              </w:rPr>
              <w:t>22</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40" w:history="1">
            <w:r w:rsidR="00592BFE"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Blogerzy</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_Toc113718140 \h </w:instrText>
            </w:r>
            <w:r w:rsidR="00592BFE" w:rsidRPr="005F0EAB">
              <w:rPr>
                <w:noProof/>
                <w:webHidden/>
              </w:rPr>
            </w:r>
            <w:r w:rsidR="00592BFE" w:rsidRPr="005F0EAB">
              <w:rPr>
                <w:noProof/>
                <w:webHidden/>
              </w:rPr>
              <w:fldChar w:fldCharType="separate"/>
            </w:r>
            <w:r w:rsidR="00592BFE" w:rsidRPr="005F0EAB">
              <w:rPr>
                <w:noProof/>
                <w:webHidden/>
              </w:rPr>
              <w:t>23</w:t>
            </w:r>
            <w:r w:rsidR="00592BFE" w:rsidRPr="005F0EAB">
              <w:rPr>
                <w:noProof/>
                <w:webHidden/>
              </w:rPr>
              <w:fldChar w:fldCharType="end"/>
            </w:r>
          </w:hyperlink>
        </w:p>
        <w:p w:rsidR="00592BFE" w:rsidRPr="005F0EAB" w:rsidRDefault="00EF17C1" w:rsidP="005F0EAB">
          <w:pPr>
            <w:pStyle w:val="2"/>
            <w:rPr>
              <w:rFonts w:eastAsiaTheme="minorEastAsia"/>
              <w:noProof/>
              <w:lang w:val="pl-PL" w:eastAsia="pl-PL"/>
            </w:rPr>
          </w:pPr>
          <w:hyperlink w:anchor="_Toc113718141" w:history="1">
            <w:r w:rsidR="00592BFE"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wpływ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_Toc113718141 \h </w:instrText>
            </w:r>
            <w:r w:rsidR="00592BFE" w:rsidRPr="005F0EAB">
              <w:rPr>
                <w:noProof/>
                <w:webHidden/>
              </w:rPr>
            </w:r>
            <w:r w:rsidR="00592BFE" w:rsidRPr="005F0EAB">
              <w:rPr>
                <w:noProof/>
                <w:webHidden/>
              </w:rPr>
              <w:fldChar w:fldCharType="separate"/>
            </w:r>
            <w:r w:rsidR="00592BFE" w:rsidRPr="005F0EAB">
              <w:rPr>
                <w:noProof/>
                <w:webHidden/>
              </w:rPr>
              <w:t>25</w:t>
            </w:r>
            <w:r w:rsidR="00592BFE" w:rsidRPr="005F0EAB">
              <w:rPr>
                <w:noProof/>
                <w:webHidden/>
              </w:rPr>
              <w:fldChar w:fldCharType="end"/>
            </w:r>
          </w:hyperlink>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_Toc113718142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26</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_Toc113718143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29</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31</w:t>
            </w:r>
            <w:r w:rsidR="00592BFE" w:rsidRPr="005F0EAB">
              <w:rPr>
                <w:rFonts w:ascii="Times New Roman" w:hAnsi="Times New Roman" w:cs="Times New Roman"/>
                <w:noProof/>
                <w:webHidden/>
                <w:sz w:val="24"/>
                <w:szCs w:val="24"/>
              </w:rPr>
              <w:fldChar w:fldCharType="end"/>
            </w:r>
          </w:hyperlink>
        </w:p>
        <w:p w:rsidR="00592BFE" w:rsidRPr="005F0EAB" w:rsidRDefault="00EF17C1" w:rsidP="005F0EAB">
          <w:pPr>
            <w:pStyle w:val="11"/>
            <w:tabs>
              <w:tab w:val="right" w:leader="dot" w:pos="9679"/>
            </w:tabs>
            <w:rPr>
              <w:rFonts w:eastAsiaTheme="minorEastAsia"/>
              <w:noProof/>
              <w:lang w:val="pl-PL" w:eastAsia="pl-PL"/>
            </w:rPr>
          </w:pPr>
          <w:hyperlink w:anchor="_Toc113718145"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32</w:t>
            </w:r>
            <w:r w:rsidR="00592BFE"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2"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2"/>
      <w:r w:rsidRPr="0000122D">
        <w:rPr>
          <w:rFonts w:ascii="Times New Roman" w:eastAsia="Times New Roman" w:hAnsi="Times New Roman" w:cs="Times New Roman"/>
          <w:b/>
          <w:sz w:val="32"/>
          <w:lang w:val="pl-PL"/>
        </w:rPr>
        <w:t xml:space="preserve"> </w:t>
      </w:r>
    </w:p>
    <w:p w:rsidR="005024E2"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t>
      </w:r>
      <w:r w:rsidRPr="005024E2">
        <w:rPr>
          <w:rFonts w:ascii="Times New Roman" w:hAnsi="Times New Roman" w:cs="Times New Roman"/>
          <w:sz w:val="24"/>
          <w:szCs w:val="24"/>
          <w:lang w:val="pl-PL"/>
        </w:rPr>
        <w:lastRenderedPageBreak/>
        <w:t>wpływać na myśli i opinie ludzi. O znaczeniu sieci społecznościowych w aktywności protestacyjnej 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bookmarkStart w:id="3"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3"/>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4" w:name="_Toc113718127"/>
      <w:r w:rsidRPr="0000122D">
        <w:rPr>
          <w:rFonts w:ascii="Times New Roman" w:hAnsi="Times New Roman" w:cs="Times New Roman"/>
          <w:b/>
          <w:sz w:val="24"/>
          <w:szCs w:val="24"/>
          <w:lang w:val="pl-PL"/>
        </w:rPr>
        <w:t xml:space="preserve">1.1 </w:t>
      </w:r>
      <w:bookmarkEnd w:id="4"/>
      <w:r w:rsidR="005F0EAB">
        <w:rPr>
          <w:rFonts w:ascii="Times New Roman" w:hAnsi="Times New Roman" w:cs="Times New Roman"/>
          <w:b/>
          <w:sz w:val="24"/>
          <w:szCs w:val="24"/>
          <w:lang w:val="pl-PL"/>
        </w:rPr>
        <w:t>Social media</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5"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5"/>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bookmarkStart w:id="6"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6"/>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7"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7"/>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sidR="008707E8">
        <w:rPr>
          <w:rStyle w:val="ab"/>
          <w:rFonts w:ascii="Times New Roman" w:hAnsi="Times New Roman" w:cs="Times New Roman"/>
          <w:sz w:val="24"/>
          <w:szCs w:val="24"/>
          <w:lang w:val="pl-PL"/>
        </w:rPr>
        <w:footnoteReference w:id="14"/>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w:t>
      </w:r>
      <w:r w:rsidR="008707E8">
        <w:rPr>
          <w:rFonts w:ascii="Times New Roman" w:hAnsi="Times New Roman" w:cs="Times New Roman"/>
          <w:sz w:val="24"/>
          <w:szCs w:val="24"/>
          <w:lang w:val="pl-PL"/>
        </w:rPr>
        <w:t>mądrego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lastRenderedPageBreak/>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5"/>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8"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8"/>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9"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9"/>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 xml:space="preserve">Ekstremizm jest dość szeroką definicją. Obejmuje marsz wzdłuż Tverskaya z demonstracją nazistowskiej swastyki i zaproszenie do tego marszu w celu promowania ideologii faszyzmu oraz </w:t>
      </w:r>
      <w:r w:rsidR="00937CBC" w:rsidRPr="00937CBC">
        <w:rPr>
          <w:rFonts w:ascii="Times New Roman" w:hAnsi="Times New Roman" w:cs="Times New Roman"/>
          <w:sz w:val="24"/>
          <w:szCs w:val="24"/>
          <w:lang w:val="pl-PL"/>
        </w:rPr>
        <w:lastRenderedPageBreak/>
        <w:t>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Pr="003024A4">
        <w:rPr>
          <w:rFonts w:ascii="Times New Roman" w:hAnsi="Times New Roman" w:cs="Times New Roman"/>
          <w:sz w:val="24"/>
          <w:szCs w:val="24"/>
          <w:lang w:val="pl-PL"/>
        </w:rPr>
        <w:t>lyi Szczerbowicza, który nabył 48% udziałów w spółce, zasugerowała Ksenia Arutyunova, analityk w Rye,</w:t>
      </w:r>
      <w:r w:rsidR="006617E4">
        <w:rPr>
          <w:rFonts w:ascii="Times New Roman" w:hAnsi="Times New Roman" w:cs="Times New Roman"/>
          <w:sz w:val="24"/>
          <w:szCs w:val="24"/>
          <w:lang w:val="pl-PL"/>
        </w:rPr>
        <w:t xml:space="preserve"> Man &amp; Gor Securities. „</w:t>
      </w:r>
      <w:r w:rsidRPr="003024A4">
        <w:rPr>
          <w:rFonts w:ascii="Times New Roman" w:hAnsi="Times New Roman" w:cs="Times New Roman"/>
          <w:sz w:val="24"/>
          <w:szCs w:val="24"/>
          <w:lang w:val="pl-PL"/>
        </w:rPr>
        <w:t>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9"/>
      </w:r>
      <w:r w:rsidR="005024E2">
        <w:rPr>
          <w:rStyle w:val="ab"/>
          <w:rFonts w:ascii="Times New Roman" w:hAnsi="Times New Roman" w:cs="Times New Roman"/>
          <w:sz w:val="24"/>
          <w:szCs w:val="24"/>
          <w:lang w:val="ru-RU"/>
        </w:rPr>
        <w:footnoteReference w:id="20"/>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1"/>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 xml:space="preserve">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w:t>
      </w:r>
      <w:r w:rsidRPr="003024A4">
        <w:rPr>
          <w:rFonts w:ascii="Times New Roman" w:hAnsi="Times New Roman" w:cs="Times New Roman"/>
          <w:sz w:val="24"/>
          <w:szCs w:val="24"/>
          <w:lang w:val="pl-PL"/>
        </w:rPr>
        <w:lastRenderedPageBreak/>
        <w:t>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Myślę, że nie - z dwóch powodów: 1. W Rosji Telegram nie wymaga numeru i 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2"/>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3"/>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4"/>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bookmarkStart w:id="10" w:name="_Toc113718133"/>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bookmarkEnd w:id="10"/>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t>
      </w:r>
      <w:r w:rsidRPr="00CA754C">
        <w:rPr>
          <w:rFonts w:ascii="Times New Roman" w:hAnsi="Times New Roman" w:cs="Times New Roman"/>
          <w:sz w:val="24"/>
          <w:szCs w:val="24"/>
          <w:lang w:val="pl-PL"/>
        </w:rPr>
        <w:lastRenderedPageBreak/>
        <w:t>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5"/>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w:t>
      </w:r>
      <w:r w:rsidRPr="00CA754C">
        <w:rPr>
          <w:rFonts w:ascii="Times New Roman" w:hAnsi="Times New Roman" w:cs="Times New Roman"/>
          <w:sz w:val="24"/>
          <w:szCs w:val="24"/>
          <w:lang w:val="pl-PL"/>
        </w:rPr>
        <w:lastRenderedPageBreak/>
        <w:t>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11" w:name="_Toc11371813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III</w:t>
      </w:r>
      <w:bookmarkEnd w:id="11"/>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2"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2"/>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bookmarkStart w:id="13" w:name="_GoBack"/>
      <w:bookmarkEnd w:id="13"/>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4"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4"/>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5" w:name="_Toc113718137"/>
      <w:proofErr w:type="spellStart"/>
      <w:r w:rsidRPr="005A20B4">
        <w:rPr>
          <w:rFonts w:ascii="Times New Roman" w:hAnsi="Times New Roman" w:cs="Times New Roman"/>
          <w:b/>
          <w:sz w:val="24"/>
          <w:szCs w:val="24"/>
          <w:lang w:val="ru-RU"/>
        </w:rPr>
        <w:t>Większość</w:t>
      </w:r>
      <w:bookmarkEnd w:id="15"/>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6"/>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6"/>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7" w:name="_Toc113718139"/>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bookmarkEnd w:id="17"/>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5"/>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6"/>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8" w:name="_Toc113718140"/>
      <w:proofErr w:type="spellStart"/>
      <w:r w:rsidRPr="00A271EB">
        <w:rPr>
          <w:rFonts w:ascii="Times New Roman" w:hAnsi="Times New Roman" w:cs="Times New Roman"/>
          <w:b/>
          <w:color w:val="000000" w:themeColor="text1"/>
          <w:sz w:val="24"/>
          <w:szCs w:val="24"/>
          <w:lang w:val="ru-RU"/>
        </w:rPr>
        <w:t>Blogerzy</w:t>
      </w:r>
      <w:bookmarkEnd w:id="18"/>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7"/>
      </w:r>
    </w:p>
    <w:p w:rsidR="003148D2" w:rsidRPr="009F33AB" w:rsidRDefault="003148D2" w:rsidP="003148D2">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9" w:name="_Toc113718141"/>
      <w:proofErr w:type="spellStart"/>
      <w:r w:rsidRPr="003148D2">
        <w:rPr>
          <w:rFonts w:ascii="Times New Roman" w:hAnsi="Times New Roman" w:cs="Times New Roman"/>
          <w:b/>
          <w:sz w:val="24"/>
          <w:szCs w:val="24"/>
          <w:lang w:val="ru-RU"/>
        </w:rPr>
        <w:t>wpływ</w:t>
      </w:r>
      <w:bookmarkEnd w:id="19"/>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Trwa akcja na rzecz Aleksieja Nawalnego " pisze dziennik Rain.</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0" w:name="_Toc113718142"/>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IV</w:t>
      </w:r>
      <w:bookmarkEnd w:id="20"/>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1" w:name="_Toc113718143"/>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w:t>
      </w:r>
      <w:bookmarkEnd w:id="21"/>
    </w:p>
    <w:p w:rsidR="005024E2" w:rsidRPr="009F33AB" w:rsidRDefault="00904166" w:rsidP="005024E2">
      <w:pPr>
        <w:spacing w:line="360" w:lineRule="auto"/>
        <w:rPr>
          <w:rFonts w:ascii="Times New Roman" w:hAnsi="Times New Roman" w:cs="Times New Roman"/>
          <w:b/>
          <w:sz w:val="32"/>
          <w:szCs w:val="32"/>
          <w:lang w:val="pl-PL"/>
        </w:rPr>
      </w:pPr>
      <w:r w:rsidRPr="009F33AB">
        <w:rPr>
          <w:rFonts w:ascii="Times New Roman" w:hAnsi="Times New Roman" w:cs="Times New Roman"/>
          <w:b/>
          <w:sz w:val="32"/>
          <w:szCs w:val="32"/>
          <w:lang w:val="pl-PL"/>
        </w:rPr>
        <w:t>Aktywność protestacyjna w latach 2010 – 2020</w:t>
      </w:r>
    </w:p>
    <w:p w:rsidR="005024E2" w:rsidRPr="009F33AB"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1"/>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2"/>
      </w:r>
      <w:r w:rsidR="00345553">
        <w:rPr>
          <w:rStyle w:val="ab"/>
          <w:rFonts w:ascii="Times New Roman" w:hAnsi="Times New Roman" w:cs="Times New Roman"/>
          <w:sz w:val="24"/>
          <w:szCs w:val="24"/>
          <w:lang w:val="pl-PL"/>
        </w:rPr>
        <w:footnoteReference w:id="53"/>
      </w:r>
      <w:r w:rsidR="00345553" w:rsidRPr="00345553">
        <w:rPr>
          <w:rFonts w:ascii="Times New Roman" w:hAnsi="Times New Roman" w:cs="Times New Roman"/>
          <w:sz w:val="24"/>
          <w:szCs w:val="24"/>
          <w:lang w:val="pl-PL"/>
        </w:rPr>
        <w:t xml:space="preserve">, co z kolei doprowadziło do monopolu agendy państwowej w przestrzeni informacyjnej. Obecność tylko mediów państwowych umożliwiła sfałszowanie informacji pochodzących z Ukrainy i Krymu i pokazanie ich w korzystny dla władz sposób. Tak więc, promując informacje, że 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2" w:name="_Toc11371814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w:t>
      </w:r>
      <w:bookmarkEnd w:id="22"/>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3" w:name="_Toc113718145"/>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VII</w:t>
      </w:r>
      <w:bookmarkEnd w:id="23"/>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2"/>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7C1" w:rsidRDefault="00EF17C1" w:rsidP="005024E2">
      <w:pPr>
        <w:spacing w:after="0" w:line="240" w:lineRule="auto"/>
      </w:pPr>
      <w:r>
        <w:separator/>
      </w:r>
    </w:p>
  </w:endnote>
  <w:endnote w:type="continuationSeparator" w:id="0">
    <w:p w:rsidR="00EF17C1" w:rsidRDefault="00EF17C1"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9F33AB" w:rsidRDefault="009F33AB">
        <w:pPr>
          <w:pStyle w:val="a7"/>
        </w:pPr>
      </w:p>
      <w:p w:rsidR="009F33AB" w:rsidRDefault="009F33AB">
        <w:pPr>
          <w:pStyle w:val="a7"/>
        </w:pPr>
        <w:r>
          <w:fldChar w:fldCharType="begin"/>
        </w:r>
        <w:r>
          <w:instrText>PAGE   \* MERGEFORMAT</w:instrText>
        </w:r>
        <w:r>
          <w:fldChar w:fldCharType="separate"/>
        </w:r>
        <w:r w:rsidR="00A3519B" w:rsidRPr="00A3519B">
          <w:rPr>
            <w:noProof/>
            <w:lang w:val="ru-RU"/>
          </w:rPr>
          <w:t>23</w:t>
        </w:r>
        <w:r>
          <w:fldChar w:fldCharType="end"/>
        </w:r>
      </w:p>
    </w:sdtContent>
  </w:sdt>
  <w:p w:rsidR="009F33AB" w:rsidRDefault="009F33A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7C1" w:rsidRDefault="00EF17C1" w:rsidP="005024E2">
      <w:pPr>
        <w:spacing w:after="0" w:line="240" w:lineRule="auto"/>
      </w:pPr>
      <w:r>
        <w:separator/>
      </w:r>
    </w:p>
  </w:footnote>
  <w:footnote w:type="continuationSeparator" w:id="0">
    <w:p w:rsidR="00EF17C1" w:rsidRDefault="00EF17C1" w:rsidP="005024E2">
      <w:pPr>
        <w:spacing w:after="0" w:line="240" w:lineRule="auto"/>
      </w:pPr>
      <w:r>
        <w:continuationSeparator/>
      </w:r>
    </w:p>
  </w:footnote>
  <w:footnote w:id="1">
    <w:p w:rsidR="009F33AB" w:rsidRPr="005A0648" w:rsidRDefault="009F33A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9F33AB" w:rsidRPr="009F33AB" w:rsidRDefault="009F33AB">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9F33AB" w:rsidRPr="009E6718" w:rsidRDefault="009F33AB">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9F33AB" w:rsidRPr="009F33AB" w:rsidRDefault="009F33AB"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9F33AB" w:rsidRPr="009F33AB" w:rsidRDefault="009F33AB"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9F33AB" w:rsidRPr="009F33AB" w:rsidRDefault="009F33AB"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9F33AB" w:rsidRPr="009F33AB" w:rsidRDefault="009F33AB"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9F33AB" w:rsidRPr="00B82A8E" w:rsidRDefault="009F33AB">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8707E8" w:rsidRPr="008707E8" w:rsidRDefault="008707E8">
      <w:pPr>
        <w:pStyle w:val="a9"/>
        <w:rPr>
          <w:lang w:val="ru-RU"/>
        </w:rPr>
      </w:pPr>
      <w:r>
        <w:rPr>
          <w:rStyle w:val="ab"/>
        </w:rPr>
        <w:footnoteRef/>
      </w:r>
      <w:r>
        <w:t xml:space="preserve"> </w:t>
      </w:r>
      <w:r>
        <w:rPr>
          <w:lang w:val="ru-RU"/>
        </w:rPr>
        <w:t xml:space="preserve">Консолидация или протест? </w:t>
      </w:r>
      <w:r w:rsidRPr="008707E8">
        <w:rPr>
          <w:lang w:val="ru-RU"/>
        </w:rPr>
        <w:t>„</w:t>
      </w:r>
      <w:r>
        <w:rPr>
          <w:lang w:val="ru-RU"/>
        </w:rPr>
        <w:t>Умное голосование</w:t>
      </w:r>
      <w:r w:rsidRPr="008707E8">
        <w:rPr>
          <w:lang w:val="ru-RU"/>
        </w:rPr>
        <w:t>”</w:t>
      </w:r>
      <w:r>
        <w:rPr>
          <w:lang w:val="ru-RU"/>
        </w:rPr>
        <w:t xml:space="preserve"> на Московских выборах, </w:t>
      </w:r>
      <w:r>
        <w:rPr>
          <w:lang w:val="pl-PL"/>
        </w:rPr>
        <w:t>strona</w:t>
      </w:r>
      <w:r w:rsidRPr="008707E8">
        <w:rPr>
          <w:lang w:val="ru-RU"/>
        </w:rPr>
        <w:t xml:space="preserve"> 50,</w:t>
      </w:r>
      <w:r>
        <w:rPr>
          <w:lang w:val="ru-RU"/>
        </w:rPr>
        <w:t xml:space="preserve"> </w:t>
      </w:r>
      <w:r>
        <w:t>DOI: 10.30570/2078-5089-2020-96-1-50-73</w:t>
      </w:r>
    </w:p>
  </w:footnote>
  <w:footnote w:id="15">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6">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7">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8">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9">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20">
    <w:p w:rsidR="009F33AB" w:rsidRPr="005A0648" w:rsidRDefault="009F33AB"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1">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3">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4">
    <w:p w:rsidR="009F33AB" w:rsidRPr="00A265FF" w:rsidRDefault="009F33AB"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sidR="00A265FF">
        <w:rPr>
          <w:rFonts w:ascii="Times New Roman" w:hAnsi="Times New Roman" w:cs="Times New Roman"/>
          <w:lang w:val="ru-RU"/>
        </w:rPr>
        <w:t xml:space="preserve"> страница 69</w:t>
      </w:r>
    </w:p>
  </w:footnote>
  <w:footnote w:id="25">
    <w:p w:rsidR="009F33AB" w:rsidRPr="00E6207C" w:rsidRDefault="009F33AB"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6">
    <w:p w:rsidR="009F33AB" w:rsidRPr="00A271EB" w:rsidRDefault="009F33AB">
      <w:pPr>
        <w:pStyle w:val="a9"/>
      </w:pPr>
      <w:r>
        <w:rPr>
          <w:rStyle w:val="ab"/>
        </w:rPr>
        <w:footnoteRef/>
      </w:r>
      <w:r>
        <w:t xml:space="preserve"> </w:t>
      </w:r>
      <w:r w:rsidRPr="00A271EB">
        <w:t>https://www.youtube.com/watch?v=_LYe58b-3HM</w:t>
      </w:r>
    </w:p>
  </w:footnote>
  <w:footnote w:id="27">
    <w:p w:rsidR="009F33AB" w:rsidRPr="00E6207C" w:rsidRDefault="009F33AB" w:rsidP="005024E2">
      <w:pPr>
        <w:pStyle w:val="a9"/>
      </w:pPr>
      <w:r>
        <w:rPr>
          <w:rStyle w:val="ab"/>
        </w:rPr>
        <w:footnoteRef/>
      </w:r>
      <w:r w:rsidRPr="00E6207C">
        <w:t xml:space="preserve"> https://tass.ru/info/5501212?utm_source=google.com&amp;utm_medium=organic&amp;utm_campaign=google.com&amp;utm_referrer=google.com</w:t>
      </w:r>
    </w:p>
  </w:footnote>
  <w:footnote w:id="28">
    <w:p w:rsidR="009F33AB" w:rsidRPr="00E6207C" w:rsidRDefault="009F33AB" w:rsidP="005024E2">
      <w:pPr>
        <w:pStyle w:val="a9"/>
      </w:pPr>
      <w:r>
        <w:rPr>
          <w:rStyle w:val="ab"/>
        </w:rPr>
        <w:footnoteRef/>
      </w:r>
      <w:r>
        <w:t xml:space="preserve"> </w:t>
      </w:r>
      <w:r w:rsidRPr="006F3689">
        <w:t>https://tass.ru/ekonomika/1696096</w:t>
      </w:r>
    </w:p>
  </w:footnote>
  <w:footnote w:id="29">
    <w:p w:rsidR="009F33AB" w:rsidRPr="00E6207C" w:rsidRDefault="009F33AB" w:rsidP="005024E2">
      <w:pPr>
        <w:pStyle w:val="a9"/>
      </w:pPr>
      <w:r>
        <w:rPr>
          <w:rStyle w:val="ab"/>
        </w:rPr>
        <w:footnoteRef/>
      </w:r>
      <w:r>
        <w:t xml:space="preserve"> </w:t>
      </w:r>
      <w:r w:rsidRPr="006F3689">
        <w:t>https://tass.ru/obschestvo/1902700</w:t>
      </w:r>
    </w:p>
  </w:footnote>
  <w:footnote w:id="30">
    <w:p w:rsidR="009F33AB" w:rsidRPr="00E6207C" w:rsidRDefault="009F33AB" w:rsidP="005024E2">
      <w:pPr>
        <w:pStyle w:val="a9"/>
      </w:pPr>
      <w:r>
        <w:rPr>
          <w:rStyle w:val="ab"/>
        </w:rPr>
        <w:footnoteRef/>
      </w:r>
      <w:r>
        <w:t xml:space="preserve"> </w:t>
      </w:r>
      <w:r w:rsidRPr="006F3689">
        <w:t>https://tass.ru/ekonomika/3623188</w:t>
      </w:r>
    </w:p>
  </w:footnote>
  <w:footnote w:id="31">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2">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3">
    <w:p w:rsidR="009F33AB" w:rsidRPr="00E6207C" w:rsidRDefault="009F33AB"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4">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5">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6">
    <w:p w:rsidR="009F33AB" w:rsidRPr="00D045AB" w:rsidRDefault="009F33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7">
    <w:p w:rsidR="009F33AB" w:rsidRPr="00BD1EB1" w:rsidRDefault="009F33AB"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8">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9">
    <w:p w:rsidR="009F33AB" w:rsidRPr="000B63E1" w:rsidRDefault="009F33AB"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40">
    <w:p w:rsidR="009F33AB" w:rsidRPr="000B63E1" w:rsidRDefault="009F33AB"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1">
    <w:p w:rsidR="009F33AB" w:rsidRPr="000B63E1" w:rsidRDefault="009F33AB"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2">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3">
    <w:p w:rsidR="009F33AB" w:rsidRPr="000B63E1" w:rsidRDefault="009F33AB"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4">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5">
    <w:p w:rsidR="009F33AB" w:rsidRPr="007229D9" w:rsidRDefault="009F33AB"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6">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7">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8">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9">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50">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1">
    <w:p w:rsidR="009F33AB" w:rsidRPr="00B13F85" w:rsidRDefault="009F33AB">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2">
    <w:p w:rsidR="009F33AB" w:rsidRPr="00345553" w:rsidRDefault="009F33AB">
      <w:pPr>
        <w:pStyle w:val="a9"/>
      </w:pPr>
      <w:r>
        <w:rPr>
          <w:rStyle w:val="ab"/>
        </w:rPr>
        <w:footnoteRef/>
      </w:r>
      <w:r>
        <w:t xml:space="preserve"> </w:t>
      </w:r>
      <w:r w:rsidRPr="00345553">
        <w:t>https://www.rand.org/content/dam/rand/pubs/research_reports/RR1400/RR1498/RAND_RR1498.pdf</w:t>
      </w:r>
    </w:p>
  </w:footnote>
  <w:footnote w:id="53">
    <w:p w:rsidR="009F33AB" w:rsidRPr="00345553" w:rsidRDefault="009F33AB">
      <w:pPr>
        <w:pStyle w:val="a9"/>
      </w:pPr>
      <w:r>
        <w:rPr>
          <w:rStyle w:val="ab"/>
        </w:rPr>
        <w:footnoteRef/>
      </w:r>
      <w:r>
        <w:t xml:space="preserve"> </w:t>
      </w:r>
      <w:r w:rsidRPr="00345553">
        <w:t>https://stratcomcoe.org/cuploads/pfiles/russian_information_campaign_public_12012016fin.pdf</w:t>
      </w:r>
    </w:p>
  </w:footnote>
  <w:footnote w:id="54">
    <w:p w:rsidR="009F33AB" w:rsidRPr="00345553" w:rsidRDefault="009F33AB" w:rsidP="005024E2">
      <w:pPr>
        <w:pStyle w:val="a9"/>
      </w:pPr>
      <w:r>
        <w:rPr>
          <w:rStyle w:val="ab"/>
        </w:rPr>
        <w:footnoteRef/>
      </w:r>
      <w:r w:rsidRPr="00345553">
        <w:t xml:space="preserve"> https://www.levada.ru/2017/09/28/rossiyane-ne-veryat-v-protesty/</w:t>
      </w:r>
    </w:p>
  </w:footnote>
  <w:footnote w:id="55">
    <w:p w:rsidR="009F33AB" w:rsidRPr="009F33AB" w:rsidRDefault="009F33AB"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6">
    <w:p w:rsidR="009F33AB" w:rsidRPr="009F33AB" w:rsidRDefault="009F33AB"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7">
    <w:p w:rsidR="009F33AB" w:rsidRPr="007229D9" w:rsidRDefault="009F33AB"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8">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9">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60">
    <w:p w:rsidR="009F33AB" w:rsidRPr="007229D9" w:rsidRDefault="009F33AB" w:rsidP="005024E2">
      <w:pPr>
        <w:pStyle w:val="a9"/>
      </w:pPr>
      <w:r>
        <w:rPr>
          <w:rStyle w:val="ab"/>
        </w:rPr>
        <w:footnoteRef/>
      </w:r>
      <w:r>
        <w:t xml:space="preserve"> </w:t>
      </w:r>
      <w:r w:rsidRPr="007229D9">
        <w:t>Putin Thrives on Russian Passivity (newsweek.com) https://www.newsweek.com/putin-thrives-russian-passivity-321066</w:t>
      </w:r>
    </w:p>
  </w:footnote>
  <w:footnote w:id="61">
    <w:p w:rsidR="009F33AB" w:rsidRPr="007229D9" w:rsidRDefault="009F33AB" w:rsidP="005024E2">
      <w:pPr>
        <w:pStyle w:val="a9"/>
      </w:pPr>
      <w:r>
        <w:rPr>
          <w:rStyle w:val="ab"/>
        </w:rPr>
        <w:footnoteRef/>
      </w:r>
      <w:r>
        <w:t xml:space="preserve"> </w:t>
      </w:r>
      <w:r w:rsidRPr="007229D9">
        <w:t>https://www.svoboda.org/a/29079871.html</w:t>
      </w:r>
    </w:p>
  </w:footnote>
  <w:footnote w:id="62">
    <w:p w:rsidR="009F33AB" w:rsidRPr="00345553" w:rsidRDefault="009F33AB">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156521"/>
    <w:rsid w:val="001630AD"/>
    <w:rsid w:val="00277826"/>
    <w:rsid w:val="002D17E6"/>
    <w:rsid w:val="003024A4"/>
    <w:rsid w:val="003148D2"/>
    <w:rsid w:val="00345553"/>
    <w:rsid w:val="003728D0"/>
    <w:rsid w:val="00392FDE"/>
    <w:rsid w:val="003F001B"/>
    <w:rsid w:val="004140C3"/>
    <w:rsid w:val="00496B3A"/>
    <w:rsid w:val="004A5A0B"/>
    <w:rsid w:val="004C1C5E"/>
    <w:rsid w:val="004E1CAC"/>
    <w:rsid w:val="005024E2"/>
    <w:rsid w:val="00592BFE"/>
    <w:rsid w:val="005A0648"/>
    <w:rsid w:val="005A20B4"/>
    <w:rsid w:val="005F0EAB"/>
    <w:rsid w:val="006617E4"/>
    <w:rsid w:val="006661F1"/>
    <w:rsid w:val="00674B12"/>
    <w:rsid w:val="006C209C"/>
    <w:rsid w:val="00790CCB"/>
    <w:rsid w:val="007A3834"/>
    <w:rsid w:val="007C4E9A"/>
    <w:rsid w:val="00865BEE"/>
    <w:rsid w:val="00865D92"/>
    <w:rsid w:val="008707E8"/>
    <w:rsid w:val="0088482D"/>
    <w:rsid w:val="00904166"/>
    <w:rsid w:val="0093163D"/>
    <w:rsid w:val="00937CBC"/>
    <w:rsid w:val="0095545F"/>
    <w:rsid w:val="009D63DA"/>
    <w:rsid w:val="009E6718"/>
    <w:rsid w:val="009F33AB"/>
    <w:rsid w:val="00A265FF"/>
    <w:rsid w:val="00A271EB"/>
    <w:rsid w:val="00A3519B"/>
    <w:rsid w:val="00B13F85"/>
    <w:rsid w:val="00B75851"/>
    <w:rsid w:val="00B82A8E"/>
    <w:rsid w:val="00CA754C"/>
    <w:rsid w:val="00D045AB"/>
    <w:rsid w:val="00D24DA6"/>
    <w:rsid w:val="00D30A41"/>
    <w:rsid w:val="00E96477"/>
    <w:rsid w:val="00EB7A36"/>
    <w:rsid w:val="00EF17C1"/>
    <w:rsid w:val="00F4323C"/>
    <w:rsid w:val="00F67730"/>
    <w:rsid w:val="00F776D0"/>
    <w:rsid w:val="00FA6C2B"/>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C695"/>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8321-DFD1-4316-99E1-6B16C1CD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39</Pages>
  <Words>10396</Words>
  <Characters>62378</Characters>
  <Application>Microsoft Office Word</Application>
  <DocSecurity>0</DocSecurity>
  <Lines>519</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28</cp:revision>
  <dcterms:created xsi:type="dcterms:W3CDTF">2022-09-08T10:51:00Z</dcterms:created>
  <dcterms:modified xsi:type="dcterms:W3CDTF">2022-09-11T13:38:00Z</dcterms:modified>
</cp:coreProperties>
</file>