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Ochrana osobných údajov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Ochrana osobných údajov našich klientov a iných fyzických osôb je pre nás dôležitá. V nasledujúcom uvádzame, akým spôsobom naša spoločnosť: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postupuje pri spracúvaní osobných údajov v rámci spoločnosti.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Pri spracúvaní osobných údajov sa riadime primárne Nariadením Európskeho parlamentu a Rady (EÚ)2016/679 o ochrane fyzických osôb pri spracúvaní osobných údajov a o voľnom pohybe týchto údajov,ktorým sa zrušuje smernica 95/46/ES (ďalej len „nariadenie GDPR“), a príslušnými ustanoveniami zákona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č. 18/2018 Z. z. o ochrane osobných údajov a o zmene a doplnení niektorých zákonov, ako aj ďalšími všeobecne záväznými právnymi predpismi.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Nariadenie GDPR bližšie upravuje práva dotknutých osôb fyzických osôb pri spracúvaní ich osobných údajov v Článku 15 –22 nariadenia GDPR. 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8C5BDA"/>
    <w:rPr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2A8NxhF7PhLcP89oBnSJL5rrQ==">CgMxLjA4AHIhMTZrWnFwZTVpdHhLOE5VdWhjZEY5UGotZzJCQ3k0aFY4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2022-08-09T07:29:00Z</dcterms:created>
  <dc:creator>Optiplex_7010</dc:creator>
</cp:coreProperties>
</file>