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SPROSTREDKOVATEĽSKÁ ZMLUVA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 VÝHRADNOM OBSTARANÍ NÁJMU BYTU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uzatvorená podľa § 774 a nasl. Občianskeho zákonníka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medzi týmito zmluvnými stranami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Obchodné meno:    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Moderný maklér s.r.o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Sídlo: </w:t>
        <w:tab/>
        <w:tab/>
        <w:tab/>
        <w:t xml:space="preserve">Zuzany Chalupovej 18, 851 07 Bratislava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IČO: </w:t>
        <w:tab/>
        <w:tab/>
        <w:tab/>
        <w:t xml:space="preserve">52 951 502</w:t>
        <w:br w:type="textWrapping"/>
        <w:t xml:space="preserve">DIČ: </w:t>
        <w:tab/>
        <w:tab/>
        <w:tab/>
        <w:t xml:space="preserve">2121258821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Zastúpená:</w:t>
        <w:tab/>
        <w:tab/>
        <w:t xml:space="preserve">Kristián Kopp, konateľ spoločnosti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Spoločnosť je zapísaná v Obchodnom registri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Mestského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súdu Bratislava III, Odd.: Sro, vl.č.144473/B    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E-mail:</w:t>
        <w:tab/>
        <w:tab/>
        <w:tab/>
        <w:t xml:space="preserve">info@modernymakler.sk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Mobil:</w:t>
        <w:tab/>
        <w:tab/>
        <w:tab/>
        <w:t xml:space="preserve">0910118284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(ďalej len „Sprostredkovateľ“)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Meno a priezvisko:     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Bydlisko:</w:t>
        <w:tab/>
        <w:tab/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Dátum narodenia: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Podiel:</w:t>
        <w:tab/>
        <w:tab/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(ďalej len „Záujemca)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Článok 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Úvodné ustanovenia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0" w:hanging="426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Podľa údajov katastra nehnuteľností vedeného Okresným úradom Bratislava, katastrálny odbor, Obec Bratislava – m.č. Vrakuňa, katastrálne územie Vrakuňa je záujemca výlučným vlastníkom nehnuteľnosti v katastri nehnuteľností zapísanej na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LV č. ................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86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Byt č. ….., 1.p., na ulici …………………., Bytový dom súpisné číslo …………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postavený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 pozemku parcelné číslo ………………..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 parkovacie státie v suteréne bytového domu,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zapísané v Katastri nehnuteľností vedenom Okresným úradom Bratislava, katastrálnym odborom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 Liste vlastníctva č. ………..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okres: Bratislava II, obec Bratislava - Vrakuňa, katastrálne územie:  Vrakuňa (ďalej len „nehnuteľnosť“).</w:t>
      </w:r>
    </w:p>
    <w:tbl>
      <w:tblPr>
        <w:tblStyle w:val="Table1"/>
        <w:tblW w:w="804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8046"/>
        <w:tblGridChange w:id="0">
          <w:tblGrid>
            <w:gridCol w:w="8046"/>
          </w:tblGrid>
        </w:tblGridChange>
      </w:tblGrid>
      <w:tr>
        <w:trPr>
          <w:cantSplit w:val="0"/>
          <w:trHeight w:val="323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0" w:hanging="426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Záujemca vyhlasuje, že ku dňu podpisu tejto zmluvy nehnuteľnosť uvedená v odseku 1: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nie je predmetom úradne registrovaných alebo iných práv tretích osôb, najmä nie, práv držby či iného spôsobu užívania,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nie je predmetom žiadnych predkupných práv,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neboli na ňu uplatnené žiadne reštitučné ani iné nároky,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nie je predmetom akýchkoľvek konaní ohľadne konkurzu, vyrovnania, reštrukturalizácie alebo podobných konaní,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nie je predmetom akýchkoľvek súdnych konaní alebo exekučných konaní,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netrpí žiadnymi skutkovými, právnymi ani inými vecnými vadami.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spacing w:after="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0" w:hanging="426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Záujemca ďalej vyhlasuje, že pred Sprostredkovateľom nezamlčal žiadne podstatné skutočnosti, ktoré by mohli znemožniť alebo sťažiť  uzatvorenie zmluvy o krátkodobom nájme bytu uvedeného v odseku 1. (ďalej len „sprostredkovaná zmluva„).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Článok II.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Predmet zmluvy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2700"/>
          <w:tab w:val="left" w:leader="none" w:pos="-1560"/>
          <w:tab w:val="left" w:leader="none" w:pos="360"/>
        </w:tabs>
        <w:spacing w:after="0" w:before="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Sprostredkovateľ sa zaväzuje vyvíjať pre Záujemcu realitnú činnosť tak, aby mal Záujemca možnosť uzavrieť sprostredkovanú zmluvu s treťou osobou (ďalej len „nájomca“).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Cena nájomného požadovaná Záujemcom za prenájom predmetných nehnuteľností  je ............€ (slovom ................. eur) vrátane energií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Výška nájomného môže byť pri rokovaniach s nájomcom znížená iba na základe súhlasu Záujemcu. V cene nájomného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zahrnuté aj náklady na úhrady za plnenia spojené s užívaním bytu vrátane plynu a elektrickej  energie ako aj náklady na TV, internet,  správu domu a pod..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2700"/>
          <w:tab w:val="left" w:leader="none" w:pos="-1560"/>
          <w:tab w:val="left" w:leader="none" w:pos="360"/>
        </w:tabs>
        <w:spacing w:after="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99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2700"/>
          <w:tab w:val="left" w:leader="none" w:pos="-1560"/>
        </w:tabs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Záujemca sa zaväzuje v prípade, že Sprostredkovateľ sprostredkuje uzatvorenie Nájomnej zmluvy na dobu najmenej jedného roku a viac,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zaplatiť Sprostredkovateľovi províziu vo výške ..........€ (slovom .................. EUR).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Záujemca berie na vedomie, že Sprostredkovateľ nie je platiteľom dane z pridanej hodnoty.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2700"/>
          <w:tab w:val="left" w:leader="none" w:pos="-1560"/>
          <w:tab w:val="left" w:leader="none" w:pos="360"/>
        </w:tabs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 prípade uzatvorenia Nájomnej zmluvy na dobu kratšiu ako jeden rok bude výška provízie Sprostredkovateľa pomerná dĺžke nájmu.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2700"/>
          <w:tab w:val="left" w:leader="none" w:pos="-1560"/>
          <w:tab w:val="left" w:leader="none" w:pos="360"/>
        </w:tabs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Provízia je splatná v hotovosti/prevodom na účet Sprostredkovateľa  pri podpise Nájomnej zmluvy na základe vystavenej faktúry Sprostredkovateľa.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2700"/>
          <w:tab w:val="left" w:leader="none" w:pos="-1560"/>
          <w:tab w:val="left" w:leader="none" w:pos="360"/>
        </w:tabs>
        <w:spacing w:after="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2700"/>
          <w:tab w:val="left" w:leader="none" w:pos="-1560"/>
          <w:tab w:val="left" w:leader="none" w:pos="360"/>
        </w:tabs>
        <w:spacing w:after="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Článok III.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Práva a povinnosti zmluvných strán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4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Záujemca sa zaväzuje: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1560"/>
          <w:tab w:val="left" w:leader="none" w:pos="720"/>
        </w:tabs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 výzvu Sprostredkovateľa poskytnúť potrebnú súčinnosť, najmä umožniť prehliadku nehnuteľnosti v termínoch dohodnutých so Sprostredkovateľom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1560"/>
          <w:tab w:val="left" w:leader="none" w:pos="720"/>
        </w:tabs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 poskytnúť mu všetku dokumentáciu potrebnú k vyhľadaniu nájomcu, t.j. predovšetkým poskytnúť k nahliadnutiu originály dokumentov týkajúcich sa nehnuteľnosti za účelom vyhotovenia  fotokópii,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1560"/>
          <w:tab w:val="left" w:leader="none" w:pos="720"/>
        </w:tabs>
        <w:spacing w:after="0" w:before="0" w:line="24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že všetky kontakty s tretími osobami, ktoré zabezpečí Sprostredkovateľ, budú sprostredkované a realizované výlučne cez Sprostredkovateľa, a že bez vedomia Sprostredkovateľa neuzatvorí sprostredkovanú zmluvu s osobou, ktorá bola ním vyhľadaná, a to ani v dobe po skončení platnosti tejto zmluvy,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1560"/>
        </w:tabs>
        <w:spacing w:after="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4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Sprostredkovateľ Moderný maklér s.r.o.  sa zaväzuje: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84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779" w:right="0" w:hanging="41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vyvinúť maximálne úsilie k vyhľadaniu nájomcu v najkratšej možnej dobe, najmä inzerovaním na internetových portáloch, Facebooku a podobne,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779" w:right="0" w:hanging="41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zorganizovať rokovania zmluvných strán nevyhnutné k uzatvoreniu sprostredkovanej zmluvy a zabezpečiť jej vypracovanie,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779" w:right="0" w:hanging="41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zabezpečiť po dohode so záujemcom potrebné doklady (výpis LV z katastra nehnuteľností, zálohový predpis správcu a podobne), všetky  na náklady Záujemcu.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Článok IV.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Zmluvná pokuta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8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426" w:right="0" w:hanging="426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Záujemca sa zaväzuje zaplatiť Sprostredkovateľovi zmluvnú pokutu vo výške polovice nájmu, pokiaľ poruší niektorú  zo svojich povinností uvedených v článku III. ods. 1 písm. C.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0" w:hanging="426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Zmluvná pokuta je splatná najneskôr do troch dní od obdržania výzvy na jej zaplatenie.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0" w:hanging="426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Zaplatením zmluvnej pokuty nie je  dotknuté  právo Sprostredkovateľa domáhať sa náhrady vzniknutej škody v plnej výške.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0" w:hanging="426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Ak Záujemca uzavrie Zmluvu na Nehnuteľnosť bez akejkoľvek súvislosti s činnosťou Sprostredkovateľa počas účinnosti tejto Dohody zaväzuje sa Záujemca uhradiť Sprostredkovateľovi paušálnu náhradu výdavkov vo výške 80% sumy dohodnutej provízie Sprostredkovateľa uvedenej v ods. 2 tohto článku. Strany vyhlasujú, že výška Paušálnej náhrady výdavkov je vzhľadom na zvýšené výdavky a aktivitu Sprostredkovateľa pri výhradnom sprostredko­vaní primeraná.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0" w:hanging="426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Paušálna náhrada výdavkov je splatná na účet Sprostredkovateľa najneskôr v lehote do 5 dní od doručenia výzvy adresovanej Záujemcovi.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Článok V.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Špecifické ustanovenia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0" w:hanging="426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Vzniku práva Sprostredkovateľa na úhradu provízie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nebráni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skutočnosť, že až po zániku tejto zmluvy dôjde k uzatvoreniu sprostredkovanej zmluvy, pokiaľ Sprostredkovateľ vyvíjal svoju činnosť (napr. umožnil prehliadku nehnuteľnosti, odovzdal  podklady k nehnuteľnosti  tretej osobe) počas doby platnosti tejto zmluvy.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0" w:hanging="426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 prípade, že sa na Záujemcu obráti tretia osoba so žiadosťou o uzatvorenie sprostredkovanej zmluvy, je Záujemca povinný  túto osobu odkázať na jednanie  so Sprostredkovateľom.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Záujemca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zapožičal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Sprostredkovateľovi  kľúče od nehnuteľnosti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0" w:hanging="426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Záujemca v súlade s legislatívou GDPR a  zákonom č. 18/2018 Z.z. o ochrane osobných údajov v znení neskorších predpisov podpísaním tejto zmluvy dáva výslovný súhlas a súhlasí s tým, aby Sprostredkovateľ spracoval osobné údaje Záujemcu tak ako sú definované v tomto zákone (ďalej len „osobné údaje“), ako aj s poskytovaním a sprístupňovaním jeho osobných údajov tretím osobám (so sídlom/bydliskom v Slovenskej republike a aj v iných štátoch), ktoré podliehajú Sprostredkovateľovi, prípadne ich pobočkám, organizačným zložkám, ich zástupcom, audítorom, daňovým a iným poradcom a ďalej archivovala a štatisticky spracúvala jeho osobné údaje v rozsahu potrebnom pre plnenie tejto zmluvy. Osobné údaje môžu byť spracúvané priamo alebo prostredníctvom ďalšej tretej osoby.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Článok VI.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Záverečné ustanovenia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426" w:right="0" w:hanging="426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Táto zmluva sa uzaviera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 dobu určitú do .............................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Táto zmluva je vyhotovená v dvoch rovnopisoch, z toho pre každú zo zmluvných strán po jednom rovnopise.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426" w:right="0" w:hanging="426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Zmeny a doplnenia tejto zmluvy je možné vykonať iba písomnou formou a na základe predchádzajúceho súhlasu obidvoch zmluvných strán. Schválené dodatky budú tvoriť neoddeliteľnú súčasť tejto zmluvy.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426" w:right="0" w:hanging="426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Obidve zmluvné strany sa zaväzujú, že neposkytnú žiadne informácie získané v súvislosti s touto zmluvou tretím osobám bez súhlasu zmluvnej strany, ktorá informáciu poskytla.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0" w:hanging="426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 právne vzťahy, ktoré nie sú touto zmluvou podrobnejšie upravené, platia príslušné ustanovenia Občianskeho zákonníka.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0" w:line="240" w:lineRule="auto"/>
        <w:ind w:left="426" w:right="0" w:hanging="426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Obidve zmluvné strany súhlasia s podmienkami uvedenými v tejto zmluve a zaväzujú sa ju rešpektovať a dobrovoľne plniť. Zároveň vyhlasujú, že sú plne spôsobilí na právne úkony  a že zmluvu uzavreli slobodne a vážne.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0" w:hanging="426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 dôkaz súhlasu s obsahom tejto zmluvy v celom rozsahu pripájajú zmluvné strany svoje vlastnoručné podpisy.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0" w:hanging="426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Táto zmluva má dve prílohy: formulár pre odstúpenie spotrebiteľa a informácie k GDPR.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 Bratislave, dňa ...........................</w:t>
        <w:tab/>
        <w:tab/>
        <w:t xml:space="preserve">V Bratislave, dňa .................................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hanging="70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...................................................                 </w:t>
        <w:tab/>
        <w:t xml:space="preserve">      ....................................................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hanging="708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Sprostredkovateľ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                              Záujemca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hanging="70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Moderný maklér, s.r.o.</w:t>
        <w:tab/>
        <w:tab/>
        <w:tab/>
        <w:tab/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8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ab/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8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8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8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ab/>
        <w:t xml:space="preserve">      ...................................................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8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ab/>
        <w:t xml:space="preserve">      Záujemca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ab/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8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8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8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8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8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8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8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headerReference r:id="rId7" w:type="default"/>
          <w:footerReference r:id="rId8" w:type="default"/>
          <w:footerReference r:id="rId9" w:type="first"/>
          <w:pgSz w:h="16838" w:w="11906" w:orient="portrait"/>
          <w:pgMar w:bottom="1418" w:top="1418" w:left="680" w:right="680" w:header="709" w:footer="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8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Príloha č.1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8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Formulár na odstúpenie od zmluvy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(vyplňte a zašlite tento formulár len v prípade, že si želáte odstúpiť od zmluvy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 zákonnej lehote 14 dní odo dňa uzavretia Zmluvy)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Komu: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Moderný maklér s.r.o., Zuzany Chalupovej 18, 851 07 Bratislava do rúk Kristián Kopp, konateľ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Týmto oznamujem, že odstupujem od Zmluvy o výhradnom poskytovaní realitných služieb uzatvorenej ohľadne: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Nehnuteľnosti/í/ so zápisom na LV č................., vedenej Okresným úradom, katastrálny odbor,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 okres: .............................., obec: ................................, katastrálne územie: ...............................................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899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11"/>
        <w:gridCol w:w="707"/>
        <w:gridCol w:w="996"/>
        <w:gridCol w:w="709"/>
        <w:gridCol w:w="426"/>
        <w:gridCol w:w="1562"/>
        <w:gridCol w:w="993"/>
        <w:gridCol w:w="710"/>
        <w:gridCol w:w="1986"/>
        <w:tblGridChange w:id="0">
          <w:tblGrid>
            <w:gridCol w:w="1811"/>
            <w:gridCol w:w="707"/>
            <w:gridCol w:w="996"/>
            <w:gridCol w:w="709"/>
            <w:gridCol w:w="426"/>
            <w:gridCol w:w="1562"/>
            <w:gridCol w:w="993"/>
            <w:gridCol w:w="710"/>
            <w:gridCol w:w="1986"/>
          </w:tblGrid>
        </w:tblGridChange>
      </w:tblGrid>
      <w:tr>
        <w:trPr>
          <w:cantSplit w:val="0"/>
          <w:trHeight w:val="514" w:hRule="atLeast"/>
          <w:tblHeader w:val="0"/>
        </w:trPr>
        <w:tc>
          <w:tcPr>
            <w:gridSpan w:val="8"/>
            <w:tcBorders>
              <w:top w:color="000000" w:space="0" w:sz="12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Typ nehnuteľnosti:   □ Byt    □ Rodinný dom    □ Pozemok     □ Iné   </w:t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                                                                  ...........................................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Ulica :</w:t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LV nehnuteľ. č. :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Súp.č. :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Vchod č. : 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Poschodie č. 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Byt č. :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Spol.podiel k SČaZ :</w:t>
            </w:r>
          </w:p>
        </w:tc>
      </w:tr>
      <w:tr>
        <w:trPr>
          <w:cantSplit w:val="0"/>
          <w:trHeight w:val="562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12" w:val="single"/>
              <w:bottom w:color="000000" w:space="0" w:sz="12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Parc.č. / výmera (m2) :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Druh pozemku :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LV pozemku č. :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12" w:val="single"/>
            </w:tcBorders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Podiel na pozemku :</w:t>
            </w:r>
          </w:p>
        </w:tc>
      </w:tr>
    </w:tbl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Meno a priezvisko: .............................................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Dátum: .............................................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Podpis: .............................................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8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8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8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8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8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8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8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8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8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nextPage"/>
          <w:pgSz w:h="16838" w:w="11906" w:orient="portrait"/>
          <w:pgMar w:bottom="1418" w:top="1418" w:left="680" w:right="680" w:header="709" w:footer="0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8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Príloha č.2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8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INFORMOVANIE DOTKNUTEJ OSOBY O SPRACOVANÍ OSOBNÝCH ÚDAJOV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podľa článku 13. a 14. Nariadenia Európskeho parlamentu a Rady (EÚ) 2016/679 o ochrane fyzických osôb pri spracúvaní osobných údajov a o voľnom pohybe týchto údajov, ktorým sa zrušuje smernica 95/46/ES a v súlade so zákonom č. 18/2018 Z. z. o ochrane osobných údajov a o zmene a doplnení niektorých zákonov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30j0zll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I. ÚDAJE O PREVÁDZKOVATEĽOVI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highlight w:val="white"/>
          <w:u w:val="none"/>
          <w:vertAlign w:val="baseline"/>
          <w:rtl w:val="0"/>
        </w:rPr>
        <w:t xml:space="preserve">Moderný maklér s.r.o.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highlight w:val="white"/>
          <w:u w:val="none"/>
          <w:vertAlign w:val="baseline"/>
          <w:rtl w:val="0"/>
        </w:rPr>
        <w:t xml:space="preserve">so sídlom Zuzany Chalupovej 18, 851 07 Bratislava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highlight w:val="white"/>
          <w:u w:val="none"/>
          <w:vertAlign w:val="baseline"/>
          <w:rtl w:val="0"/>
        </w:rPr>
        <w:t xml:space="preserve">IČO: 52 951 502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highlight w:val="white"/>
          <w:u w:val="none"/>
          <w:vertAlign w:val="baseline"/>
          <w:rtl w:val="0"/>
        </w:rPr>
        <w:t xml:space="preserve">Zapísaný v Obchodnom registri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2"/>
          <w:szCs w:val="22"/>
          <w:highlight w:val="white"/>
          <w:rtl w:val="0"/>
        </w:rPr>
        <w:t xml:space="preserve">Mestského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highlight w:val="white"/>
          <w:u w:val="none"/>
          <w:vertAlign w:val="baseline"/>
          <w:rtl w:val="0"/>
        </w:rPr>
        <w:t xml:space="preserve">súdu Bratislava III, odd.: Sro, vložka č.: 144473/B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highlight w:val="white"/>
          <w:u w:val="none"/>
          <w:vertAlign w:val="baseline"/>
          <w:rtl w:val="0"/>
        </w:rPr>
        <w:t xml:space="preserve">Bc. Kristián Kopp - konateľ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II. INFORMÁCIE V SÚVISLOSTI S OSOBNÝMI ÚDAJMI, KTORÉ NÁM POSKYTUJETE: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Účel spracúvania osobných údajov: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Prevádzkovateľ spracúva bežnú kategóriu osobných údajov dotknutých fyzických osôb za účelom plnenia povinností prevádzkovateľa súvisiacich s plnením zmluvy, ktorej zmluvnou stranou je dotknutá osoba.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Osobné údaje za týmito účelmi sa spracovávajú v automatizovanej aj neautomatizovanej forme.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Kategórie spracúvaných osobných údajov: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všeobecné osobné údaje ako titul, meno, priezvisko, adresa, podpis, kontaktné údaje, kamerové záznamy zachytávané na kamerový systém, opodstatnené monitorovaním BOZP, práce zamestnancov, zabezpečenie sídla a majetku spoločnosti, (najmä telefónne číslo a e-mail).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súbory cookies tretích strán, súbory cookies hostiteľskej domény, trvalé súbory cookies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Právny základ spracúvania osobných údajov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Podľa Článku 6 ods. 1 písm. b/ Nariadenia Európskeho parlamentu a Rady (EÚ) 2016/679 o ochrane fyzických osôb pri spracúvaní osobných údajov a o voľnom pohybe týchto údajov, ktorým sa zrušuje smernica 95/46/ES spracúvanie je nevyhnutné na plnenie zmluvy, ktorej zmluvnou stranou je dotknutá osoba, alebo aby sa na základe žiadosti dotknutej osoby vykonali opatrenia pred uzatvorením zmluvy.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III. POSKYTOVANIE OSOBNÝCH ÚDAJOV PRÍJEMCOM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Osobné údaje sú dostupné iba oprávneným zamestnancom prevádzkovateľa, ktorí osobné údaje spracúvajú, a tiež sprostredkovateľom, ktorí spracúvajú osobné údaje v mene prevádzkovateľa, a to na základe sprostredkovateľskej zmluvy.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Osobné údaje poskytujeme príslušným orgánom štátnej správy a verejnej moci (napr. súdy, orgány činné v trestnom konaní, exekútor, orgány na výkon kontroly a dozoru ako napr. inšpektorát práce) ak je to nevyhnutné na uplatnenie našich nárokov a ochranu našich práv, a to na základe platnej legislatívy.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Osobné údaje sú dostupné aj poskytovateľom softvérového vybavenia alebo podpory a správy a údržby technických zariadení.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IV. DOBA UCHOVÁVANIA OSOBNÝCH ÚDAJOV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 dobu trvania práv a povinností vyplývajúcich zo zmluvného vzťahu a dobu trvania povinnosti archivovania osobných údajov podľa zákona č. 395/2002 Z.z. o archívoch a registratúrach a o doplnení niektorých zákonov a zákona o účtovníctve, daňový poriadok.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Doba uchovávania: 10 rokov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V. PRÁVA DOTKNUTEJ OSOBY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Právo na prístup k svojim osobným údajom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Právo na opravu svojich osobných údajov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Právo na výmaz svojich osobných údajov (právo „na zabudnutie“)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Právo na obmedzenie spracúvania svojich osobných údajov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Právo namietať proti spracúvaniu svojich osobných údajov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Právo na prenosnosť svojich osobných údajov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Právo podať sťažnosť dozornému orgánu, t.j. Úradu na ochranu osobných údajov SR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Právo namietať automatizované individuálne rozhodovanie a profilovanie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Vyššie uvedené práva dotknutej osoby sú špecifikované v Článku 15 – 22 Nariadenia Európskeho parlamentu a Rady (EÚ) 2016/679 o ochrane fyzických osôb pri spracúvaní osobných údajov a o voľnom pohybe týchto údajov, ktorým sa zrušuje smernica 95/46/ES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VI. PRENOS OSOBNÝCH ÚDAJOV DO TRETEJ KRAJINY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Neuskutočňuje sa.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VII. POŽIADAVKA NA POSKYTOVANIE OSOBNÝCH ÚDAJOV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Poskytovanie osobných údajov je zákonnou požiadavkou a zároveň požiadavkou, ktorá je potrebná na uzavretie zmluvy, pričom bez poskytnutia osobných údajov nie je možné plnenie povinností vyplývajúcich zo zmluvného vzťahu.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VIII. AUTOMATIZOVANÉ ROZHODOVANIE A PROFILOVANIE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Neuskutočňuje sa.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Meno a priezvisko dotknutej osoby: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 ........................., dňa ..............................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95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........................................................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podpis dotknutej osoby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type w:val="nextPage"/>
      <w:pgSz w:h="16838" w:w="11906" w:orient="portrait"/>
      <w:pgMar w:bottom="1418" w:top="1418" w:left="680" w:right="680" w:header="709" w:foo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2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2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F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0</wp:posOffset>
          </wp:positionH>
          <wp:positionV relativeFrom="paragraph">
            <wp:posOffset>-209549</wp:posOffset>
          </wp:positionV>
          <wp:extent cx="1615958" cy="449898"/>
          <wp:effectExtent b="0" l="0" r="0" t="0"/>
          <wp:wrapSquare wrapText="bothSides" distB="0" distT="0" distL="0" distR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15958" cy="449898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0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vertAlign w:val="baseline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vertAlign w:val="baseline"/>
      </w:rPr>
    </w:lvl>
    <w:lvl w:ilvl="2">
      <w:start w:val="1"/>
      <w:numFmt w:val="lowerRoman"/>
      <w:lvlText w:val="%3."/>
      <w:lvlJc w:val="left"/>
      <w:pPr>
        <w:ind w:left="90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126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1620" w:hanging="360"/>
      </w:pPr>
      <w:rPr>
        <w:vertAlign w:val="baseline"/>
      </w:rPr>
    </w:lvl>
    <w:lvl w:ilvl="5">
      <w:start w:val="1"/>
      <w:numFmt w:val="lowerRoman"/>
      <w:lvlText w:val="%6."/>
      <w:lvlJc w:val="left"/>
      <w:pPr>
        <w:ind w:left="180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216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2520" w:hanging="360"/>
      </w:pPr>
      <w:rPr>
        <w:vertAlign w:val="baseline"/>
      </w:rPr>
    </w:lvl>
    <w:lvl w:ilvl="8">
      <w:start w:val="1"/>
      <w:numFmt w:val="lowerRoman"/>
      <w:lvlText w:val="%9."/>
      <w:lvlJc w:val="left"/>
      <w:pPr>
        <w:ind w:left="2700" w:hanging="180"/>
      </w:pPr>
      <w:rPr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  <w:i w:val="0"/>
        <w:iCs w:val="0"/>
        <w:sz w:val="20"/>
        <w:szCs w:val="20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vertAlign w:val="baseline"/>
      </w:rPr>
    </w:lvl>
    <w:lvl w:ilvl="2">
      <w:start w:val="1"/>
      <w:numFmt w:val="lowerRoman"/>
      <w:lvlText w:val="%3."/>
      <w:lvlJc w:val="left"/>
      <w:pPr>
        <w:ind w:left="90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126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1620" w:hanging="360"/>
      </w:pPr>
      <w:rPr>
        <w:vertAlign w:val="baseline"/>
      </w:rPr>
    </w:lvl>
    <w:lvl w:ilvl="5">
      <w:start w:val="1"/>
      <w:numFmt w:val="lowerRoman"/>
      <w:lvlText w:val="%6."/>
      <w:lvlJc w:val="left"/>
      <w:pPr>
        <w:ind w:left="180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216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2520" w:hanging="360"/>
      </w:pPr>
      <w:rPr>
        <w:vertAlign w:val="baseline"/>
      </w:rPr>
    </w:lvl>
    <w:lvl w:ilvl="8">
      <w:start w:val="1"/>
      <w:numFmt w:val="lowerRoman"/>
      <w:lvlText w:val="%9."/>
      <w:lvlJc w:val="left"/>
      <w:pPr>
        <w:ind w:left="2700" w:hanging="180"/>
      </w:pPr>
      <w:rPr>
        <w:vertAlign w:val="baseline"/>
      </w:rPr>
    </w:lvl>
  </w:abstractNum>
  <w:abstractNum w:abstractNumId="3">
    <w:lvl w:ilvl="0">
      <w:start w:val="1"/>
      <w:numFmt w:val="lowerLetter"/>
      <w:lvlText w:val="%1)"/>
      <w:lvlJc w:val="left"/>
      <w:pPr>
        <w:ind w:left="779" w:hanging="494.9999999999999"/>
      </w:pPr>
      <w:rPr>
        <w:b w:val="0"/>
        <w:bCs w:val="0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lowerLetter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color w:val="000000"/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724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444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164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884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604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324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044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764" w:hanging="180"/>
      </w:pPr>
      <w:rPr>
        <w:vertAlign w:val="baseline"/>
      </w:rPr>
    </w:lvl>
  </w:abstractNum>
  <w:abstractNum w:abstractNumId="6">
    <w:lvl w:ilvl="0">
      <w:start w:val="0"/>
      <w:numFmt w:val="bullet"/>
      <w:lvlText w:val="-"/>
      <w:lvlJc w:val="left"/>
      <w:pPr>
        <w:ind w:left="786" w:hanging="360.0000000000001"/>
      </w:pPr>
      <w:rPr>
        <w:rFonts w:ascii="Times New Roman" w:cs="Times New Roman" w:eastAsia="Times New Roman" w:hAnsi="Times New Roman"/>
        <w:b w:val="1"/>
        <w:bCs w:val="1"/>
        <w:vertAlign w:val="baseline"/>
      </w:rPr>
    </w:lvl>
    <w:lvl w:ilvl="1">
      <w:start w:val="1"/>
      <w:numFmt w:val="bullet"/>
      <w:lvlText w:val="o"/>
      <w:lvlJc w:val="left"/>
      <w:pPr>
        <w:ind w:left="1506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226" w:hanging="360"/>
      </w:pPr>
      <w:rPr>
        <w:rFonts w:ascii="Noto Sans" w:cs="Noto Sans" w:eastAsia="Noto Sans" w:hAnsi="Noto Sans"/>
        <w:vertAlign w:val="baseline"/>
      </w:rPr>
    </w:lvl>
    <w:lvl w:ilvl="3">
      <w:start w:val="1"/>
      <w:numFmt w:val="bullet"/>
      <w:lvlText w:val="●"/>
      <w:lvlJc w:val="left"/>
      <w:pPr>
        <w:ind w:left="2946" w:hanging="360"/>
      </w:pPr>
      <w:rPr>
        <w:rFonts w:ascii="Noto Sans" w:cs="Noto Sans" w:eastAsia="Noto Sans" w:hAnsi="Noto Sans"/>
        <w:vertAlign w:val="baseline"/>
      </w:rPr>
    </w:lvl>
    <w:lvl w:ilvl="4">
      <w:start w:val="1"/>
      <w:numFmt w:val="bullet"/>
      <w:lvlText w:val="o"/>
      <w:lvlJc w:val="left"/>
      <w:pPr>
        <w:ind w:left="3666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86" w:hanging="360"/>
      </w:pPr>
      <w:rPr>
        <w:rFonts w:ascii="Noto Sans" w:cs="Noto Sans" w:eastAsia="Noto Sans" w:hAnsi="Noto Sans"/>
        <w:vertAlign w:val="baseline"/>
      </w:rPr>
    </w:lvl>
    <w:lvl w:ilvl="6">
      <w:start w:val="1"/>
      <w:numFmt w:val="bullet"/>
      <w:lvlText w:val="●"/>
      <w:lvlJc w:val="left"/>
      <w:pPr>
        <w:ind w:left="5106" w:hanging="360"/>
      </w:pPr>
      <w:rPr>
        <w:rFonts w:ascii="Noto Sans" w:cs="Noto Sans" w:eastAsia="Noto Sans" w:hAnsi="Noto Sans"/>
        <w:vertAlign w:val="baseline"/>
      </w:rPr>
    </w:lvl>
    <w:lvl w:ilvl="7">
      <w:start w:val="1"/>
      <w:numFmt w:val="bullet"/>
      <w:lvlText w:val="o"/>
      <w:lvlJc w:val="left"/>
      <w:pPr>
        <w:ind w:left="5826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546" w:hanging="360"/>
      </w:pPr>
      <w:rPr>
        <w:rFonts w:ascii="Noto Sans" w:cs="Noto Sans" w:eastAsia="Noto Sans" w:hAnsi="Noto Sans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sz w:val="24"/>
        <w:szCs w:val="24"/>
        <w:shd w:fill="auto" w:val="clear"/>
        <w:vertAlign w:val="baseli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8">
    <w:lvl w:ilvl="0">
      <w:start w:val="1"/>
      <w:numFmt w:val="lowerLetter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color w:val="000000"/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644" w:hanging="359.9999999999999"/>
      </w:pPr>
      <w:rPr>
        <w:rFonts w:ascii="Times New Roman" w:cs="Times New Roman" w:eastAsia="Times New Roman" w:hAnsi="Times New Roman"/>
        <w:sz w:val="24"/>
        <w:szCs w:val="24"/>
        <w:vertAlign w:val="baseli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0">
    <w:lvl w:ilvl="0">
      <w:start w:val="1"/>
      <w:numFmt w:val="lowerLetter"/>
      <w:lvlText w:val="%1)"/>
      <w:lvlJc w:val="left"/>
      <w:pPr>
        <w:ind w:left="720" w:hanging="360"/>
      </w:pPr>
      <w:rPr>
        <w:rFonts w:ascii="Times New Roman" w:cs="Times New Roman" w:eastAsia="Times New Roman" w:hAnsi="Times New Roman"/>
        <w:sz w:val="24"/>
        <w:szCs w:val="24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sk-SK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álny">
    <w:name w:val="Normálny"/>
    <w:next w:val="Normálny"/>
    <w:autoRedefine w:val="0"/>
    <w:hidden w:val="0"/>
    <w:qFormat w:val="0"/>
    <w:pPr>
      <w:widowControl w:val="0"/>
      <w:suppressAutoHyphens w:val="0"/>
      <w:overflowPunct w:val="0"/>
      <w:autoSpaceDE w:val="0"/>
      <w:spacing w:line="1" w:lineRule="atLeast"/>
      <w:ind w:leftChars="-1" w:rightChars="0" w:firstLineChars="-1"/>
      <w:textDirection w:val="btLr"/>
      <w:textAlignment w:val="baseline"/>
      <w:outlineLvl w:val="0"/>
    </w:pPr>
    <w:rPr>
      <w:rFonts w:ascii="Times New Roman" w:eastAsia="Times New Roman" w:hAnsi="Times New Roman"/>
      <w:w w:val="100"/>
      <w:position w:val="-1"/>
      <w:sz w:val="24"/>
      <w:effect w:val="none"/>
      <w:vertAlign w:val="baseline"/>
      <w:cs w:val="0"/>
      <w:em w:val="none"/>
      <w:lang w:bidi="ar-SA" w:eastAsia="zh-CN" w:val="cs-CZ"/>
    </w:rPr>
  </w:style>
  <w:style w:type="character" w:styleId="Predvolenépísmoodseku">
    <w:name w:val="Predvolené písmo odseku"/>
    <w:next w:val="Predvolenépísmoodseku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Normálnatabuľka">
    <w:name w:val="Normálna tabuľka"/>
    <w:next w:val="Normálnatabuľka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Bezzoznamu">
    <w:name w:val="Bez zoznamu"/>
    <w:next w:val="Bezzoznamu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Nadpis">
    <w:name w:val="Nadpis"/>
    <w:basedOn w:val="Normálny"/>
    <w:next w:val="Základnýtext"/>
    <w:autoRedefine w:val="0"/>
    <w:hidden w:val="0"/>
    <w:qFormat w:val="0"/>
    <w:pPr>
      <w:widowControl w:val="1"/>
      <w:suppressAutoHyphens w:val="1"/>
      <w:overflowPunct w:val="0"/>
      <w:autoSpaceDE w:val="0"/>
      <w:spacing w:after="120" w:line="1" w:lineRule="atLeast"/>
      <w:ind w:leftChars="-1" w:rightChars="0" w:firstLineChars="-1"/>
      <w:jc w:val="center"/>
      <w:textDirection w:val="btLr"/>
      <w:textAlignment w:val="baseline"/>
      <w:outlineLvl w:val="0"/>
    </w:pPr>
    <w:rPr>
      <w:rFonts w:ascii="Arial" w:cs="Arial" w:eastAsia="Times New Roman" w:hAnsi="Arial"/>
      <w:b w:val="1"/>
      <w:w w:val="100"/>
      <w:position w:val="-1"/>
      <w:sz w:val="40"/>
      <w:effect w:val="none"/>
      <w:vertAlign w:val="baseline"/>
      <w:cs w:val="0"/>
      <w:em w:val="none"/>
      <w:lang w:bidi="ar-SA" w:eastAsia="zh-CN" w:val="en-GB"/>
    </w:rPr>
  </w:style>
  <w:style w:type="paragraph" w:styleId="Päta">
    <w:name w:val="Päta"/>
    <w:basedOn w:val="Normálny"/>
    <w:next w:val="Päta"/>
    <w:autoRedefine w:val="0"/>
    <w:hidden w:val="0"/>
    <w:qFormat w:val="0"/>
    <w:pPr>
      <w:widowControl w:val="1"/>
      <w:suppressAutoHyphens w:val="1"/>
      <w:overflowPunct w:val="0"/>
      <w:autoSpaceDE w:val="0"/>
      <w:spacing w:line="1" w:lineRule="atLeast"/>
      <w:ind w:leftChars="-1" w:rightChars="0" w:firstLineChars="-1"/>
      <w:textDirection w:val="btLr"/>
      <w:textAlignment w:val="baseline"/>
      <w:outlineLvl w:val="0"/>
    </w:pPr>
    <w:rPr>
      <w:rFonts w:ascii="Times New Roman" w:eastAsia="Times New Roman" w:hAnsi="Times New Roman"/>
      <w:w w:val="100"/>
      <w:position w:val="-1"/>
      <w:sz w:val="20"/>
      <w:effect w:val="none"/>
      <w:vertAlign w:val="baseline"/>
      <w:cs w:val="0"/>
      <w:em w:val="none"/>
      <w:lang w:bidi="ar-SA" w:eastAsia="zh-CN" w:val="en-GB"/>
    </w:rPr>
  </w:style>
  <w:style w:type="character" w:styleId="PätaChar">
    <w:name w:val="Päta Char"/>
    <w:next w:val="PätaChar"/>
    <w:autoRedefine w:val="0"/>
    <w:hidden w:val="0"/>
    <w:qFormat w:val="0"/>
    <w:rPr>
      <w:rFonts w:ascii="Times New Roman" w:cs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eastAsia="zh-CN" w:val="en-GB"/>
    </w:rPr>
  </w:style>
  <w:style w:type="paragraph" w:styleId="Základnýtext21">
    <w:name w:val="Základný text 21"/>
    <w:basedOn w:val="Normálny"/>
    <w:next w:val="Základnýtext21"/>
    <w:autoRedefine w:val="0"/>
    <w:hidden w:val="0"/>
    <w:qFormat w:val="0"/>
    <w:pPr>
      <w:widowControl w:val="1"/>
      <w:suppressAutoHyphens w:val="1"/>
      <w:overflowPunct w:val="0"/>
      <w:autoSpaceDE w:val="0"/>
      <w:spacing w:line="1" w:lineRule="atLeast"/>
      <w:ind w:leftChars="-1" w:rightChars="0" w:firstLineChars="-1"/>
      <w:jc w:val="both"/>
      <w:textDirection w:val="btLr"/>
      <w:textAlignment w:val="baseline"/>
      <w:outlineLvl w:val="0"/>
    </w:pPr>
    <w:rPr>
      <w:rFonts w:ascii="Times New Roman" w:eastAsia="Times New Roman" w:hAnsi="Times New Roman"/>
      <w:w w:val="100"/>
      <w:position w:val="-1"/>
      <w:sz w:val="24"/>
      <w:effect w:val="none"/>
      <w:vertAlign w:val="baseline"/>
      <w:cs w:val="0"/>
      <w:em w:val="none"/>
      <w:lang w:bidi="ar-SA" w:eastAsia="zh-CN" w:val="en-GB"/>
    </w:rPr>
  </w:style>
  <w:style w:type="paragraph" w:styleId="Normální1">
    <w:name w:val="Normální1"/>
    <w:basedOn w:val="Normálny"/>
    <w:next w:val="Normální1"/>
    <w:autoRedefine w:val="0"/>
    <w:hidden w:val="0"/>
    <w:qFormat w:val="0"/>
    <w:pPr>
      <w:widowControl w:val="0"/>
      <w:suppressAutoHyphens w:val="1"/>
      <w:overflowPunct w:val="0"/>
      <w:autoSpaceDE w:val="0"/>
      <w:spacing w:line="1" w:lineRule="atLeast"/>
      <w:ind w:leftChars="-1" w:rightChars="0" w:firstLineChars="-1"/>
      <w:textDirection w:val="btLr"/>
      <w:textAlignment w:val="baseline"/>
      <w:outlineLvl w:val="0"/>
    </w:pPr>
    <w:rPr>
      <w:rFonts w:ascii="Times New Roman" w:eastAsia="Times New Roman" w:hAnsi="Times New Roman"/>
      <w:w w:val="100"/>
      <w:position w:val="-1"/>
      <w:sz w:val="20"/>
      <w:effect w:val="none"/>
      <w:vertAlign w:val="baseline"/>
      <w:cs w:val="0"/>
      <w:em w:val="none"/>
      <w:lang w:bidi="ar-SA" w:eastAsia="zh-CN" w:val="cs-CZ"/>
    </w:rPr>
  </w:style>
  <w:style w:type="paragraph" w:styleId="Základnýtext">
    <w:name w:val="Základný text"/>
    <w:basedOn w:val="Normálny"/>
    <w:next w:val="Základnýtext"/>
    <w:autoRedefine w:val="0"/>
    <w:hidden w:val="0"/>
    <w:qFormat w:val="1"/>
    <w:pPr>
      <w:widowControl w:val="0"/>
      <w:suppressAutoHyphens w:val="0"/>
      <w:overflowPunct w:val="0"/>
      <w:autoSpaceDE w:val="0"/>
      <w:spacing w:after="120" w:line="1" w:lineRule="atLeast"/>
      <w:ind w:leftChars="-1" w:rightChars="0" w:firstLineChars="-1"/>
      <w:textDirection w:val="btLr"/>
      <w:textAlignment w:val="baseline"/>
      <w:outlineLvl w:val="0"/>
    </w:pPr>
    <w:rPr>
      <w:rFonts w:ascii="Times New Roman" w:eastAsia="Times New Roman" w:hAnsi="Times New Roman"/>
      <w:w w:val="100"/>
      <w:position w:val="-1"/>
      <w:sz w:val="24"/>
      <w:effect w:val="none"/>
      <w:vertAlign w:val="baseline"/>
      <w:cs w:val="0"/>
      <w:em w:val="none"/>
      <w:lang w:bidi="ar-SA" w:eastAsia="zh-CN" w:val="cs-CZ"/>
    </w:rPr>
  </w:style>
  <w:style w:type="character" w:styleId="ZákladnýtextChar">
    <w:name w:val="Základný text Char"/>
    <w:next w:val="ZákladnýtextChar"/>
    <w:autoRedefine w:val="0"/>
    <w:hidden w:val="0"/>
    <w:qFormat w:val="0"/>
    <w:rPr>
      <w:rFonts w:ascii="Times New Roman" w:cs="Times New Roman" w:eastAsia="Times New Roman" w:hAnsi="Times New Roman"/>
      <w:w w:val="100"/>
      <w:position w:val="-1"/>
      <w:sz w:val="24"/>
      <w:szCs w:val="20"/>
      <w:effect w:val="none"/>
      <w:vertAlign w:val="baseline"/>
      <w:cs w:val="0"/>
      <w:em w:val="none"/>
      <w:lang w:eastAsia="zh-CN" w:val="cs-CZ"/>
    </w:rPr>
  </w:style>
  <w:style w:type="character" w:styleId="ra">
    <w:name w:val="ra"/>
    <w:basedOn w:val="Predvolenépísmoodseku"/>
    <w:next w:val="ra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Bezriadkovania">
    <w:name w:val="Bez riadkovania"/>
    <w:next w:val="Bezriadkovania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sk-SK"/>
    </w:rPr>
  </w:style>
  <w:style w:type="paragraph" w:styleId="Default">
    <w:name w:val="Default"/>
    <w:next w:val="Default"/>
    <w:autoRedefine w:val="0"/>
    <w:hidden w:val="0"/>
    <w:qFormat w:val="0"/>
    <w:pPr>
      <w:suppressAutoHyphens w:val="1"/>
      <w:autoSpaceDE w:val="0"/>
      <w:autoSpaceDN w:val="0"/>
      <w:adjustRightInd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eastAsia="Times New Roman" w:hAnsi="Times New Roman"/>
      <w:color w:val="000000"/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sk-SK"/>
    </w:rPr>
  </w:style>
  <w:style w:type="paragraph" w:styleId="inline">
    <w:name w:val="inline"/>
    <w:basedOn w:val="Normálny"/>
    <w:next w:val="inline"/>
    <w:autoRedefine w:val="0"/>
    <w:hidden w:val="0"/>
    <w:qFormat w:val="0"/>
    <w:pPr>
      <w:widowControl w:val="1"/>
      <w:suppressAutoHyphens w:val="1"/>
      <w:overflowPunct w:val="1"/>
      <w:autoSpaceDE w:val="1"/>
      <w:spacing w:after="100" w:afterAutospacing="1" w:before="100" w:beforeAutospacing="1" w:line="1" w:lineRule="atLeast"/>
      <w:ind w:leftChars="-1" w:rightChars="0" w:firstLineChars="-1"/>
      <w:textDirection w:val="btLr"/>
      <w:textAlignment w:val="auto"/>
      <w:outlineLvl w:val="0"/>
    </w:pPr>
    <w:rPr>
      <w:rFonts w:ascii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sk-SK"/>
    </w:rPr>
  </w:style>
  <w:style w:type="character" w:styleId="Výrazný">
    <w:name w:val="Výrazný"/>
    <w:next w:val="Výrazný"/>
    <w:autoRedefine w:val="0"/>
    <w:hidden w:val="0"/>
    <w:qFormat w:val="0"/>
    <w:rPr>
      <w:b w:val="1"/>
      <w:bCs w:val="1"/>
      <w:w w:val="100"/>
      <w:position w:val="-1"/>
      <w:effect w:val="none"/>
      <w:vertAlign w:val="baseline"/>
      <w:cs w:val="0"/>
      <w:em w:val="none"/>
      <w:lang/>
    </w:rPr>
  </w:style>
  <w:style w:type="paragraph" w:styleId="Textbubliny">
    <w:name w:val="Text bubliny"/>
    <w:basedOn w:val="Normálny"/>
    <w:next w:val="Textbubliny"/>
    <w:autoRedefine w:val="0"/>
    <w:hidden w:val="0"/>
    <w:qFormat w:val="1"/>
    <w:pPr>
      <w:widowControl w:val="0"/>
      <w:suppressAutoHyphens w:val="0"/>
      <w:overflowPunct w:val="0"/>
      <w:autoSpaceDE w:val="0"/>
      <w:spacing w:line="1" w:lineRule="atLeast"/>
      <w:ind w:leftChars="-1" w:rightChars="0" w:firstLineChars="-1"/>
      <w:textDirection w:val="btLr"/>
      <w:textAlignment w:val="baseline"/>
      <w:outlineLvl w:val="0"/>
    </w:pPr>
    <w:rPr>
      <w:rFonts w:ascii="Segoe UI" w:cs="Segoe UI" w:eastAsia="Times New Roman" w:hAnsi="Segoe UI"/>
      <w:w w:val="100"/>
      <w:position w:val="-1"/>
      <w:sz w:val="18"/>
      <w:szCs w:val="18"/>
      <w:effect w:val="none"/>
      <w:vertAlign w:val="baseline"/>
      <w:cs w:val="0"/>
      <w:em w:val="none"/>
      <w:lang w:bidi="ar-SA" w:eastAsia="zh-CN" w:val="cs-CZ"/>
    </w:rPr>
  </w:style>
  <w:style w:type="character" w:styleId="TextbublinyChar">
    <w:name w:val="Text bubliny Char"/>
    <w:next w:val="TextbublinyChar"/>
    <w:autoRedefine w:val="0"/>
    <w:hidden w:val="0"/>
    <w:qFormat w:val="0"/>
    <w:rPr>
      <w:rFonts w:ascii="Segoe UI" w:cs="Segoe UI" w:eastAsia="Times New Roman" w:hAnsi="Segoe UI"/>
      <w:w w:val="100"/>
      <w:position w:val="-1"/>
      <w:sz w:val="18"/>
      <w:szCs w:val="18"/>
      <w:effect w:val="none"/>
      <w:vertAlign w:val="baseline"/>
      <w:cs w:val="0"/>
      <w:em w:val="none"/>
      <w:lang w:eastAsia="zh-CN" w:val="cs-CZ"/>
    </w:rPr>
  </w:style>
  <w:style w:type="paragraph" w:styleId="Hlavička">
    <w:name w:val="Hlavička"/>
    <w:basedOn w:val="Normálny"/>
    <w:next w:val="Hlavička"/>
    <w:autoRedefine w:val="0"/>
    <w:hidden w:val="0"/>
    <w:qFormat w:val="1"/>
    <w:pPr>
      <w:widowControl w:val="0"/>
      <w:tabs>
        <w:tab w:val="center" w:leader="none" w:pos="4536"/>
        <w:tab w:val="right" w:leader="none" w:pos="9072"/>
      </w:tabs>
      <w:suppressAutoHyphens w:val="0"/>
      <w:overflowPunct w:val="0"/>
      <w:autoSpaceDE w:val="0"/>
      <w:spacing w:line="1" w:lineRule="atLeast"/>
      <w:ind w:leftChars="-1" w:rightChars="0" w:firstLineChars="-1"/>
      <w:textDirection w:val="btLr"/>
      <w:textAlignment w:val="baseline"/>
      <w:outlineLvl w:val="0"/>
    </w:pPr>
    <w:rPr>
      <w:rFonts w:ascii="Times New Roman" w:eastAsia="Times New Roman" w:hAnsi="Times New Roman"/>
      <w:w w:val="100"/>
      <w:position w:val="-1"/>
      <w:sz w:val="24"/>
      <w:effect w:val="none"/>
      <w:vertAlign w:val="baseline"/>
      <w:cs w:val="0"/>
      <w:em w:val="none"/>
      <w:lang w:bidi="ar-SA" w:eastAsia="zh-CN" w:val="cs-CZ"/>
    </w:rPr>
  </w:style>
  <w:style w:type="character" w:styleId="HlavičkaChar">
    <w:name w:val="Hlavička Char"/>
    <w:next w:val="HlavičkaChar"/>
    <w:autoRedefine w:val="0"/>
    <w:hidden w:val="0"/>
    <w:qFormat w:val="0"/>
    <w:rPr>
      <w:rFonts w:ascii="Times New Roman" w:eastAsia="Times New Roman" w:hAnsi="Times New Roman"/>
      <w:w w:val="100"/>
      <w:position w:val="-1"/>
      <w:sz w:val="24"/>
      <w:effect w:val="none"/>
      <w:vertAlign w:val="baseline"/>
      <w:cs w:val="0"/>
      <w:em w:val="none"/>
      <w:lang w:eastAsia="zh-CN" w:val="cs-CZ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header" Target="header2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-regular.ttf"/><Relationship Id="rId2" Type="http://schemas.openxmlformats.org/officeDocument/2006/relationships/font" Target="fonts/NotoSans-bold.ttf"/><Relationship Id="rId3" Type="http://schemas.openxmlformats.org/officeDocument/2006/relationships/font" Target="fonts/NotoSans-italic.ttf"/><Relationship Id="rId4" Type="http://schemas.openxmlformats.org/officeDocument/2006/relationships/font" Target="fonts/NotoSa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sTtVDmbqrzoNAK+O63yOPp+Mdw==">CgMxLjAyCGguZ2pkZ3hzMgloLjMwajB6bGw4AHIhMXgyWVlIckhKSm41OGNnUEZ6ei0yZjF2U0lOanc5cmMw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2020-09-21T08:20:00Z</dcterms:created>
  <dc:creator>kristian kopp</dc:creator>
</cp:coreProperties>
</file>