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36"/>
          <w:szCs w:val="36"/>
          <w:u w:val="none"/>
          <w:shd w:fill="auto" w:val="clear"/>
          <w:vertAlign w:val="baseline"/>
          <w:rtl w:val="0"/>
        </w:rPr>
        <w:t xml:space="preserve">ZMLUVA O NÁJME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36"/>
          <w:szCs w:val="36"/>
          <w:u w:val="none"/>
          <w:shd w:fill="auto" w:val="clear"/>
          <w:vertAlign w:val="baseline"/>
          <w:rtl w:val="0"/>
        </w:rPr>
        <w:t xml:space="preserve">RODINNÉHO DOMU</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uzavretá podľa  §663 a nasl. Občianskeho zákonníka v platnom znení (ďalej len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Zmluva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25401</wp:posOffset>
                </wp:positionH>
                <wp:positionV relativeFrom="paragraph">
                  <wp:posOffset>38100</wp:posOffset>
                </wp:positionV>
                <wp:extent cx="0" cy="12700"/>
                <wp:effectExtent b="0" l="0" r="0" t="0"/>
                <wp:wrapNone/>
                <wp:docPr id="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38100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Prenajímatelia: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2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Meno a priezvisko: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Rodné priezvisko: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Dátum narodenia: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Bytom: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Štátna príslušnosť: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Meno a priezvisko: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Rodné priezvisko: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Dátum narodenia: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Bytom: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Štátna príslušnosť: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5"/>
          <w:tab w:val="center" w:leader="none" w:pos="4536"/>
          <w:tab w:val="right" w:leader="none" w:pos="9072"/>
        </w:tabs>
        <w:spacing w:after="0" w:before="0" w:line="276" w:lineRule="auto"/>
        <w:ind w:left="0" w:right="0" w:hanging="2"/>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Bankové spojenie: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(ďalej len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„Prenajímatelia“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Nájomcovia: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Meno Priezvisko:</w:t>
        <w:tab/>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Bytom:</w:t>
        <w:tab/>
        <w:tab/>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Dátum narodenia:</w:t>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Rodné číslo:</w:t>
        <w:tab/>
        <w:tab/>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Číslo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OP:</w:t>
        <w:tab/>
        <w:tab/>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Mobil: </w:t>
        <w:tab/>
        <w:tab/>
        <w:tab/>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Mail: </w:t>
        <w:tab/>
        <w:tab/>
        <w:tab/>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Meno priezvisko:</w:t>
        <w:tab/>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Bytom:</w:t>
        <w:tab/>
        <w:tab/>
        <w:tab/>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Dátum narodenia:</w:t>
        <w:tab/>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Rodné číslo: </w:t>
        <w:tab/>
        <w:tab/>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Číslo OP:</w:t>
        <w:tab/>
        <w:tab/>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(ďalej len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„Nájomcovia“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tab/>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Prenajímatelia a Nájomcovia sa pre účely tejto zmluvy označujú spoločne aj ako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“Zmluvné strany"</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alebo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„Strany“</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Predmet zmluvy a predmet nájmu</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Prenajímatelia sú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podielovými spoluvlastníkmi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stavby - rodinného domu so súpisným číslom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5943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nachádzajúceho sa na ulici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Ľanová 43 v Bernolákove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na pozemku s parc. č.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2450/852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zapísanom na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LV č. </w:t>
      </w:r>
      <w:r w:rsidDel="00000000" w:rsidR="00000000" w:rsidRPr="00000000">
        <w:rPr>
          <w:sz w:val="22"/>
          <w:szCs w:val="22"/>
          <w:highlight w:val="yellow"/>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okres: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Senec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obec: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Bernolákovo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katastrálne územie: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Bernolákovo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pozemkov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CKN parc.č. 2450/194, 2450/195, 2450/433, 2450/852.</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tab/>
        <w:t xml:space="preserve">Predmetom nájmu je rodinný dom špecifikovaný v bode 1.1 tohto článku Zmluvy, spoločne s pozemkami zapísanými na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LV č. </w:t>
      </w:r>
      <w:r w:rsidDel="00000000" w:rsidR="00000000" w:rsidRPr="00000000">
        <w:rPr>
          <w:sz w:val="22"/>
          <w:szCs w:val="22"/>
          <w:highlight w:val="yellow"/>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vedený Okresným úradom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Senec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katastrálny odbor, okres: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Senec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obec: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Bernolákovo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katastrálne územie: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Bernolákovo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parc.č.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2450/194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2450/195, 2450/433, 2450/852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ktoré sú priľahlé k rodinnému domu a na ktorom rodinný dom stojí. (ďalej len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„Predmet nájmu“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tab/>
        <w:t xml:space="preserve">Predmetom Zmluvy je úprava práv a povinností Zmluvných strán v súvislosti so záväzkom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prenechať Nájomcom do dočasného odplatného užívania Predmet nájmu a súčasne so záväzkom Nájomcov Predmet nájmu užívať na dohodnutý účel a dohodnutým spôsobom a platiť za takéto užívanie Prenajímateľom nájomné a paušálnu </w:t>
      </w:r>
      <w:r w:rsidDel="00000000" w:rsidR="00000000" w:rsidRPr="00000000">
        <w:rPr>
          <w:sz w:val="22"/>
          <w:szCs w:val="22"/>
          <w:rtl w:val="0"/>
        </w:rPr>
        <w:t xml:space="preserve">náhradu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za služby, to všetko za podmienok dohodnutých touto Zmluvou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Prenajímatelia prehlasujú, že sú vlastníkmi rodinného domu a sú oprávnení dom prenajať.</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tab/>
        <w:t xml:space="preserve">Prenajímatelia prenechávajú dom do užívania Nájomcom aj spolu s vybavením a príslušenstvom domu, ktoré je bližšie špecifikované v Preberacom protokole, ktorý ako Príloha č. 1 je neoddeliteľnou súčasťou tejto zmluvy.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Prenajímatelia prenechávajú Predmet nájmu v stave spôsobilom na bývanie.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tab/>
        <w:t xml:space="preserve">Nájomcovia sa s technickým stavom Predmetu nájmu oboznámili a akceptujú ho.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Účel nájmu</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w:t>
        <w:tab/>
        <w:t xml:space="preserve">Nájomcovia sa zaväzujú užívať Predmet nájmu výlučne na účely bývania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Nájomcovia sú oprávnení užívať Predmet nájmu aj s príslušenstvom a jeho vybavením uvedenými v Preberacom protokole.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w:t>
        <w:tab/>
        <w:t xml:space="preserve">Nájomcovia nemajú bez predchádzajúceho písomného súhlasu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právo na zmenu účelu využitia Predmetu nájmu.</w:t>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III.</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Nájomné, zábezpeka a platobné podmienky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Zmluvné strany sa dohodli, že Nájomcovia sú povinní spoločne a nerozdielne uhrádzať nasledovné platby: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0"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nájomné</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za užívanie Predmetu nájmu vo výške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1200,- Eur (slovom: tisícdvesto Eur)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mesačne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0"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w:t>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zálohová</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úhradu za energie a služby,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ktorých poskytovanie je spojené s nájmom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dodávka tepla, dodávka  teplej a studenej vody, dodávka elektriny, vodné a stočné, odvoz komunálneho odpadu, internet a TV)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 výške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200,- Eur (slovom: dvesto Eur)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mesačne.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1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 výške nájomného je zohľadnená aj odplata za užívanie pozemku, na ktorom rodinný dom stojí.</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tab/>
        <w:t xml:space="preserve">Nájomné sa platí mesačne vopred, vždy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k 15. dňu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kalendárneho mesiaca predchádzajúceho mesiacu, na ktorý sa platené nájomné vzťahuje, a to prevodom na bankový účet Prenajímateľov, ktorý je uvedený v záhlaví tejto zmluvy.</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Ak je tento deň dňom pracovného pokoja alebo štátnym sviatkom, potom je nájomné splatné v prvý nasledujúci pracovný deň.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Nájomné vo výške 1 200,- EUR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za prvý kalendárny mesiac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(t.j. za 09/2023)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nájmu je splatné pri podpise tejto zmluvy a bude Nájomcami uhradené bezhotovostným prevodom na bankový účet Prenajímateľov, ktorý je uvedený v záhlaví tejto zmluvy.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w:t>
        <w:tab/>
        <w:t xml:space="preserve">Spolu s nájomným je splatná aj úhrada za služby, ktorých poskytovanie je spojené s nájmom (bod 3.1 písm. b) tohto článku Zmluvy.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w:t>
        <w:tab/>
        <w:t xml:space="preserve">Nájomcovia sa zaväzujú spoločne hradiť zálohovú úhradu za energie a služby, ktorých poskytovanie je spojené s nájmom v mesačnej sume spolu vo výške </w:t>
      </w: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200,- Eur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(slovom: dvesto eur)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Splatnosť je vždy k 15. dňu kalendárneho mesiaca predchádzajúceho mesiacu, na ktorý sa platené nájomné vzťahuje, a to bezhotovostným prevodom na bankový účet Prenajímateľov, ktorý je uvedený v záhlaví tejto zmluvy.</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predbežný rozpis nákladov: voda 27 eur, plyn 64 eur, elektri</w:t>
      </w:r>
      <w:r w:rsidDel="00000000" w:rsidR="00000000" w:rsidRPr="00000000">
        <w:rPr>
          <w:sz w:val="22"/>
          <w:szCs w:val="22"/>
          <w:highlight w:val="yellow"/>
          <w:rtl w:val="0"/>
        </w:rPr>
        <w:t xml:space="preserve">n</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a 66 eur, TV a internet 13 eur a </w:t>
      </w:r>
      <w:r w:rsidDel="00000000" w:rsidR="00000000" w:rsidRPr="00000000">
        <w:rPr>
          <w:sz w:val="22"/>
          <w:szCs w:val="22"/>
          <w:highlight w:val="yellow"/>
          <w:rtl w:val="0"/>
        </w:rPr>
        <w:t xml:space="preserve">odpad</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 14 eur.)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w:t>
        <w:tab/>
        <w:t xml:space="preserve">Zmluvné strany sa dohodli, že vyrovnanie prípadných nedoplatkov alebo preplatkov úhrad za služby, ktorých poskytovanie je spojené s nájmom podľa skutočne spotreby vykonajú Zmluvné strany na základe vyúčtovaní 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zúčtovacích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faktúr od dodávateľov jednotlivých služieb, ktoré sú Prenajímatelia povinní Nájomcom predložiť najneskôr do 30 dní po doručení vyúčtovania jednotlivými dodávateľmi služieb. Zmluvné strany na základe vyúčtovania služieb – energií vykonajú vzájomné vysporiadanie preplatku alebo úhradu nedoplatku za dodané energie a služby spojené s nájmom v lehote splatnosti do 10 dní odo dňa doručenia vyúčtovania zo strany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w:t>
        <w:tab/>
        <w:t xml:space="preserve">Zmluvné strany sa dohodli na peňažnej zábezpeke vo výške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2.500,-Eur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 (slovom: dvetisícpäťsto eur)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ktorá bude uhradená Nájomcami bezhotovostným prevodom na bankový účet Prenajímateľov, ktorý je uvedený v záhlaví tejto zmluvy pri podpise tejto Zmluvy. Z poskytnutej zábezpeky sa po skončení nájmu uhradia prípadné škody na Predmete nájmu, jeho príslušenstve a vybavení zavinené Nájomcami alebo osobami, ktoré s ním Predmet nájmu užívali. Pre tento prípad Nájomcovia týmto udeľujú Prenajímateľom súhlas na vykonanie zápočtu nároku Nájomcov na vrátenie zábezpeky s nárokom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na úhradu škody a tiež na nedoplatku na nájomnom a nedoplatku na úhradách za služby, ktorých poskytovanie je spojené s nájmom. Ak nenastane žiadna okolnosť, ktorá by oprávňovala Prenajímateľov započítať v celku alebo čiastočne svoje nároky podľa tejto zmluvy do nároku Nájomcov na vrátenie zábezpeky, sú Prenajímatelia spoločne a nerozdielne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povinní</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Nájomcom zábezpeku vrátiť, a to najneskôr v lehote do 5 dní od protokolárneho odovzdania Predmetu nájmu Prenajímateľom.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3.8</w:t>
        <w:tab/>
        <w:t xml:space="preserve">Pri dlhodobom nájme, t.j. nájme trvajúcom dlhšie ako jeden rok, majú Prenajímatelia právo upraviť výšku nájomného úmerne k zvýšeniu ročnej miery inflácie určenej harmonizovaným indexom spotrebiteľských cien zverejneným Štatistickým úradom Slovenskej republiky. O zvýšení nájomného sú Prenajímatelia povinní písomne informovať Nájomcov v lehote minimálne jeden mesiac predtým, ako dôjde k úprave nájomného.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3.19</w:t>
        <w:tab/>
        <w:t xml:space="preserve">Nájomcovia nemajú právo započítať svoje pohľadávky alebo nároky voči Prenajímateľom proti pohľadávkam alebo nárokom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voči Nájomcom vzniknutým na základe Zmluvy, alebo zadržiavať a neplatiť nájomné alebo akékoľvek iné platby (ich časť) podľa Zmluvy z dôvodu akýchkoľvek nárokov alebo pohľadávok Nájomcov voči Prenajímateľom.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IV.</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Doba nájmu</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Zmluvné strany sa dohodli, že Zmluva sa uzatvára na dobu určitú, a to </w:t>
      </w:r>
      <w:r w:rsidDel="00000000" w:rsidR="00000000" w:rsidRPr="00000000">
        <w:rPr>
          <w:rFonts w:ascii="Times New Roman" w:cs="Times New Roman" w:eastAsia="Times New Roman" w:hAnsi="Times New Roman"/>
          <w:b w:val="1"/>
          <w:i w:val="0"/>
          <w:smallCaps w:val="0"/>
          <w:strike w:val="0"/>
          <w:color w:val="000000"/>
          <w:sz w:val="22"/>
          <w:szCs w:val="22"/>
          <w:highlight w:val="yellow"/>
          <w:u w:val="none"/>
          <w:vertAlign w:val="baseline"/>
          <w:rtl w:val="0"/>
        </w:rPr>
        <w:t xml:space="preserve">od 1.9.2023 do 30.8.2024.</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Nájomcovia má prednostné právo na predĺženie doby nájmu. Predĺženie nájomného vzťahu je predmetom samostatného dodatku k tejto Zmluve alebo bude predmetom samostatnej zmluvy.</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 prípade záujmu Nájomcov o predĺženie doby nájmu oznámi túto skutočnosť Prenajímateľom písomne najmenej 2 mesiace pred uplynutím doby nájmu podľa bodu 4.1 tejto Zmluvy. Pri uzavretí novej nájomnej zmluvy, resp. dodatku o predĺžení nájmu, nie sú Prenajímatelia viazaní sumou nájomného ani sumou úhrad za služby, ktorých poskytovanie je spojené s nájmom podľa bodu 3.1 tejto Zmluvy.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 </w:t>
      </w:r>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Práva a povinnosti Prenajímateľov</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Prenajímatelia sú povinní odovzdať Nájomcom Predmet nájmu v stave spôsobilom na riadne </w:t>
        <w:tab/>
        <w:t xml:space="preserve">užívanie, a to najneskôr v deň začiatku nájmu a v tomto stave ho udržiavať počas celej doby trvania tejto zmluvy. Stav Predmetu nájmu pri odovzdaní nájomcom je uvedený v Preberacom protokole.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w:t>
        <w:tab/>
        <w:t xml:space="preserve">Prenajímatelia sú povinní zabezpečiť Nájomcom plný a nerušený výkon práv spojených s užívaním Predmetu nájmu.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w:t>
        <w:tab/>
        <w:t xml:space="preserve">Prenajímatelia sa zaväzujú, že stavebné úpravy a iné podstatné zmeny v Predmete nájmu budú vykonávať iba so súhlasom Nájomcov. Tento súhlas môžu Nájomcovia odoprieť iba z vážnych dôvodov. Ak takéto úpravy budú Prenajímatelia povinní vykonať na príkaz príslušného orgánu štátnej správy, Nájomcovia sú povinní ich vykonanie umožniť; inak zodpovedajú za škodu, ktorá nesplnením tejto povinnosti vznikla.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w:t>
        <w:tab/>
        <w:t xml:space="preserve">Prenajímatelia, resp. osoby nimi poverené majú právo vstúpiť do Predmetu nájmu za účelom vykonania kontroly jeho užívania. Vstup musí byť Nájomcom vopred oznámený a je možný iba v prítomnosti Nájomcov, príp. osoby, ktorá s nimi Predmet nájmu užíva. Inak môžu Prenajímatelia vstúpiť do Predmetu nájmu iba v naliehavých prípadoch, kedy môže byť ohrozený majetok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alebo život osôb užívajúcich Predmet nájmu. Nájomcovia sú povinní umožniť Prenajímateľom, resp. osobám nimi poverenými vstup do Predmetu nájmu najneskôr do 3 dní od vyzvania.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w:t>
        <w:tab/>
        <w:t xml:space="preserve">Prenajímatelia sú povinní opraviť alebo odstrániť v primeranej dobe závady alebo nedostatky vzniknuté v Predmete nájmu alebo na jeho vybavení, ktoré vznikli bez zavinenia Nájomcov a ktoré Nájomcom bránia riadne užívať Predmet nájmu alebo ktorými je výkon nájomného práva ohrozený. V prípade nesplnenia tejto povinnosti Prenajímateľov môžu Nájomcovia odstrániť tieto závady alebo nedostatky v nevyhnutnej miere sami, po predchádzajúcom písomnom upozornení Prenajímateľov, pričom sú oprávnení od Prenajímateľov požadovať náhradu účelne vynaložených nákladov. Právo na náhradu musia Nájomcovia uplatniť u Prenajímateľov bez zbytočného odkladu, najneskôr do 6 mesiacov od odstránenia závad, inak toto právo zanikne.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5.6</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Prenajímatelia nie sú povinní po skončení nájomnej zmluvy zabezpečiť Nájomcom náhradný rodinný dom, byt, náhradné ubytovanie ani náhradný nájom/podnájom.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5.7</w:t>
        <w:tab/>
        <w:t xml:space="preserve">Prenajímatelia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nezodpovedajú</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za škody spôsobené na majetku Nájomcov, ktoré sú hradené z poistenia Nájomcov.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5.8</w:t>
        <w:tab/>
        <w:t xml:space="preserve">Ak sa Nájomcovia nepostarajú o včasné vykonanie drobných opráv a bežnej údržby Predmetu nájmu, majú Prenajímatelia právo tak urobiť po predchádzajúcom upozornení Nájomcov na svoje náklady a požadovať od Nájomcov náhradu.</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Práva a povinnosti Nájomcov</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Nájomcovia majú právo užívať Predmet nájmu spolu s dvomi svojimi deťmi, ako aj služby, ktorých poskytovanie je spojené s nájmom. Iná osoba ako Nájomcovia má právo užívať byt iba s predchádzajúcim písomným súhlasom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pokiaľ táto osoba nie je uvedená v Zozname osôb oprávnených užívať Predmet nájmu, ktorý ako Príloha č. 2 je neoddeliteľnou súčasťou tejto Zmluvy.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Nájomcovia môžu v Predmete nájmu držať alebo chovať domáce zviera - tri mačky, pričom Nájomcovia spoločne a nerozdielne zodpovedajú Prenajímateľom za všetky škody na Predmete nájmu spôsobené ich domáci zvieratami – mačkami a sú povinní tieto vzniknuté škody odstrániť ihneď t.j. do 48 hodín od ich vzniku. V interiéroch rodinného domu je zakázané fajčiť.</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w:t>
        <w:tab/>
        <w:t xml:space="preserve">Nájomcovia sú povinní platiť nájomné podľa bodu 3.1 a 3.2 tejto zmluvy a mesačnú zálohovú úhradu za energie a služby spojené s nájmom, a to v lehote ich splatnosti podľa tejto Zmluvy. Nájomcovia sú tiež povinní vyrovnať prípadné nedoplatky na úhradách za služby, ktorých poskytovanie je spojené s Predmetom nájmu podľa bodu 3.6 tejto Zmluvy.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w:t>
        <w:tab/>
        <w:t xml:space="preserve">Nájomcovi sa zaväzujú uhradiť náklady spôsobené neprimeraným opotrebovaním Predmetu nájmu.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w:t>
        <w:tab/>
        <w:tab/>
        <w:t xml:space="preserve">Nájomcovia smú dať Predmet nájmu alebo jeho časť do podnájmu iba s predchádzajúcim písomným súhlasom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w:t>
        <w:tab/>
        <w:t xml:space="preserve">Nájomcovia znášajú všetky náklady spojené s bežnou údržbou Predmetu nájmu a drobné opravy súvisiace s jeho užívaním. Ostatné náklady spojené s opravami Predmetu nájmu znášajú Prenajímatelia. Nájomcovia sú povinní Prenajímateľom bez zbytočného odkladu oznámiť potrebu tých opráv, ktoré  znášajú Prenajímatelia a umožniť im ich vykonanie, inak zodpovedajú za škodu, ktorá nesplnením tejto povinnosti vznikla.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6.6</w:t>
        <w:tab/>
        <w:t xml:space="preserve">Nájomcovia sú povinní odstrániť závady a poškodenia, ktoré spôsobili v dome sami alebo tí, ktorí s nimi bývajú, príp. iným spôsobom užívajú. Ak sa tak nestane, majú Prenajímatelia právo po predchádzajúcom upozornení Nájomcov závady a poškodenia odstrániť a požadovať od Nájomcov úhradu. Nájomcovia tiež zodpovedajú za konanie osôb, ktoré s nimi Predmet nájmu obývajú alebo ho iným spôsobom užívajú.</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6.7</w:t>
        <w:tab/>
        <w:t xml:space="preserve">Nájomcovia nesmú vykonávať stavebné úpravy ani inú podstatnú zmenu v Predmete nájmu bez písomného súhlasu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to ani na svoje náklady. Súhlas Prenajímateľov musí byť daný vopred, a to v písomnej forme.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6.8</w:t>
        <w:tab/>
        <w:t xml:space="preserve">Nájomcovia sú povinní odovzdať Predmet nájmu po skončení nájmu v stave, v akom ho prevzali, s ohľadom na obvyklé opotrebenie a zaväzujú sa spoločne a nerozdielne uhradiť náklady spôsobené neprimeraným opotrebovaním Predmetu nájmu.</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6.9</w:t>
        <w:tab/>
        <w:t xml:space="preserve">Nájomcovia sa zaväzujú Predmet nájmu užívať riadne tak, aby neznečisťoval a nepoškodzoval Predmet nájmu a jeho blízke okolie a dbal o jeho udržiavanie s náležitou starostlivosťou.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6.10</w:t>
        <w:tab/>
        <w:t xml:space="preserve">Nájomcovia sú oprávnený so súhlasom Prenajímateľov nechať si v Predmete nájmu zriadiť, príp. aktivovať prípojku verejnej telefónnej siete ako aj prípojku káblového televízneho rozvodu. Náklady spojené so zriadením prípojky, resp. aktiváciou znášajú Nájomcovia.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6.11</w:t>
        <w:tab/>
        <w:t xml:space="preserve">Nájomcovia sú povinní nahradiť škodu, ktorú spôsobili porušením svojich povinností podľa tejto Zmluvy, resp. podľa ustanovení všeobecne záväzných právnych predpisov. Nájomcovia zároveň súhlasia s tým, aby sa nárok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na náhradu škody započítal na ich nárokom na vrátenie zábezpeky podľa bodu 3.7 tejto zmluvy.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6.12</w:t>
        <w:tab/>
        <w:t xml:space="preserve">Nájomcovia sú povinní poistiť si osobné veci a vlastné zariadenie umiestnené v Predmete nájmu, ak to uznajú za potrebné vrátane poistenia škody spôsobeného domácimi zvieratami Nájomcov. Prenajímatelia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nezodpovedajú</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Nájomcom za stratu alebo krádež ich vecí vnesených do Predmetu nájmu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6.13</w:t>
        <w:tab/>
        <w:tab/>
        <w:t xml:space="preserve">Nájomcovia majú právo na primeranú zľavu z nájomného, dokiaľ Prenajímatelia napriek ich upozorneniu neodstránia v Predmete nájmu závadu, ktorá podstatne alebo po dlhší čas zhoršuje jeho užívanie. Právo na primeranú zľavu z nájomného majú Nájomcovia aj vtedy, ak sa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neposkytovali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služby, ktorých poskytovanie je spojené s nájmom alebo sa poskytovali vadne, a ak sa v dôsledku toho užívanie Predmetu nájmu zhoršilo alebo ak sa v dôsledku stavebných úprav v dome podstatne alebo po dlhší čas zhoršia podmienky užívania Predmetu nájmu.</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6.14</w:t>
        <w:tab/>
        <w:t xml:space="preserve">Nájomcovia majú právo na primeranú zľavu z úhrady za služby, ktorých poskytovanie je spojené s nájmom, pokiaľ ich Prenajímatelia riadne a včas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neposkytujú</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05" w:right="0" w:hanging="70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6.15</w:t>
        <w:tab/>
        <w:tab/>
        <w:t xml:space="preserve">Právo na zľavu z nájomného alebo z úhrady za služby, ktorých poskytovanie je spojené s nájmom podľa bodov 6.13 a 6.14 tejto Zmluvy treba uplatniť u Prenajímateľov bez zbytočného odkladu, a to najneskôr do 6 mesiacov od odstránenia závad, inak toto právo zanikne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VII.</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Skončenie nájmu</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w:t>
        <w:tab/>
        <w:t xml:space="preserve">Prenajímatelia a Nájomcovia môžu túto Zmluvu písomne vypovedať pred skončením doby nájmu podľa bodu 4.1 tejto Zmluvy.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w:t>
        <w:tab/>
        <w:t xml:space="preserve">Výpovedná lehota je dvojmesačná a začína plynúť od prvého dňa mesiaca nasledujúceho po doručení písomnej výpovede druhej Zmluvnej strane.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w:t>
        <w:tab/>
        <w:t xml:space="preserve">Nájom tiež zaniká:</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429.0000000000000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uplynutím doby nájmu</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429.0000000000000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písomnou dohodou Zmluvných strán;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429.0000000000000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zánikom Predmetu nájmu;</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w:t>
        <w:tab/>
        <w:t xml:space="preserve">Zmluvné strany môžu od tejto Zmluvy odstúpiť v prípade hrubého porušenia povinností druhej Zmluvnej strany. Za hrubé porušenie povinností sa považuje na strane Prenajímateľov nemožnosť prenechania Predmetu nájmu do užívania na dohodnutý účel po dobu dlhšiu ako tridsať dní a na strane Nájomcov omeškanie s úhradou akejkoľvek platby podľa tejto Zmluvy po dobu dlhšiu ako tridsať dní alebo porušenie ktorejkoľvek z povinností nájomcu uvedenej v článku VI. tejto Zmluvy. Odstúpenie je účinné dňom doručenia písomného oznámenia o odstúpení druhej Zmluvnej strane neúhradenia.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w:t>
        <w:tab/>
        <w:t xml:space="preserve">Nájomcovia sú povinní na vlastné náklady do dňa skončenia nájmu a v prípade odstúpenia od tejto Zmluvy najneskôr v lehote do 10 dní od nástupu účinkov tohto odstúpenia:</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vypratať Predmet nájmu - odstrániť z Predmetu nájmu akýkoľvek hmotný majetok Nájomcov;</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w:t>
        <w:tab/>
        <w:t xml:space="preserve">odborným spôsobom opraviť a odstrániť akékoľvek škody na Predmete nájmu spôsobené Nájomcami tak, aby Predmet nájmu v deň skončenia nájmu zodpovedal stavu (s prihliadnutím na bežné opotrebenie) pri odovzdaní Predmetu nájmu do užívania Nájomcom.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w:t>
        <w:tab/>
        <w:t xml:space="preserve">Vrátenie Predmetu nájmu sa považuje za riadne vykonané iba v tom prípade, ak Nájomcovia vrátia všetky kľúče od Predmetu nájmu a obe Zmluvné strany podpísali písomný protokol, v opačnom sa zaväzujú Nájomcovia uhradiť Prenajímateľovi zmluvnú pokutu vo výške  </w:t>
      </w:r>
      <w:r w:rsidDel="00000000" w:rsidR="00000000" w:rsidRPr="00000000">
        <w:rPr>
          <w:rFonts w:ascii="Times New Roman" w:cs="Times New Roman" w:eastAsia="Times New Roman" w:hAnsi="Times New Roman"/>
          <w:b w:val="0"/>
          <w:i w:val="0"/>
          <w:smallCaps w:val="0"/>
          <w:strike w:val="0"/>
          <w:color w:val="000000"/>
          <w:sz w:val="22"/>
          <w:szCs w:val="22"/>
          <w:highlight w:val="yellow"/>
          <w:u w:val="none"/>
          <w:vertAlign w:val="baseline"/>
          <w:rtl w:val="0"/>
        </w:rPr>
        <w:t xml:space="preserve">100,- EUR (slovom: sto Eur)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za každý deň omeškania s odovzdaním Predmetu nájmu.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VIII.</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Poistenie a zodpovednosť za škodu</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Poistenie Predmetu nájmu zabezpečujú Prenajímatelia na vlastné náklady.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w:t>
        <w:tab/>
        <w:t xml:space="preserve">Nájomcovia si podľa vlastného rozhodnutia poisťuje svoj hnuteľný majetok nachádzajúci sa v Predmete nájmu. Na majetok Nájomcov umiestnený v Predmete nájmu sa nevzťahuje poistná zmluva, ktorou je poistený majetok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Prenajímateľov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w:t>
        <w:tab/>
        <w:t xml:space="preserve">Zmluvné strany sa zaväzujú chrániť majetok druhej Zmluvnej strany pred poškodením alebo zničením.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w:t>
        <w:tab/>
        <w:t xml:space="preserve">V prípade vzniku poistnej udalosti sú Nájomcovia povinní bez meškania upovedomiť o tomto Prenajímateľov.</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IX.</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Záverečné ustanovenia</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Táto Zmluva v plnom rozsahu nahrádza všetky predchádzajúce ústne a písomné dohody a zmluvy uzavreté medzi Prenajímateľmi a Nájomcami. Právne vzťahy medzi Nájomcami a Prenajímateľmi vyplývajúce zo Zmluvy sa riadia Občianskym zákonníkom a právnymi normami platnými na území Slovenskej republiky.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w:t>
        <w:tab/>
        <w:t xml:space="preserve">V prípade akéhokoľvek nedorozumenia, spory alebo sporné nároky sa obe Zmluvné strany zaväzujú riešiť prednostne cestou vzájomnej dohody. Ak zmierlivé riešenie sporu nebude možné, bude v spore rozhodovať vecne a miestne príslušný súd Slovenskej republiky.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9.3</w:t>
        <w:tab/>
        <w:t xml:space="preserve">Všetky zmeny, dodatky a doplnenia tejto Zmluvy sa uskutočnia písomne na základe súhlasného prejavu oboch Zmluvných strán potvrdeného formou písomného dodatku k Zmluve podpísaného oboma Zmluvnými stranami.</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9.4</w:t>
        <w:tab/>
        <w:t xml:space="preserve">Ak sa preukáže, že niektoré z ustanovení Zmluvy (alebo jeho časť) je neplatné a/alebo neúčinné, takáto neplatnosť a/alebo neúčinnosť nemá za následok neplatnosť a/alebo neúčinnosť ďalších ustanovení Zmluvy (alebo zostávajúcej časti dotknutého ustanovenia), alebo samotnej Zmluvy. V takomto prípade sa obe Zmluvné strany zaväzujú bez zbytočného odkladu nahradiť takéto ustanovenie (jeho časť) novým tak, aby bol zachovaný účel, sledovaný uzavretím Zmluvy a dotknutým ustanovením.</w:t>
      </w:r>
      <w:r w:rsidDel="00000000" w:rsidR="00000000" w:rsidRPr="00000000">
        <w:rPr>
          <w:rFonts w:ascii="Times New Roman" w:cs="Times New Roman" w:eastAsia="Times New Roman" w:hAnsi="Times New Roman"/>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9.5</w:t>
        <w:tab/>
        <w:t xml:space="preserve">Doručovanie pre účely Zmluvy sa vykonáva a považuje za platne a účinne vykonané vtedy, ak sa doručuje na poslednú známu adresu sídla Zmluvnej strany, ktorá bola ako posledná známa adresa sídla touto Zmluvnou stranou písomne oznámená. Obe Zmluvné strany sa zaväzujú vzájomne si písomne oznamovať zmenu adresy sídla bez zbytočného odkladu. Písomnosti sa považujú za doručené dňom ich prevzatia druhou Zmluvnou stranou (príjemcom). Písomnosti sa považujú za riadne (platne a účinne) doručené aj dňom odmietnutia prevzatia písomnosti alebo dňom vrátenia zásielky odosielateľovi z dôvodu neprevzatia príjemcom v stanovenej odbernej lehote.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9.6</w:t>
        <w:tab/>
        <w:t xml:space="preserve">Táto Zmluva nadobúda platnosť a účinnosť dňom jej podpísania oboma Zmluvnými stranami.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9.7</w:t>
        <w:tab/>
        <w:t xml:space="preserve">Zmluva je vyhotovená v štyroch rovnopisoch, z ktorých každá Zmluvná strana obdrží dva rovnopisy.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9.8</w:t>
        <w:tab/>
        <w:t xml:space="preserve">Zmluvné strany prehlasujú, že si zmluvu pred podpísaním pozorne prečítali a obsahu zmluvy porozumeli, že zmluva bola uzavretá na základe ich slobodnej a vážnej vôle, nebola uzavretá v tiesni a za nápadne nevýhodných podmienok a na znak súhlasu ju podpisujú.</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....................dňa ...................</w:t>
        <w:tab/>
        <w:tab/>
        <w:tab/>
        <w:tab/>
        <w:t xml:space="preserve">V ....................dňa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bookmarkStart w:colFirst="0" w:colLast="0" w:name="_heading=h.1fob9te" w:id="2"/>
      <w:bookmarkEnd w:id="2"/>
      <w:r w:rsidDel="00000000" w:rsidR="00000000" w:rsidRPr="00000000">
        <w:rPr>
          <w:rtl w:val="0"/>
        </w:rPr>
      </w:r>
    </w:p>
    <w:tbl>
      <w:tblPr>
        <w:tblStyle w:val="Table1"/>
        <w:tblW w:w="9212.0" w:type="dxa"/>
        <w:jc w:val="center"/>
        <w:tblLayout w:type="fixed"/>
        <w:tblLook w:val="0000"/>
      </w:tblPr>
      <w:tblGrid>
        <w:gridCol w:w="3110"/>
        <w:gridCol w:w="2882"/>
        <w:gridCol w:w="3220"/>
        <w:tblGridChange w:id="0">
          <w:tblGrid>
            <w:gridCol w:w="3110"/>
            <w:gridCol w:w="2882"/>
            <w:gridCol w:w="3220"/>
          </w:tblGrid>
        </w:tblGridChange>
      </w:tblGrid>
      <w:tr>
        <w:trPr>
          <w:cantSplit w:val="1"/>
          <w:tblHeader w:val="0"/>
        </w:trPr>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vMerge w:val="restart"/>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r>
      <w:tr>
        <w:trPr>
          <w:cantSplit w:val="1"/>
          <w:tblHeader w:val="0"/>
        </w:trPr>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Prenajímatelia</w:t>
            </w:r>
          </w:p>
        </w:tc>
        <w:tc>
          <w:tcPr>
            <w:vMerge w:val="continue"/>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Nájomca</w:t>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83" w:right="0" w:hanging="5983"/>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83" w:right="0" w:hanging="5983"/>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83" w:right="0" w:hanging="5983"/>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83" w:right="0" w:hanging="5983"/>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83" w:right="0" w:hanging="5983"/>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2"/>
        <w:tblpPr w:leftFromText="141" w:rightFromText="141" w:topFromText="0" w:bottomFromText="0" w:vertAnchor="text" w:horzAnchor="text" w:tblpX="5851.999999999998" w:tblpY="0"/>
        <w:tblW w:w="3220.0" w:type="dxa"/>
        <w:jc w:val="left"/>
        <w:tblInd w:w="-70.0" w:type="dxa"/>
        <w:tblLayout w:type="fixed"/>
        <w:tblLook w:val="0000"/>
      </w:tblPr>
      <w:tblGrid>
        <w:gridCol w:w="3220"/>
        <w:tblGridChange w:id="0">
          <w:tblGrid>
            <w:gridCol w:w="3220"/>
          </w:tblGrid>
        </w:tblGridChange>
      </w:tblGrid>
      <w:tr>
        <w:trPr>
          <w:cantSplit w:val="1"/>
          <w:tblHeader w:val="0"/>
        </w:trPr>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r>
      <w:tr>
        <w:trPr>
          <w:cantSplit w:val="1"/>
          <w:tblHeader w:val="0"/>
        </w:trPr>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83" w:right="0" w:hanging="5983"/>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83" w:right="0" w:hanging="5983"/>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Prílohy:</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Príloha č. 1:</w:t>
        <w:tab/>
        <w:t xml:space="preserve">Preberací protokol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5" w:right="0" w:hanging="705"/>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Príloha č. 2:</w:t>
        <w:tab/>
        <w:t xml:space="preserve">Zoznam osôb oprávnených užívať Predmet nájmu</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footerReference r:id="rId8" w:type="default"/>
      <w:footerReference r:id="rId9" w:type="even"/>
      <w:pgSz w:h="16838" w:w="11906" w:orient="portrait"/>
      <w:pgMar w:bottom="1417" w:top="899"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7f7f7f"/>
        <w:sz w:val="20"/>
        <w:szCs w:val="20"/>
        <w:u w:val="none"/>
        <w:shd w:fill="auto" w:val="clear"/>
        <w:vertAlign w:val="baseline"/>
        <w:rtl w:val="0"/>
      </w:rPr>
      <w:t xml:space="preserve">Strana</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i w:val="0"/>
        <w:smallCaps w:val="0"/>
        <w:strike w:val="0"/>
        <w:color w:val="808080"/>
        <w:sz w:val="14"/>
        <w:szCs w:val="1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808080"/>
        <w:sz w:val="14"/>
        <w:szCs w:val="14"/>
        <w:u w:val="none"/>
        <w:shd w:fill="auto" w:val="clear"/>
        <w:vertAlign w:val="baseline"/>
        <w:rtl w:val="0"/>
      </w:rPr>
      <w:t xml:space="preserve">Zmluva o nájme rodinného domu </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2">
    <w:lvl w:ilvl="0">
      <w:start w:val="1"/>
      <w:numFmt w:val="lowerLetter"/>
      <w:lvlText w:val="%1)"/>
      <w:lvlJc w:val="left"/>
      <w:pPr>
        <w:ind w:left="2064" w:hanging="360"/>
      </w:pPr>
      <w:rPr>
        <w:vertAlign w:val="baseline"/>
      </w:rPr>
    </w:lvl>
    <w:lvl w:ilvl="1">
      <w:start w:val="1"/>
      <w:numFmt w:val="lowerLetter"/>
      <w:lvlText w:val="%2."/>
      <w:lvlJc w:val="left"/>
      <w:pPr>
        <w:ind w:left="2784" w:hanging="360"/>
      </w:pPr>
      <w:rPr>
        <w:vertAlign w:val="baseline"/>
      </w:rPr>
    </w:lvl>
    <w:lvl w:ilvl="2">
      <w:start w:val="1"/>
      <w:numFmt w:val="lowerRoman"/>
      <w:lvlText w:val="%3."/>
      <w:lvlJc w:val="right"/>
      <w:pPr>
        <w:ind w:left="3504" w:hanging="180"/>
      </w:pPr>
      <w:rPr>
        <w:vertAlign w:val="baseline"/>
      </w:rPr>
    </w:lvl>
    <w:lvl w:ilvl="3">
      <w:start w:val="1"/>
      <w:numFmt w:val="decimal"/>
      <w:lvlText w:val="%4."/>
      <w:lvlJc w:val="left"/>
      <w:pPr>
        <w:ind w:left="4224" w:hanging="360"/>
      </w:pPr>
      <w:rPr>
        <w:vertAlign w:val="baseline"/>
      </w:rPr>
    </w:lvl>
    <w:lvl w:ilvl="4">
      <w:start w:val="1"/>
      <w:numFmt w:val="lowerLetter"/>
      <w:lvlText w:val="%5."/>
      <w:lvlJc w:val="left"/>
      <w:pPr>
        <w:ind w:left="4944" w:hanging="360"/>
      </w:pPr>
      <w:rPr>
        <w:vertAlign w:val="baseline"/>
      </w:rPr>
    </w:lvl>
    <w:lvl w:ilvl="5">
      <w:start w:val="1"/>
      <w:numFmt w:val="lowerRoman"/>
      <w:lvlText w:val="%6."/>
      <w:lvlJc w:val="right"/>
      <w:pPr>
        <w:ind w:left="5664" w:hanging="180"/>
      </w:pPr>
      <w:rPr>
        <w:vertAlign w:val="baseline"/>
      </w:rPr>
    </w:lvl>
    <w:lvl w:ilvl="6">
      <w:start w:val="1"/>
      <w:numFmt w:val="decimal"/>
      <w:lvlText w:val="%7."/>
      <w:lvlJc w:val="left"/>
      <w:pPr>
        <w:ind w:left="6384" w:hanging="360"/>
      </w:pPr>
      <w:rPr>
        <w:vertAlign w:val="baseline"/>
      </w:rPr>
    </w:lvl>
    <w:lvl w:ilvl="7">
      <w:start w:val="1"/>
      <w:numFmt w:val="lowerLetter"/>
      <w:lvlText w:val="%8."/>
      <w:lvlJc w:val="left"/>
      <w:pPr>
        <w:ind w:left="7104" w:hanging="360"/>
      </w:pPr>
      <w:rPr>
        <w:vertAlign w:val="baseline"/>
      </w:rPr>
    </w:lvl>
    <w:lvl w:ilvl="8">
      <w:start w:val="1"/>
      <w:numFmt w:val="lowerRoman"/>
      <w:lvlText w:val="%9."/>
      <w:lvlJc w:val="right"/>
      <w:pPr>
        <w:ind w:left="7824"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sk-SK"/>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álny">
    <w:name w:val="Normálny"/>
    <w:next w:val="Normáln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sk-SK" w:val="sk-SK"/>
    </w:rPr>
  </w:style>
  <w:style w:type="paragraph" w:styleId="Nadpis1">
    <w:name w:val="Nadpis 1"/>
    <w:basedOn w:val="Normálny"/>
    <w:next w:val="Normálny"/>
    <w:autoRedefine w:val="0"/>
    <w:hidden w:val="0"/>
    <w:qFormat w:val="0"/>
    <w:pPr>
      <w:keepNext w:val="1"/>
      <w:suppressAutoHyphens w:val="1"/>
      <w:spacing w:line="1" w:lineRule="atLeast"/>
      <w:ind w:leftChars="-1" w:rightChars="0" w:firstLineChars="-1"/>
      <w:jc w:val="center"/>
      <w:textDirection w:val="btLr"/>
      <w:textAlignment w:val="top"/>
      <w:outlineLvl w:val="0"/>
    </w:pPr>
    <w:rPr>
      <w:b w:val="1"/>
      <w:i w:val="1"/>
      <w:w w:val="100"/>
      <w:position w:val="-1"/>
      <w:sz w:val="24"/>
      <w:effect w:val="none"/>
      <w:vertAlign w:val="baseline"/>
      <w:cs w:val="0"/>
      <w:em w:val="none"/>
      <w:lang w:bidi="ar-SA" w:eastAsia="sk-SK" w:val="sk-SK"/>
    </w:rPr>
  </w:style>
  <w:style w:type="paragraph" w:styleId="Nadpis2">
    <w:name w:val="Nadpis 2"/>
    <w:basedOn w:val="Normálny"/>
    <w:next w:val="Normálny"/>
    <w:autoRedefine w:val="0"/>
    <w:hidden w:val="0"/>
    <w:qFormat w:val="0"/>
    <w:pPr>
      <w:keepNext w:val="1"/>
      <w:suppressAutoHyphens w:val="1"/>
      <w:spacing w:line="1" w:lineRule="atLeast"/>
      <w:ind w:leftChars="-1" w:rightChars="0" w:firstLineChars="-1"/>
      <w:jc w:val="both"/>
      <w:textDirection w:val="btLr"/>
      <w:textAlignment w:val="top"/>
      <w:outlineLvl w:val="1"/>
    </w:pPr>
    <w:rPr>
      <w:b w:val="1"/>
      <w:i w:val="1"/>
      <w:w w:val="100"/>
      <w:position w:val="-1"/>
      <w:sz w:val="24"/>
      <w:effect w:val="none"/>
      <w:vertAlign w:val="baseline"/>
      <w:cs w:val="0"/>
      <w:em w:val="none"/>
      <w:lang w:bidi="ar-SA" w:eastAsia="sk-SK" w:val="sk-SK"/>
    </w:rPr>
  </w:style>
  <w:style w:type="character" w:styleId="Predvolenépísmoodseku">
    <w:name w:val="Predvolené písmo odseku"/>
    <w:next w:val="Predvolenépísmoodseku"/>
    <w:autoRedefine w:val="0"/>
    <w:hidden w:val="0"/>
    <w:qFormat w:val="0"/>
    <w:rPr>
      <w:w w:val="100"/>
      <w:position w:val="-1"/>
      <w:effect w:val="none"/>
      <w:vertAlign w:val="baseline"/>
      <w:cs w:val="0"/>
      <w:em w:val="none"/>
      <w:lang/>
    </w:rPr>
  </w:style>
  <w:style w:type="table" w:styleId="Normálnatabuľka">
    <w:name w:val="Normálna tabuľka"/>
    <w:next w:val="Normálnatabuľk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Bezzoznamu">
    <w:name w:val="Bez zoznamu"/>
    <w:next w:val="Bezzoznamu"/>
    <w:autoRedefine w:val="0"/>
    <w:hidden w:val="0"/>
    <w:qFormat w:val="0"/>
    <w:pPr>
      <w:suppressAutoHyphens w:val="1"/>
      <w:spacing w:line="1" w:lineRule="atLeast"/>
      <w:ind w:leftChars="-1" w:rightChars="0" w:firstLineChars="-1"/>
      <w:textDirection w:val="btLr"/>
      <w:textAlignment w:val="top"/>
      <w:outlineLvl w:val="0"/>
    </w:pPr>
  </w:style>
  <w:style w:type="paragraph" w:styleId="Názov">
    <w:name w:val="Názov"/>
    <w:basedOn w:val="Normálny"/>
    <w:next w:val="Názov"/>
    <w:autoRedefine w:val="0"/>
    <w:hidden w:val="0"/>
    <w:qFormat w:val="0"/>
    <w:pPr>
      <w:suppressAutoHyphens w:val="1"/>
      <w:spacing w:line="1" w:lineRule="atLeast"/>
      <w:ind w:leftChars="-1" w:rightChars="0" w:firstLineChars="-1"/>
      <w:jc w:val="center"/>
      <w:textDirection w:val="btLr"/>
      <w:textAlignment w:val="top"/>
      <w:outlineLvl w:val="0"/>
    </w:pPr>
    <w:rPr>
      <w:b w:val="1"/>
      <w:i w:val="1"/>
      <w:w w:val="100"/>
      <w:position w:val="-1"/>
      <w:sz w:val="28"/>
      <w:effect w:val="none"/>
      <w:vertAlign w:val="baseline"/>
      <w:cs w:val="0"/>
      <w:em w:val="none"/>
      <w:lang w:bidi="ar-SA" w:eastAsia="sk-SK" w:val="sk-SK"/>
    </w:rPr>
  </w:style>
  <w:style w:type="paragraph" w:styleId="Základnýtext">
    <w:name w:val="Základný text"/>
    <w:basedOn w:val="Normálny"/>
    <w:next w:val="Základnýtext"/>
    <w:autoRedefine w:val="0"/>
    <w:hidden w:val="0"/>
    <w:qFormat w:val="0"/>
    <w:pPr>
      <w:suppressAutoHyphens w:val="1"/>
      <w:spacing w:line="1" w:lineRule="atLeast"/>
      <w:ind w:leftChars="-1" w:rightChars="0" w:firstLineChars="-1"/>
      <w:jc w:val="both"/>
      <w:textDirection w:val="btLr"/>
      <w:textAlignment w:val="top"/>
      <w:outlineLvl w:val="0"/>
    </w:pPr>
    <w:rPr>
      <w:i w:val="1"/>
      <w:w w:val="100"/>
      <w:position w:val="-1"/>
      <w:effect w:val="none"/>
      <w:vertAlign w:val="baseline"/>
      <w:cs w:val="0"/>
      <w:em w:val="none"/>
      <w:lang w:bidi="ar-SA" w:eastAsia="sk-SK" w:val="sk-SK"/>
    </w:rPr>
  </w:style>
  <w:style w:type="paragraph" w:styleId="Základnýtext2">
    <w:name w:val="Základný text 2"/>
    <w:basedOn w:val="Normálny"/>
    <w:next w:val="Základnýtext2"/>
    <w:autoRedefine w:val="0"/>
    <w:hidden w:val="0"/>
    <w:qFormat w:val="0"/>
    <w:pPr>
      <w:suppressAutoHyphens w:val="1"/>
      <w:spacing w:line="1" w:lineRule="atLeast"/>
      <w:ind w:leftChars="-1" w:rightChars="0" w:firstLineChars="-1"/>
      <w:jc w:val="both"/>
      <w:textDirection w:val="btLr"/>
      <w:textAlignment w:val="top"/>
      <w:outlineLvl w:val="0"/>
    </w:pPr>
    <w:rPr>
      <w:i w:val="1"/>
      <w:w w:val="100"/>
      <w:position w:val="-1"/>
      <w:sz w:val="24"/>
      <w:effect w:val="none"/>
      <w:vertAlign w:val="baseline"/>
      <w:cs w:val="0"/>
      <w:em w:val="none"/>
      <w:lang w:bidi="ar-SA" w:eastAsia="sk-SK" w:val="sk-SK"/>
    </w:rPr>
  </w:style>
  <w:style w:type="paragraph" w:styleId="StyleJustified">
    <w:name w:val="Style Justified"/>
    <w:basedOn w:val="Normálny"/>
    <w:next w:val="StyleJustified"/>
    <w:autoRedefine w:val="0"/>
    <w:hidden w:val="0"/>
    <w:qFormat w:val="0"/>
    <w:pPr>
      <w:widowControl w:val="0"/>
      <w:suppressAutoHyphens w:val="0"/>
      <w:spacing w:line="1" w:lineRule="atLeast"/>
      <w:ind w:leftChars="-1" w:rightChars="0" w:firstLineChars="-1"/>
      <w:jc w:val="both"/>
      <w:textDirection w:val="btLr"/>
      <w:textAlignment w:val="top"/>
      <w:outlineLvl w:val="0"/>
    </w:pPr>
    <w:rPr>
      <w:rFonts w:ascii="Arial Narrow" w:hAnsi="Arial Narrow"/>
      <w:color w:val="000000"/>
      <w:w w:val="100"/>
      <w:position w:val="-1"/>
      <w:effect w:val="none"/>
      <w:vertAlign w:val="baseline"/>
      <w:cs w:val="0"/>
      <w:em w:val="none"/>
      <w:lang w:bidi="ar-SA" w:eastAsia="ar-SA" w:val="en-US"/>
    </w:rPr>
  </w:style>
  <w:style w:type="character" w:styleId="ra">
    <w:name w:val="ra"/>
    <w:basedOn w:val="Predvolenépísmoodseku"/>
    <w:next w:val="ra"/>
    <w:autoRedefine w:val="0"/>
    <w:hidden w:val="0"/>
    <w:qFormat w:val="0"/>
    <w:rPr>
      <w:w w:val="100"/>
      <w:position w:val="-1"/>
      <w:effect w:val="none"/>
      <w:vertAlign w:val="baseline"/>
      <w:cs w:val="0"/>
      <w:em w:val="none"/>
      <w:lang/>
    </w:rPr>
  </w:style>
  <w:style w:type="paragraph" w:styleId="JSzákladný">
    <w:name w:val="JS základný"/>
    <w:basedOn w:val="Normálny"/>
    <w:next w:val="JSzákladný"/>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bCs w:val="1"/>
      <w:w w:val="100"/>
      <w:position w:val="-1"/>
      <w:effect w:val="none"/>
      <w:vertAlign w:val="baseline"/>
      <w:cs w:val="0"/>
      <w:em w:val="none"/>
      <w:lang w:bidi="ar-SA" w:eastAsia="sk-SK" w:val="sk-SK"/>
    </w:rPr>
  </w:style>
  <w:style w:type="paragraph" w:styleId="Obyčajnýtext">
    <w:name w:val="Obyčajný text"/>
    <w:basedOn w:val="Normálny"/>
    <w:next w:val="Obyčajnýtext"/>
    <w:autoRedefine w:val="0"/>
    <w:hidden w:val="0"/>
    <w:qFormat w:val="0"/>
    <w:pPr>
      <w:suppressAutoHyphens w:val="1"/>
      <w:spacing w:line="1" w:lineRule="atLeast"/>
      <w:ind w:leftChars="-1" w:rightChars="0" w:firstLineChars="-1"/>
      <w:textDirection w:val="btLr"/>
      <w:textAlignment w:val="top"/>
      <w:outlineLvl w:val="0"/>
    </w:pPr>
    <w:rPr>
      <w:rFonts w:ascii="Courier New" w:hAnsi="Courier New"/>
      <w:w w:val="100"/>
      <w:position w:val="-1"/>
      <w:effect w:val="none"/>
      <w:vertAlign w:val="baseline"/>
      <w:cs w:val="0"/>
      <w:em w:val="none"/>
      <w:lang w:bidi="ar-SA" w:eastAsia="sk-SK" w:val="sk-SK"/>
    </w:rPr>
  </w:style>
  <w:style w:type="paragraph" w:styleId="Textbubliny">
    <w:name w:val="Text bubliny"/>
    <w:basedOn w:val="Normálny"/>
    <w:next w:val="Textbubliny"/>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sk-SK" w:val="sk-SK"/>
    </w:rPr>
  </w:style>
  <w:style w:type="paragraph" w:styleId="Päta">
    <w:name w:val="Päta"/>
    <w:basedOn w:val="Normálny"/>
    <w:next w:val="Päta"/>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sk-SK" w:val="sk-SK"/>
    </w:rPr>
  </w:style>
  <w:style w:type="character" w:styleId="Číslostrany">
    <w:name w:val="Číslo strany"/>
    <w:basedOn w:val="Predvolenépísmoodseku"/>
    <w:next w:val="Číslostrany"/>
    <w:autoRedefine w:val="0"/>
    <w:hidden w:val="0"/>
    <w:qFormat w:val="0"/>
    <w:rPr>
      <w:w w:val="100"/>
      <w:position w:val="-1"/>
      <w:effect w:val="none"/>
      <w:vertAlign w:val="baseline"/>
      <w:cs w:val="0"/>
      <w:em w:val="none"/>
      <w:lang/>
    </w:rPr>
  </w:style>
  <w:style w:type="paragraph" w:styleId="Hlavička">
    <w:name w:val="Hlavička"/>
    <w:basedOn w:val="Normálny"/>
    <w:next w:val="Hlavička"/>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sk-SK" w:val="sk-SK"/>
    </w:rPr>
  </w:style>
  <w:style w:type="paragraph" w:styleId="Štýl">
    <w:name w:val="Štýl"/>
    <w:next w:val="Štýl"/>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sk-SK"/>
    </w:rPr>
  </w:style>
  <w:style w:type="character" w:styleId="HlavičkaChar">
    <w:name w:val="Hlavička Char"/>
    <w:basedOn w:val="Predvolenépísmoodseku"/>
    <w:next w:val="HlavičkaChar"/>
    <w:autoRedefine w:val="0"/>
    <w:hidden w:val="0"/>
    <w:qFormat w:val="0"/>
    <w:rPr>
      <w:w w:val="100"/>
      <w:position w:val="-1"/>
      <w:effect w:val="none"/>
      <w:vertAlign w:val="baseline"/>
      <w:cs w:val="0"/>
      <w:em w:val="none"/>
      <w:lang/>
    </w:rPr>
  </w:style>
  <w:style w:type="character" w:styleId="PätaChar">
    <w:name w:val="Päta Char"/>
    <w:basedOn w:val="Predvolenépísmoodseku"/>
    <w:next w:val="PätaChar"/>
    <w:autoRedefine w:val="0"/>
    <w:hidden w:val="0"/>
    <w:qFormat w:val="0"/>
    <w:rPr>
      <w:w w:val="100"/>
      <w:position w:val="-1"/>
      <w:effect w:val="none"/>
      <w:vertAlign w:val="baseline"/>
      <w:cs w:val="0"/>
      <w:em w:val="none"/>
      <w:lang/>
    </w:rPr>
  </w:style>
  <w:style w:type="character" w:styleId="Výrazný">
    <w:name w:val="Výrazný"/>
    <w:next w:val="Výrazný"/>
    <w:autoRedefine w:val="0"/>
    <w:hidden w:val="0"/>
    <w:qFormat w:val="0"/>
    <w:rPr>
      <w:b w:val="1"/>
      <w:bCs w:val="1"/>
      <w:w w:val="100"/>
      <w:position w:val="-1"/>
      <w:effect w:val="none"/>
      <w:vertAlign w:val="baseline"/>
      <w:cs w:val="0"/>
      <w:em w:val="none"/>
      <w:lang/>
    </w:rPr>
  </w:style>
  <w:style w:type="paragraph" w:styleId="v1msonormal">
    <w:name w:val="v1msonormal"/>
    <w:basedOn w:val="Normálny"/>
    <w:next w:val="v1msonormal"/>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sk-SK" w:val="sk-SK"/>
    </w:rPr>
  </w:style>
  <w:style w:type="character" w:styleId="Odkaznakomentár">
    <w:name w:val="Odkaz na komentár"/>
    <w:next w:val="Odkaznakomentár"/>
    <w:autoRedefine w:val="0"/>
    <w:hidden w:val="0"/>
    <w:qFormat w:val="0"/>
    <w:rPr>
      <w:w w:val="100"/>
      <w:position w:val="-1"/>
      <w:sz w:val="16"/>
      <w:szCs w:val="16"/>
      <w:effect w:val="none"/>
      <w:vertAlign w:val="baseline"/>
      <w:cs w:val="0"/>
      <w:em w:val="none"/>
      <w:lang/>
    </w:rPr>
  </w:style>
  <w:style w:type="paragraph" w:styleId="Textkomentára">
    <w:name w:val="Text komentára"/>
    <w:basedOn w:val="Normálny"/>
    <w:next w:val="Textkomentár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sk-SK" w:val="sk-SK"/>
    </w:rPr>
  </w:style>
  <w:style w:type="character" w:styleId="TextkomentáraChar">
    <w:name w:val="Text komentára Char"/>
    <w:basedOn w:val="Predvolenépísmoodseku"/>
    <w:next w:val="TextkomentáraChar"/>
    <w:autoRedefine w:val="0"/>
    <w:hidden w:val="0"/>
    <w:qFormat w:val="0"/>
    <w:rPr>
      <w:w w:val="100"/>
      <w:position w:val="-1"/>
      <w:effect w:val="none"/>
      <w:vertAlign w:val="baseline"/>
      <w:cs w:val="0"/>
      <w:em w:val="none"/>
      <w:lang/>
    </w:rPr>
  </w:style>
  <w:style w:type="paragraph" w:styleId="Predmetkomentára">
    <w:name w:val="Predmet komentára"/>
    <w:basedOn w:val="Textkomentára"/>
    <w:next w:val="Textkomentára"/>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und" w:val="und"/>
    </w:rPr>
  </w:style>
  <w:style w:type="character" w:styleId="PredmetkomentáraChar">
    <w:name w:val="Predmet komentára Char"/>
    <w:next w:val="PredmetkomentáraChar"/>
    <w:autoRedefine w:val="0"/>
    <w:hidden w:val="0"/>
    <w:qFormat w:val="0"/>
    <w:rPr>
      <w:b w:val="1"/>
      <w:bCs w:val="1"/>
      <w:w w:val="100"/>
      <w:position w:val="-1"/>
      <w:effect w:val="none"/>
      <w:vertAlign w:val="baseline"/>
      <w:cs w:val="0"/>
      <w:em w:val="none"/>
      <w:lang/>
    </w:rPr>
  </w:style>
  <w:style w:type="paragraph" w:styleId="Revízia">
    <w:name w:val="Revízia"/>
    <w:next w:val="Revízi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sk-SK" w:val="sk-SK"/>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OAAKh/b1sO/BxanpLkAdlimjBg==">CgMxLjAyCGguZ2pkZ3hzMgloLjMwajB6bGwyCWguMWZvYjl0ZTgAciExVk1xdGVnUERSb0tvRTFUSHN5RTNTTWhUVTN2ZndsMjg=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2023-09-26T07:05:00Z</dcterms:created>
  <dc:creator>JUDr. Mojmir Plavec</dc:creator>
</cp:coreProperties>
</file>