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2"/>
        <w:gridCol w:w="1572"/>
        <w:gridCol w:w="1260"/>
        <w:gridCol w:w="4008"/>
        <w:tblGridChange w:id="0">
          <w:tblGrid>
            <w:gridCol w:w="2832"/>
            <w:gridCol w:w="1572"/>
            <w:gridCol w:w="1260"/>
            <w:gridCol w:w="4008"/>
          </w:tblGrid>
        </w:tblGridChange>
      </w:tblGrid>
      <w:tr>
        <w:trPr>
          <w:cantSplit w:val="0"/>
          <w:trHeight w:val="373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Mesto, Adresa (názov ulice):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c0c0c0" w:val="clear"/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lightGray"/>
                <w:u w:val="none"/>
                <w:vertAlign w:val="baseline"/>
                <w:rtl w:val="0"/>
              </w:rPr>
              <w:t xml:space="preserve">číslo: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Počet obytných izieb: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Poschodie z poschodí:       /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lightGray"/>
                <w:u w:val="none"/>
                <w:vertAlign w:val="baseline"/>
                <w:rtl w:val="0"/>
              </w:rPr>
              <w:t xml:space="preserve">Cena: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Výťah:                   ÁNO                          NIE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5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90"/>
        <w:gridCol w:w="184"/>
        <w:gridCol w:w="1287"/>
        <w:gridCol w:w="184"/>
        <w:gridCol w:w="1077"/>
        <w:gridCol w:w="590"/>
        <w:gridCol w:w="598"/>
        <w:gridCol w:w="1223"/>
        <w:gridCol w:w="217"/>
        <w:gridCol w:w="215"/>
        <w:gridCol w:w="1980"/>
        <w:tblGridChange w:id="0">
          <w:tblGrid>
            <w:gridCol w:w="2090"/>
            <w:gridCol w:w="184"/>
            <w:gridCol w:w="1287"/>
            <w:gridCol w:w="184"/>
            <w:gridCol w:w="1077"/>
            <w:gridCol w:w="590"/>
            <w:gridCol w:w="598"/>
            <w:gridCol w:w="1223"/>
            <w:gridCol w:w="217"/>
            <w:gridCol w:w="215"/>
            <w:gridCol w:w="1980"/>
          </w:tblGrid>
        </w:tblGridChange>
      </w:tblGrid>
      <w:tr>
        <w:trPr>
          <w:cantSplit w:val="1"/>
          <w:trHeight w:val="436" w:hRule="atLeast"/>
          <w:tblHeader w:val="0"/>
        </w:trPr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00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Vek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(rok kolaudácie):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Rekonštruované(rok):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ffffff" w:val="clear"/>
            <w:vAlign w:val="top"/>
          </w:tcPr>
          <w:p w:rsidR="00000000" w:rsidDel="00000000" w:rsidP="00000000" w:rsidRDefault="00000000" w:rsidRPr="00000000" w14:paraId="0000001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Orientácie bytu - svetové strany: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  <w:vAlign w:val="top"/>
          </w:tcPr>
          <w:p w:rsidR="00000000" w:rsidDel="00000000" w:rsidP="00000000" w:rsidRDefault="00000000" w:rsidRPr="00000000" w14:paraId="0000001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Obytná plocha v m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" w:hRule="atLeast"/>
          <w:tblHeader w:val="0"/>
        </w:trPr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Materiál domu: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panel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tehla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železobetón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iný:</w:t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Vstup do domu: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voľný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zámok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el. vrátnik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vrátnik</w:t>
            </w:r>
          </w:p>
        </w:tc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03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Parkovanie: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garáž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garážové státie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parkovisko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iné:</w:t>
            </w:r>
          </w:p>
        </w:tc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Exteriér: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balkón ..........m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terasa  ..........m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pivnica 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Byt je: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 pôvodnom stave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čiastočne zrekonštr.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komplet. zrekonštr.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novostavba (max 5 r.)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Kúrenie: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ústredné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lokálne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el. energia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tuhé palivá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plyn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iné:</w:t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06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Okná: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......................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......................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Vchodové dvere:</w:t>
            </w:r>
          </w:p>
          <w:p w:rsidR="00000000" w:rsidDel="00000000" w:rsidP="00000000" w:rsidRDefault="00000000" w:rsidRPr="00000000" w14:paraId="0000007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pôvodné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bezpečnostné</w:t>
            </w:r>
          </w:p>
        </w:tc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 bytu prislúcha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pivnica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Komora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Kočíkáreň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TV a internet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Optický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Vzduchom(bezdrôtové)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ADSL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Vlastníctvo: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výlučné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podielové spoluvlast.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BSM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„družstevné“</w:t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Financovanie: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hotovosť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aj HÚ / STSP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SUSEDIA: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74" w:hRule="atLeast"/>
          <w:tblHeader w:val="0"/>
        </w:trPr>
        <w:tc>
          <w:tcPr>
            <w:gridSpan w:val="5"/>
            <w:shd w:fill="ffffff" w:val="clear"/>
            <w:vAlign w:val="top"/>
          </w:tcPr>
          <w:p w:rsidR="00000000" w:rsidDel="00000000" w:rsidP="00000000" w:rsidRDefault="00000000" w:rsidRPr="00000000" w14:paraId="000000A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Ďalší popis nehnuteľnosti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(zariadenie bytu a pod):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Rekonštrukcie bytového domu: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720" w:right="0" w:hanging="36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zateplenie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720" w:right="0" w:hanging="36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stúpačky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720" w:right="0" w:hanging="36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výťahy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720" w:right="0" w:hanging="36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iné: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Rekonštrukcie Bytu:</w:t>
            </w:r>
          </w:p>
        </w:tc>
      </w:tr>
      <w:tr>
        <w:trPr>
          <w:cantSplit w:val="1"/>
          <w:trHeight w:val="697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B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Prevod nehnuteľnosti je podmienený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(napr. úhrada dlhu zabezpečeného záložným právom k bytu, nasťahovanie/vysťahovanie, príp. predaj je podmienený kúpou inej  nehn. a pod.):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93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Prenájom nehnuteľnosti je podmienený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(napr. nasťahovanie/vysťahovanie, kaucia, prenajímateľ nechce byt prenajať študentom a pod.):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3" w:hRule="atLeast"/>
          <w:tblHeader w:val="0"/>
        </w:trPr>
        <w:tc>
          <w:tcPr>
            <w:gridSpan w:val="11"/>
            <w:shd w:fill="ffffff" w:val="clear"/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INÉ POZNÁMKY: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Úverové a záložné zmluvy: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719" w:left="1021" w:right="1021" w:header="68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□"/>
      <w:lvlJc w:val="left"/>
      <w:pPr>
        <w:ind w:left="397" w:hanging="397"/>
      </w:pPr>
      <w:rPr>
        <w:rFonts w:ascii="Noto Sans Symbols" w:cs="Noto Sans Symbols" w:eastAsia="Noto Sans Symbols" w:hAnsi="Noto Sans Symbols"/>
        <w:sz w:val="16"/>
        <w:szCs w:val="16"/>
        <w:vertAlign w:val="baseline"/>
      </w:rPr>
    </w:lvl>
    <w:lvl w:ilvl="1">
      <w:start w:val="1"/>
      <w:numFmt w:val="bullet"/>
      <w:lvlText w:val="□"/>
      <w:lvlJc w:val="left"/>
      <w:pPr>
        <w:ind w:left="397" w:hanging="397"/>
      </w:pPr>
      <w:rPr>
        <w:rFonts w:ascii="Noto Sans Symbols" w:cs="Noto Sans Symbols" w:eastAsia="Noto Sans Symbols" w:hAnsi="Noto Sans Symbols"/>
        <w:color w:val="000000"/>
        <w:sz w:val="16"/>
        <w:szCs w:val="16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□"/>
      <w:lvlJc w:val="left"/>
      <w:pPr>
        <w:ind w:left="720" w:hanging="360"/>
      </w:pPr>
      <w:rPr>
        <w:rFonts w:ascii="Noto Sans Symbols" w:cs="Noto Sans Symbols" w:eastAsia="Noto Sans Symbols" w:hAnsi="Noto Sans Symbols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□"/>
      <w:lvlJc w:val="left"/>
      <w:pPr>
        <w:ind w:left="397" w:hanging="397"/>
      </w:pPr>
      <w:rPr>
        <w:rFonts w:ascii="Noto Sans Symbols" w:cs="Noto Sans Symbols" w:eastAsia="Noto Sans Symbols" w:hAnsi="Noto Sans Symbols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□"/>
      <w:lvlJc w:val="left"/>
      <w:pPr>
        <w:ind w:left="397" w:hanging="397"/>
      </w:pPr>
      <w:rPr>
        <w:rFonts w:ascii="Noto Sans Symbols" w:cs="Noto Sans Symbols" w:eastAsia="Noto Sans Symbols" w:hAnsi="Noto Sans Symbols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□"/>
      <w:lvlJc w:val="left"/>
      <w:pPr>
        <w:ind w:left="397" w:hanging="397"/>
      </w:pPr>
      <w:rPr>
        <w:rFonts w:ascii="Noto Sans Symbols" w:cs="Noto Sans Symbols" w:eastAsia="Noto Sans Symbols" w:hAnsi="Noto Sans Symbols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□"/>
      <w:lvlJc w:val="left"/>
      <w:pPr>
        <w:ind w:left="397" w:hanging="397"/>
      </w:pPr>
      <w:rPr>
        <w:rFonts w:ascii="Noto Sans Symbols" w:cs="Noto Sans Symbols" w:eastAsia="Noto Sans Symbols" w:hAnsi="Noto Sans Symbols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bullet"/>
      <w:lvlText w:val="□"/>
      <w:lvlJc w:val="left"/>
      <w:pPr>
        <w:ind w:left="397" w:hanging="397"/>
      </w:pPr>
      <w:rPr>
        <w:rFonts w:ascii="Noto Sans Symbols" w:cs="Noto Sans Symbols" w:eastAsia="Noto Sans Symbols" w:hAnsi="Noto Sans Symbols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8">
    <w:lvl w:ilvl="0">
      <w:start w:val="1"/>
      <w:numFmt w:val="bullet"/>
      <w:lvlText w:val="□"/>
      <w:lvlJc w:val="left"/>
      <w:pPr>
        <w:ind w:left="397" w:hanging="397"/>
      </w:pPr>
      <w:rPr>
        <w:rFonts w:ascii="Noto Sans Symbols" w:cs="Noto Sans Symbols" w:eastAsia="Noto Sans Symbols" w:hAnsi="Noto Sans Symbols"/>
        <w:sz w:val="16"/>
        <w:szCs w:val="16"/>
        <w:vertAlign w:val="baseline"/>
      </w:rPr>
    </w:lvl>
    <w:lvl w:ilvl="1">
      <w:start w:val="1"/>
      <w:numFmt w:val="bullet"/>
      <w:lvlText w:val="□"/>
      <w:lvlJc w:val="left"/>
      <w:pPr>
        <w:ind w:left="1477" w:hanging="397.0000000000002"/>
      </w:pPr>
      <w:rPr>
        <w:rFonts w:ascii="Noto Sans Symbols" w:cs="Noto Sans Symbols" w:eastAsia="Noto Sans Symbols" w:hAnsi="Noto Sans Symbols"/>
        <w:color w:val="000000"/>
        <w:sz w:val="16"/>
        <w:szCs w:val="16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sk-S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álny">
    <w:name w:val="Normálny"/>
    <w:next w:val="Normálny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cs-CZ" w:val="cs-CZ"/>
    </w:rPr>
  </w:style>
  <w:style w:type="paragraph" w:styleId="Nadpis1">
    <w:name w:val="Nadpis 1"/>
    <w:basedOn w:val="Normálny"/>
    <w:next w:val="Normálny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16"/>
      <w:szCs w:val="24"/>
      <w:effect w:val="none"/>
      <w:vertAlign w:val="baseline"/>
      <w:cs w:val="0"/>
      <w:em w:val="none"/>
      <w:lang w:bidi="ar-SA" w:eastAsia="cs-CZ" w:val="sk-SK"/>
    </w:rPr>
  </w:style>
  <w:style w:type="paragraph" w:styleId="Nadpis2">
    <w:name w:val="Nadpis 2"/>
    <w:basedOn w:val="Normálny"/>
    <w:next w:val="Normálny"/>
    <w:autoRedefine w:val="0"/>
    <w:hidden w:val="0"/>
    <w:qFormat w:val="0"/>
    <w:pPr>
      <w:keepNext w:val="1"/>
      <w:framePr w:anchorLock="0" w:lines="0" w:hSpace="141" w:wrap="around" w:hAnchor="page" w:vAnchor="text" w:y="1" w:hRule="auto"/>
      <w:suppressAutoHyphens w:val="1"/>
      <w:spacing w:line="1" w:lineRule="atLeast"/>
      <w:ind w:leftChars="-1" w:rightChars="0" w:firstLineChars="-1"/>
      <w:suppressOverlap w:val="1"/>
      <w:textDirection w:val="btLr"/>
      <w:textAlignment w:val="top"/>
      <w:outlineLvl w:val="1"/>
    </w:pPr>
    <w:rPr>
      <w:b w:val="1"/>
      <w:bCs w:val="1"/>
      <w:w w:val="100"/>
      <w:position w:val="-1"/>
      <w:sz w:val="16"/>
      <w:szCs w:val="24"/>
      <w:effect w:val="none"/>
      <w:vertAlign w:val="baseline"/>
      <w:cs w:val="0"/>
      <w:em w:val="none"/>
      <w:lang w:bidi="ar-SA" w:eastAsia="cs-CZ" w:val="sk-SK"/>
    </w:rPr>
  </w:style>
  <w:style w:type="paragraph" w:styleId="Nadpis3">
    <w:name w:val="Nadpis 3"/>
    <w:basedOn w:val="Normálny"/>
    <w:next w:val="Normálny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2"/>
    </w:pPr>
    <w:rPr>
      <w:rFonts w:ascii="Arial Narrow" w:hAnsi="Arial Narrow"/>
      <w:b w:val="1"/>
      <w:bCs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cs-CZ" w:val="sk-SK"/>
    </w:rPr>
  </w:style>
  <w:style w:type="character" w:styleId="Predvolenépísmoodseku">
    <w:name w:val="Predvolené písmo odseku"/>
    <w:next w:val="Predvolenépísmoodseku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Normálnatabuľka">
    <w:name w:val="Normálna tabuľka"/>
    <w:next w:val="Normálnatabuľk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Normálnatabuľka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zoznamu">
    <w:name w:val="Bez zoznamu"/>
    <w:next w:val="Bezzoznamu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lavička">
    <w:name w:val="Hlavička"/>
    <w:basedOn w:val="Normálny"/>
    <w:next w:val="Hlavička"/>
    <w:autoRedefine w:val="0"/>
    <w:hidden w:val="0"/>
    <w:qFormat w:val="0"/>
    <w:pPr>
      <w:tabs>
        <w:tab w:val="center" w:leader="none" w:pos="4536"/>
        <w:tab w:val="right" w:leader="none" w:pos="9072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cs-CZ" w:val="cs-CZ"/>
    </w:rPr>
  </w:style>
  <w:style w:type="paragraph" w:styleId="Päta">
    <w:name w:val="Päta"/>
    <w:basedOn w:val="Normálny"/>
    <w:next w:val="Päta"/>
    <w:autoRedefine w:val="0"/>
    <w:hidden w:val="0"/>
    <w:qFormat w:val="0"/>
    <w:pPr>
      <w:tabs>
        <w:tab w:val="center" w:leader="none" w:pos="4536"/>
        <w:tab w:val="right" w:leader="none" w:pos="9072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cs-CZ" w:val="cs-CZ"/>
    </w:rPr>
  </w:style>
  <w:style w:type="paragraph" w:styleId="Názov">
    <w:name w:val="Názov"/>
    <w:basedOn w:val="Normálny"/>
    <w:next w:val="Názov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cs-CZ" w:val="sk-SK"/>
    </w:rPr>
  </w:style>
  <w:style w:type="paragraph" w:styleId="Základnýtext">
    <w:name w:val="Základný text"/>
    <w:basedOn w:val="Normálny"/>
    <w:next w:val="Základný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ff0000"/>
      <w:w w:val="100"/>
      <w:position w:val="-1"/>
      <w:sz w:val="24"/>
      <w:szCs w:val="24"/>
      <w:effect w:val="none"/>
      <w:vertAlign w:val="baseline"/>
      <w:cs w:val="0"/>
      <w:em w:val="none"/>
      <w:lang w:bidi="ar-SA" w:eastAsia="cs-CZ" w:val="sk-SK"/>
    </w:rPr>
  </w:style>
  <w:style w:type="paragraph" w:styleId="Zarážkazákladnéhotextu">
    <w:name w:val="Zarážka základného textu"/>
    <w:basedOn w:val="Normálny"/>
    <w:next w:val="Zarážkazákladnéhotextu"/>
    <w:autoRedefine w:val="0"/>
    <w:hidden w:val="0"/>
    <w:qFormat w:val="0"/>
    <w:pPr>
      <w:suppressAutoHyphens w:val="1"/>
      <w:spacing w:line="1" w:lineRule="atLeast"/>
      <w:ind w:left="360" w:leftChars="-1" w:rightChars="0" w:hanging="360" w:firstLineChars="-1"/>
      <w:jc w:val="both"/>
      <w:textDirection w:val="btLr"/>
      <w:textAlignment w:val="top"/>
      <w:outlineLvl w:val="0"/>
    </w:pPr>
    <w:rPr>
      <w:rFonts w:ascii="Arial Narrow" w:hAnsi="Arial Narrow"/>
      <w:w w:val="100"/>
      <w:position w:val="-1"/>
      <w:sz w:val="20"/>
      <w:szCs w:val="24"/>
      <w:effect w:val="none"/>
      <w:vertAlign w:val="baseline"/>
      <w:cs w:val="0"/>
      <w:em w:val="none"/>
      <w:lang w:bidi="ar-SA" w:eastAsia="cs-CZ" w:val="sk-SK"/>
    </w:rPr>
  </w:style>
  <w:style w:type="paragraph" w:styleId="Zarážkazákladnéhotextu2">
    <w:name w:val="Zarážka základného textu 2"/>
    <w:basedOn w:val="Normálny"/>
    <w:next w:val="Zarážkazákladnéhotextu2"/>
    <w:autoRedefine w:val="0"/>
    <w:hidden w:val="0"/>
    <w:qFormat w:val="0"/>
    <w:pPr>
      <w:suppressAutoHyphens w:val="1"/>
      <w:spacing w:line="1" w:lineRule="atLeast"/>
      <w:ind w:left="360" w:leftChars="-1" w:rightChars="0" w:hanging="360" w:firstLineChars="-1"/>
      <w:jc w:val="both"/>
      <w:textDirection w:val="btLr"/>
      <w:textAlignment w:val="top"/>
      <w:outlineLvl w:val="0"/>
    </w:pPr>
    <w:rPr>
      <w:rFonts w:ascii="Arial Narrow" w:hAnsi="Arial Narrow"/>
      <w:color w:val="ff0000"/>
      <w:w w:val="100"/>
      <w:position w:val="-1"/>
      <w:sz w:val="16"/>
      <w:szCs w:val="24"/>
      <w:effect w:val="none"/>
      <w:vertAlign w:val="baseline"/>
      <w:cs w:val="0"/>
      <w:em w:val="none"/>
      <w:lang w:bidi="ar-SA" w:eastAsia="cs-CZ" w:val="sk-SK"/>
    </w:rPr>
  </w:style>
  <w:style w:type="paragraph" w:styleId="Zarážkazákladnéhotextu3">
    <w:name w:val="Zarážka základného textu 3"/>
    <w:basedOn w:val="Normálny"/>
    <w:next w:val="Zarážkazákladnéhotextu3"/>
    <w:autoRedefine w:val="0"/>
    <w:hidden w:val="0"/>
    <w:qFormat w:val="0"/>
    <w:pPr>
      <w:suppressAutoHyphens w:val="1"/>
      <w:spacing w:line="1" w:lineRule="atLeast"/>
      <w:ind w:left="360" w:leftChars="-1" w:rightChars="0" w:hanging="360" w:firstLineChars="-1"/>
      <w:jc w:val="both"/>
      <w:textDirection w:val="btLr"/>
      <w:textAlignment w:val="top"/>
      <w:outlineLvl w:val="0"/>
    </w:pPr>
    <w:rPr>
      <w:rFonts w:ascii="Arial Narrow" w:hAnsi="Arial Narrow"/>
      <w:color w:val="000000"/>
      <w:w w:val="100"/>
      <w:position w:val="-1"/>
      <w:sz w:val="16"/>
      <w:szCs w:val="24"/>
      <w:effect w:val="none"/>
      <w:vertAlign w:val="baseline"/>
      <w:cs w:val="0"/>
      <w:em w:val="none"/>
      <w:lang w:bidi="ar-SA" w:eastAsia="cs-CZ" w:val="sk-SK"/>
    </w:rPr>
  </w:style>
  <w:style w:type="paragraph" w:styleId="Textbubliny">
    <w:name w:val="Text bubliny"/>
    <w:basedOn w:val="Normálny"/>
    <w:next w:val="Textbubliny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cs-CZ" w:val="cs-CZ"/>
    </w:rPr>
  </w:style>
  <w:style w:type="paragraph" w:styleId="Odsekzoznamu">
    <w:name w:val="Odsek zoznamu"/>
    <w:basedOn w:val="Normálny"/>
    <w:next w:val="Odsekzoznamu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cs-CZ" w:val="cs-CZ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X9yWfKwr4kHBnSY30Nb7mTOK3w==">CgMxLjA4AGosChRzdWdnZXN0LmxtMmE2ZmhhY2ZlaRIUU2zDoXZrYSBSdcW+YXJvdnNrw6FyITFaRlctcGZUdTNDZHVmXzB3bXFBSm1WYUlURkpfYWVfUA==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2020-12-17T09:49:00Z</dcterms:created>
  <dc:creator>Advokátska kancelária</dc:creator>
</cp:coreProperties>
</file>