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МО ЭВМ</w:t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</w:t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№</w:t>
      </w:r>
      <w:r>
        <w:rPr>
          <w:b/>
          <w:sz w:val="28"/>
          <w:szCs w:val="28"/>
        </w:rPr>
        <w:t xml:space="preserve">5</w:t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Параллельные алгоритмы</w:t>
      </w:r>
      <w:r>
        <w:rPr>
          <w:b/>
          <w:sz w:val="28"/>
          <w:szCs w:val="28"/>
        </w:rPr>
        <w:t xml:space="preserve">»</w:t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Знакомство с программированием гетерогенных систем в стандарте OpenCL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0304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Аристархов И.Е.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Сергеева </w:t>
            </w:r>
            <w:r>
              <w:rPr>
                <w:sz w:val="28"/>
              </w:rPr>
              <w:t xml:space="preserve">Е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</w:rPr>
              <w:t xml:space="preserve">И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 xml:space="preserve">202</w:t>
      </w:r>
      <w:r>
        <w:rPr>
          <w:bCs/>
          <w:sz w:val="28"/>
          <w:szCs w:val="28"/>
        </w:rPr>
        <w:t xml:space="preserve">3</w:t>
      </w:r>
      <w:r>
        <w:rPr>
          <w:b/>
          <w:caps/>
          <w:sz w:val="28"/>
          <w:szCs w:val="28"/>
          <w:highlight w:val="yellow"/>
        </w:rPr>
      </w:r>
    </w:p>
    <w:p>
      <w:pPr>
        <w:pBdr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  <w:t xml:space="preserve">Цель работы.</w:t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практике освоить методы работы с OpenCL.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Поставленные задачи.</w:t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Реализовать расчёт фрактала Мандельброта на OpenCL. Визуализировать результат.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/>
      </w:pPr>
      <w:r/>
      <w:r/>
    </w:p>
    <w:p>
      <w:pPr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Выполнение кода на OpenCL можно разбить на два этапа:</w:t>
      </w:r>
      <w:r>
        <w:rPr>
          <w:sz w:val="28"/>
          <w:szCs w:val="28"/>
          <w:highlight w:val="none"/>
        </w:rPr>
      </w:r>
    </w:p>
    <w:p>
      <w:pPr>
        <w:pStyle w:val="639"/>
        <w:numPr>
          <w:ilvl w:val="0"/>
          <w:numId w:val="9"/>
        </w:numPr>
        <w:pBdr/>
        <w:spacing/>
        <w:ind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Настройка окружения</w:t>
      </w:r>
      <w:r>
        <w:rPr>
          <w:bCs/>
          <w:sz w:val="28"/>
          <w:szCs w:val="28"/>
          <w:highlight w:val="none"/>
        </w:rPr>
      </w:r>
    </w:p>
    <w:p>
      <w:pPr>
        <w:pStyle w:val="639"/>
        <w:numPr>
          <w:ilvl w:val="0"/>
          <w:numId w:val="9"/>
        </w:numPr>
        <w:pBdr/>
        <w:spacing/>
        <w:ind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Работа с индивидуальным рабочим элементом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Начнем с первого. Сперва нужно получить устройство выполнения. </w:t>
      </w:r>
      <w:r>
        <w:rPr>
          <w:bCs/>
          <w:sz w:val="28"/>
          <w:szCs w:val="28"/>
          <w:highlight w:val="none"/>
        </w:rPr>
        <w:t xml:space="preserve">Для задачи создания фрактала будет достаточно использовать 1 устройство</w:t>
      </w:r>
      <w:r>
        <w:rPr>
          <w:bCs/>
          <w:sz w:val="28"/>
          <w:szCs w:val="28"/>
          <w:highlight w:val="none"/>
        </w:rPr>
        <w:t xml:space="preserve"> – в данном случае дискретную видеокарту.  </w:t>
      </w:r>
      <w:r>
        <w:rPr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Далее требуется создать OpenCL контекст. Он задает сколько устройств будет работать, какие это будут устройства и какие у них будут настройки.  Контекст в этой задаче подразумевает использование одного устройства без дополнительных настроек.</w:t>
      </w:r>
      <w:r>
        <w:rPr>
          <w:bCs/>
          <w:sz w:val="28"/>
          <w:szCs w:val="28"/>
          <w:highlight w:val="none"/>
        </w:rPr>
      </w:r>
      <w:r/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Также нужно создать очередь исполнения. Она будет определять в каком порядке должны исполняться задачи конечным устройством (на одно устройство создается только одна очередь). 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Теперь нужно создать kernel. Для него требуется получить программу .cl и скомпилировать ее. Скомпилированная программа вместе с определенным именем создает kernel. Теперь к нему можно привязать переменные.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 случае используемой программы (о ней позже) будет нужно создать переменную изображения. Для этого в OpenCL есть специальная команда </w:t>
      </w:r>
      <w:r>
        <w:rPr>
          <w:bCs/>
          <w:sz w:val="28"/>
          <w:szCs w:val="28"/>
          <w:highlight w:val="none"/>
        </w:rPr>
        <w:t xml:space="preserve">clCreateImage</w:t>
      </w:r>
      <w:r>
        <w:rPr>
          <w:bCs/>
          <w:sz w:val="28"/>
          <w:szCs w:val="28"/>
          <w:highlight w:val="none"/>
        </w:rPr>
        <w:t xml:space="preserve">, которой на вход подается контекст и различные конфигурации (в них различные метаданные изображения, в том числе его размер в пискелях). Одной из конфигураций здесь является флаг CL_MEM_WRITE_ONLY, который ограничивает изображение только на запись в рабочих элементах. </w:t>
      </w:r>
      <w:r>
        <w:rPr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w:t xml:space="preserve">Далее изображение нужно привязать к ранее созданному kernel с помощью команды clSetKernelArg. </w:t>
      </w:r>
      <w:r>
        <w:rPr>
          <w:bCs/>
          <w:sz w:val="28"/>
          <w:szCs w:val="28"/>
          <w:highlight w:val="none"/>
        </w:rPr>
      </w:r>
      <w:r/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Наконец, остается добавить kernel в очередь на исполнение. Но и тут есть нюанс. Т.к. мы хотим распараллелить вычисление фрактала, нам нужно задать индексное пространство и рабочие группы. Индексное пространство – это массив (1, 2 или 3 мерный), размер которого определяет общее количество рабочий элементов. Рабочая группа – это объединение нескольких рабочих элементов в той же размерности. 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Идея в том, что рабочие группы играют роль задач в thread pool, которые будут ожидать своей очереди в первом освободившемся Compute Unit. А все рабочие элементы внутри одной группы будут выполняться в concurrent режиме (не обязательно parallel). 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Хорошо, программа выполнилась, но еще надо получить как-то созданную картинку. Для этого создаем еще одну задачу в очередь с помощью </w:t>
      </w:r>
      <w:r>
        <w:rPr>
          <w:bCs/>
          <w:sz w:val="28"/>
          <w:szCs w:val="28"/>
          <w:highlight w:val="none"/>
        </w:rPr>
        <w:t xml:space="preserve">clEnqueueReadImage</w:t>
      </w:r>
      <w:r>
        <w:rPr>
          <w:bCs/>
          <w:sz w:val="28"/>
          <w:szCs w:val="28"/>
          <w:highlight w:val="none"/>
        </w:rPr>
        <w:t xml:space="preserve">. Туда передаем очередь, переменную изображения и наш массив, в который надо записать результат.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Все, очередь успешно сформирована. Но на самом деле еще ничего не происходит, т.к. требуется сделать clFlush для начала расчетов. clFinish можно использовать, чтобы дождаться, когда все задачи из очереди завершатся. 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Вот теперь точно все успешно вычислилось (если не было никаких ошибок) и результирующий массив можно передать библиотеке для формирования png-файла.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 Остается рассмотреть саму программу рабочего элемента. По сути это функция, которая на вход получает </w:t>
      </w:r>
      <w:r>
        <w:rPr>
          <w:rFonts w:ascii="Courier New" w:hAnsi="Courier New" w:eastAsia="Courier New" w:cs="Courier New"/>
          <w:bCs/>
          <w:sz w:val="24"/>
          <w:szCs w:val="24"/>
        </w:rPr>
        <w:t xml:space="preserve">__write_only image2d_t out</w:t>
      </w:r>
      <w:r>
        <w:rPr>
          <w:bCs/>
          <w:sz w:val="28"/>
          <w:szCs w:val="28"/>
        </w:rPr>
        <w:t xml:space="preserve"> переменную, доступную только на запись. С помощью команд </w:t>
      </w:r>
      <w:r>
        <w:rPr>
          <w:bCs/>
          <w:sz w:val="28"/>
          <w:szCs w:val="28"/>
        </w:rPr>
        <w:t xml:space="preserve">get_global_id(0) и </w:t>
      </w:r>
      <w:r>
        <w:rPr>
          <w:bCs/>
          <w:sz w:val="28"/>
          <w:szCs w:val="28"/>
        </w:rPr>
        <w:t xml:space="preserve">get_global_id(1)</w:t>
      </w:r>
      <w:r>
        <w:rPr>
          <w:bCs/>
          <w:sz w:val="28"/>
          <w:szCs w:val="28"/>
        </w:rPr>
        <w:t xml:space="preserve"> можно получить индекс текущего элемента в глобальном индексном пространстве. В данном случае – это координаты в пикселях, которые еще надо преобразовать в относительные координаты. </w:t>
      </w:r>
      <w:r>
        <w:rPr>
          <w:bCs/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Для преобразования нужно знать общие размеры изображения. Их можно получить через </w:t>
      </w:r>
      <w:r>
        <w:rPr>
          <w:bCs/>
          <w:sz w:val="28"/>
          <w:szCs w:val="28"/>
          <w:highlight w:val="none"/>
        </w:rPr>
        <w:t xml:space="preserve">get_image_dim(out)</w:t>
      </w:r>
      <w:r>
        <w:rPr>
          <w:bCs/>
          <w:sz w:val="28"/>
          <w:szCs w:val="28"/>
          <w:highlight w:val="none"/>
        </w:rPr>
        <w:t xml:space="preserve">. 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Далее идет расчет цвета пикселя. Подробности расчета здесь на важны, важно лишь то, что проводятся вычисления в теоретически бесконечном цикле. Если в какой-то момент до достижения предельного значения итераций выполняются достаточные условия для завершения расчетов, то мы выбираем цвет такого пикселя по количеству пройденных итераций. Иначе цвет черный.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Выбранный цвет теперь записывается в изображение с помощью команды write_imageui, в которой указываются положение пикселя и его цвет.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Результат вычисления:</w:t>
      </w:r>
      <w:r>
        <w:rPr>
          <w:bCs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center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6877" cy="31779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776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66876" cy="3177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5.34pt;height:250.2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Style w:val="648"/>
        <w:pBdr/>
        <w:spacing/>
        <w:ind/>
        <w:jc w:val="center"/>
        <w:rPr>
          <w:bCs w:val="0"/>
          <w:i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 xml:space="preserve"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36"/>
          <w:szCs w:val="36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— Вычисленный с помощью OpenCL фрактал Мендельброта</w:t>
      </w:r>
      <w:r>
        <w:rPr>
          <w:i w:val="0"/>
          <w:iCs w:val="0"/>
          <w:color w:val="000000" w:themeColor="text1"/>
          <w:sz w:val="24"/>
          <w:szCs w:val="24"/>
        </w:rPr>
      </w:r>
    </w:p>
    <w:p>
      <w:pPr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Выводы.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В данной работы были разобраны базовые принципы работы с OpenCL на примере разработки программы по вычислению фрактала Мендельброта. Было изучено, как работать с адресными пространствами, рабочими группами и элементами. Был изучен С-like язык разработки программ для рабочий элементов.</w:t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 w:cs="Times New Roman" w:eastAsiaTheme="minorHAns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cs="Times New Roman" w:eastAsiaTheme="minorHAns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 w:cs="Times New Roman" w:eastAsiaTheme="minorHAnsi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3"/>
    <w:next w:val="63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33"/>
    <w:next w:val="63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33"/>
    <w:next w:val="63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33"/>
    <w:next w:val="63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3"/>
    <w:next w:val="63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3"/>
    <w:next w:val="63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3"/>
    <w:next w:val="63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3"/>
    <w:next w:val="63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3"/>
    <w:next w:val="63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33"/>
    <w:next w:val="63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3"/>
    <w:next w:val="63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3"/>
    <w:next w:val="63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3"/>
    <w:next w:val="63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4"/>
    <w:link w:val="42"/>
    <w:uiPriority w:val="99"/>
    <w:pPr>
      <w:pBdr/>
      <w:spacing/>
      <w:ind/>
    </w:pPr>
  </w:style>
  <w:style w:type="paragraph" w:styleId="44">
    <w:name w:val="Footer"/>
    <w:basedOn w:val="63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4"/>
    <w:link w:val="44"/>
    <w:uiPriority w:val="99"/>
    <w:pPr>
      <w:pBdr/>
      <w:spacing/>
      <w:ind/>
    </w:pPr>
  </w:style>
  <w:style w:type="character" w:styleId="47">
    <w:name w:val="Caption Char"/>
    <w:basedOn w:val="648"/>
    <w:link w:val="44"/>
    <w:uiPriority w:val="99"/>
    <w:pPr>
      <w:pBdr/>
      <w:spacing/>
      <w:ind/>
    </w:pPr>
  </w:style>
  <w:style w:type="table" w:styleId="49">
    <w:name w:val="Table Grid Light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3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3"/>
    <w:next w:val="63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3"/>
    <w:next w:val="63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3"/>
    <w:next w:val="63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3"/>
    <w:next w:val="63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3"/>
    <w:next w:val="63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3"/>
    <w:next w:val="63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3"/>
    <w:next w:val="63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3"/>
    <w:next w:val="63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3"/>
    <w:next w:val="63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3"/>
    <w:next w:val="633"/>
    <w:uiPriority w:val="99"/>
    <w:unhideWhenUsed/>
    <w:pPr>
      <w:pBdr/>
      <w:spacing w:after="0" w:afterAutospacing="0"/>
      <w:ind/>
    </w:pPr>
  </w:style>
  <w:style w:type="paragraph" w:styleId="633" w:default="1">
    <w:name w:val="Normal"/>
    <w:qFormat/>
    <w:pPr>
      <w:pBdr/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styleId="634" w:default="1">
    <w:name w:val="Default Paragraph Font"/>
    <w:uiPriority w:val="1"/>
    <w:semiHidden/>
    <w:unhideWhenUsed/>
    <w:pPr>
      <w:pBdr/>
      <w:spacing/>
      <w:ind/>
    </w:pPr>
  </w:style>
  <w:style w:type="table" w:styleId="6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6" w:default="1">
    <w:name w:val="No List"/>
    <w:uiPriority w:val="99"/>
    <w:semiHidden/>
    <w:unhideWhenUsed/>
    <w:pPr>
      <w:pBdr/>
      <w:spacing/>
      <w:ind/>
    </w:pPr>
  </w:style>
  <w:style w:type="character" w:styleId="637">
    <w:name w:val="Hyperlink"/>
    <w:basedOn w:val="634"/>
    <w:uiPriority w:val="99"/>
    <w:semiHidden/>
    <w:unhideWhenUsed/>
    <w:pPr>
      <w:pBdr/>
      <w:spacing/>
      <w:ind/>
    </w:pPr>
    <w:rPr>
      <w:color w:val="0563c1" w:themeColor="hyperlink"/>
      <w:u w:val="single"/>
    </w:rPr>
  </w:style>
  <w:style w:type="character" w:styleId="638">
    <w:name w:val="Emphasis"/>
    <w:qFormat/>
    <w:pPr>
      <w:pBdr/>
      <w:spacing/>
      <w:ind/>
    </w:pPr>
    <w:rPr>
      <w:i w:val="0"/>
      <w:iCs w:val="0"/>
      <w:sz w:val="28"/>
      <w:szCs w:val="28"/>
    </w:rPr>
  </w:style>
  <w:style w:type="paragraph" w:styleId="639">
    <w:name w:val="List Paragraph"/>
    <w:basedOn w:val="633"/>
    <w:uiPriority w:val="34"/>
    <w:qFormat/>
    <w:pPr>
      <w:pBdr/>
      <w:spacing/>
      <w:ind w:left="720"/>
      <w:contextualSpacing w:val="true"/>
    </w:pPr>
  </w:style>
  <w:style w:type="character" w:styleId="640" w:customStyle="1">
    <w:name w:val="Code Знак"/>
    <w:basedOn w:val="634"/>
    <w:link w:val="641"/>
    <w:pPr>
      <w:pBdr/>
      <w:spacing/>
      <w:ind/>
    </w:pPr>
    <w:rPr>
      <w:rFonts w:ascii="Courier New" w:hAnsi="Courier New" w:cs="Courier New"/>
      <w:i/>
      <w:sz w:val="24"/>
      <w:szCs w:val="24"/>
      <w:lang w:val="ru-RU"/>
    </w:rPr>
  </w:style>
  <w:style w:type="paragraph" w:styleId="641" w:customStyle="1">
    <w:name w:val="Code"/>
    <w:basedOn w:val="633"/>
    <w:link w:val="640"/>
    <w:qFormat/>
    <w:pPr>
      <w:pBdr/>
      <w:spacing/>
      <w:ind w:firstLine="720"/>
    </w:pPr>
    <w:rPr>
      <w:rFonts w:ascii="Courier New" w:hAnsi="Courier New" w:cs="Courier New"/>
      <w:i/>
    </w:rPr>
  </w:style>
  <w:style w:type="paragraph" w:styleId="642" w:customStyle="1">
    <w:name w:val="Подрисуночная подпись"/>
    <w:basedOn w:val="633"/>
    <w:next w:val="633"/>
    <w:qFormat/>
    <w:pPr>
      <w:pBdr/>
      <w:spacing w:after="140"/>
      <w:ind/>
      <w:jc w:val="center"/>
    </w:pPr>
  </w:style>
  <w:style w:type="character" w:styleId="643" w:customStyle="1">
    <w:name w:val="Рисунок Знак"/>
    <w:basedOn w:val="634"/>
    <w:link w:val="644"/>
    <w:pPr>
      <w:pBdr/>
      <w:spacing/>
      <w:ind/>
    </w:pPr>
    <w:rPr>
      <w:rFonts w:ascii="Times New Roman" w:hAnsi="Times New Roman" w:cs="Times New Roman"/>
      <w:sz w:val="24"/>
      <w:szCs w:val="24"/>
      <w:lang w:val="ru-RU"/>
    </w:rPr>
  </w:style>
  <w:style w:type="paragraph" w:styleId="644" w:customStyle="1">
    <w:name w:val="Рисунок"/>
    <w:basedOn w:val="633"/>
    <w:link w:val="643"/>
    <w:qFormat/>
    <w:pPr>
      <w:pBdr/>
      <w:spacing w:after="140" w:before="140"/>
      <w:ind w:firstLine="0"/>
      <w:jc w:val="center"/>
    </w:pPr>
  </w:style>
  <w:style w:type="character" w:styleId="645" w:customStyle="1">
    <w:name w:val="Ащщщщщщ_character"/>
    <w:basedOn w:val="638"/>
    <w:link w:val="646"/>
    <w:pPr>
      <w:pBdr/>
      <w:spacing/>
      <w:ind/>
    </w:pPr>
    <w:rPr>
      <w:i w:val="0"/>
      <w:iCs w:val="0"/>
      <w:sz w:val="28"/>
      <w:szCs w:val="28"/>
    </w:rPr>
  </w:style>
  <w:style w:type="paragraph" w:styleId="646" w:customStyle="1">
    <w:name w:val="Ащщщщщщ"/>
    <w:basedOn w:val="633"/>
    <w:link w:val="645"/>
    <w:qFormat/>
    <w:pPr>
      <w:pBdr/>
      <w:spacing w:line="360" w:lineRule="auto"/>
      <w:ind w:firstLine="709"/>
    </w:pPr>
    <w:rPr>
      <w:rFonts w:asciiTheme="minorHAnsi" w:hAnsiTheme="minorHAnsi" w:cstheme="minorBidi"/>
      <w:sz w:val="28"/>
      <w:szCs w:val="28"/>
      <w:lang w:val="en-US"/>
    </w:rPr>
  </w:style>
  <w:style w:type="character" w:styleId="647">
    <w:name w:val="Book Title"/>
    <w:basedOn w:val="634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648">
    <w:name w:val="Caption"/>
    <w:basedOn w:val="633"/>
    <w:next w:val="633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649" w:customStyle="1">
    <w:name w:val="Pop"/>
    <w:basedOn w:val="641"/>
    <w:link w:val="650"/>
    <w:qFormat/>
    <w:pPr>
      <w:pBdr/>
      <w:spacing/>
      <w:ind w:firstLine="0"/>
    </w:pPr>
    <w:rPr>
      <w:b/>
      <w:i w:val="0"/>
      <w:lang w:val="en-US"/>
    </w:rPr>
  </w:style>
  <w:style w:type="character" w:styleId="650" w:customStyle="1">
    <w:name w:val="Pop Char"/>
    <w:basedOn w:val="640"/>
    <w:link w:val="649"/>
    <w:pPr>
      <w:pBdr/>
      <w:spacing/>
      <w:ind/>
    </w:pPr>
    <w:rPr>
      <w:rFonts w:ascii="Courier New" w:hAnsi="Courier New" w:cs="Courier New"/>
      <w:b/>
      <w:i w:val="0"/>
      <w:sz w:val="24"/>
      <w:szCs w:val="24"/>
      <w:lang w:val="ru-RU"/>
    </w:rPr>
  </w:style>
  <w:style w:type="table" w:styleId="651">
    <w:name w:val="Table Grid"/>
    <w:basedOn w:val="63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Аристархов</dc:creator>
  <cp:keywords/>
  <dc:description/>
  <cp:revision>18</cp:revision>
  <dcterms:created xsi:type="dcterms:W3CDTF">2022-10-15T13:15:00Z</dcterms:created>
  <dcterms:modified xsi:type="dcterms:W3CDTF">2023-11-13T10:10:34Z</dcterms:modified>
</cp:coreProperties>
</file>