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7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>
        <w:rPr>
          <w:b/>
          <w:cap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 ЭВМ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</w:t>
      </w:r>
      <w:r>
        <w:rPr>
          <w:b/>
          <w:sz w:val="28"/>
          <w:szCs w:val="28"/>
        </w:rPr>
        <w:t xml:space="preserve">6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«Параллельные алгоритмы»</w:t>
      </w:r>
      <w:r>
        <w:rPr>
          <w:b/>
          <w:sz w:val="28"/>
          <w:szCs w:val="28"/>
        </w:rPr>
      </w:r>
    </w:p>
    <w:p>
      <w:pPr>
        <w:pStyle w:val="677"/>
        <w:pBdr/>
        <w:tabs>
          <w:tab w:val="left" w:leader="none" w:pos="5220"/>
        </w:tabs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t xml:space="preserve">Оптимизация доступа к памяти в модели OpenCL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355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27"/>
        <w:gridCol w:w="2476"/>
        <w:gridCol w:w="2752"/>
      </w:tblGrid>
      <w:tr>
        <w:trPr>
          <w:trHeight w:val="614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127" w:type="dxa"/>
            <w:vAlign w:val="bottom"/>
            <w:textDirection w:val="lrTb"/>
            <w:noWrap w:val="false"/>
          </w:tcPr>
          <w:p>
            <w:pPr>
              <w:pStyle w:val="677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0304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00000a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76" w:type="dxa"/>
            <w:vAlign w:val="bottom"/>
            <w:textDirection w:val="lrTb"/>
            <w:noWrap w:val="false"/>
          </w:tcPr>
          <w:p>
            <w:pPr>
              <w:pStyle w:val="677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752" w:type="dxa"/>
            <w:vAlign w:val="bottom"/>
            <w:textDirection w:val="lrTb"/>
            <w:noWrap w:val="false"/>
          </w:tcPr>
          <w:p>
            <w:pPr>
              <w:pStyle w:val="677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Аристархов И.Е.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127" w:type="dxa"/>
            <w:vAlign w:val="bottom"/>
            <w:textDirection w:val="lrTb"/>
            <w:noWrap w:val="false"/>
          </w:tcPr>
          <w:p>
            <w:pPr>
              <w:pStyle w:val="677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00000a" w:sz="4" w:space="0"/>
              <w:bottom w:val="single" w:color="00000a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476" w:type="dxa"/>
            <w:vAlign w:val="bottom"/>
            <w:textDirection w:val="lrTb"/>
            <w:noWrap w:val="false"/>
          </w:tcPr>
          <w:p>
            <w:pPr>
              <w:pStyle w:val="677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752" w:type="dxa"/>
            <w:vAlign w:val="bottom"/>
            <w:textDirection w:val="lrTb"/>
            <w:noWrap w:val="false"/>
          </w:tcPr>
          <w:p>
            <w:pPr>
              <w:pStyle w:val="677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Сергеева Е.И.</w:t>
            </w:r>
            <w:r>
              <w:rPr>
                <w:sz w:val="28"/>
              </w:rPr>
            </w:r>
          </w:p>
        </w:tc>
      </w:tr>
    </w:tbl>
    <w:p>
      <w:pPr>
        <w:pStyle w:val="677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</w:p>
    <w:p>
      <w:pPr>
        <w:pStyle w:val="677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2023</w:t>
      </w:r>
      <w:r>
        <w:rPr>
          <w:bCs/>
          <w:sz w:val="28"/>
          <w:szCs w:val="28"/>
        </w:rPr>
      </w:r>
    </w:p>
    <w:p>
      <w:pPr>
        <w:pStyle w:val="677"/>
        <w:pageBreakBefore w:val="true"/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работы.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Используя OpenCL реализовать параллельное умножение матриц.</w:t>
      </w:r>
      <w:r>
        <w:rPr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77"/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работы.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Общий принцип работы с OpenCL был описан в предыдущей работе, поэтому данная часть будет описана кратко с подробностями в различиях.</w:t>
      </w:r>
      <w:r>
        <w:rPr>
          <w:sz w:val="28"/>
          <w:szCs w:val="28"/>
          <w:highlight w:val="none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Сперва получается устройство (в данном случае GPU), создается на него контекст и очередь команд. Затем загружается исходный код для kernel, он собирается и с ним формируется Kernel. Далее идет формирование переменных. Именно здесь и лежит основное отличие с предыдущей работой, где использовалось 2D изображение, когда как тут требуется создать 3 двумерных массива. Это можно сделать, создав одномерные буферы с ручным контролем перебора индексов у них. Для первых двух буферов (для матриц перемножения) передается не только размер, но и начальное значение, когда последний (для результата) остается без последнего.</w:t>
      </w:r>
      <w:r>
        <w:rPr>
          <w:bCs/>
          <w:i/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Теперь буферы и переменная размера привязываются к Kernel и создается задача на вычисление в очереди. Остается дождаться конца вычислений и очистить память. </w:t>
      </w:r>
      <w:r>
        <w:rPr>
          <w:sz w:val="28"/>
          <w:szCs w:val="28"/>
          <w:highlight w:val="none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Сама программа устройства не представляет особого интереса, т.к. все, что там проиходит – это перемножение элементов из обоих матриц по положению рабочего элемента. </w:t>
      </w:r>
      <w:r>
        <w:rPr>
          <w:sz w:val="28"/>
          <w:szCs w:val="28"/>
          <w:highlight w:val="none"/>
        </w:rPr>
      </w:r>
      <w:r/>
    </w:p>
    <w:p>
      <w:pPr>
        <w:pStyle w:val="677"/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77"/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Анализ.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Вычисления производились на Nvidia GTX 1650 4 Гб. Рабочая группа выставлялась в значение 32x32 (большие значения не поддерживаются). </w:t>
      </w:r>
      <w:r>
        <w:rPr>
          <w:sz w:val="28"/>
          <w:szCs w:val="28"/>
          <w:highlight w:val="none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Были получены следующие результаты:</w:t>
      </w:r>
      <w:r>
        <w:rPr>
          <w:sz w:val="28"/>
          <w:szCs w:val="28"/>
          <w:highlight w:val="none"/>
        </w:rPr>
      </w:r>
    </w:p>
    <w:tbl>
      <w:tblPr>
        <w:tblStyle w:val="713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Размер матрицы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CPU</w:t>
            </w:r>
            <w:r>
              <w:rPr>
                <w:sz w:val="28"/>
                <w:szCs w:val="28"/>
              </w:rPr>
              <w:t xml:space="preserve">, сек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Время на GPU, сек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128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0,064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0,004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256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0,486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0,015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512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1,902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0,062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1024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14,267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0,258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2048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119,558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Style w:val="677"/>
              <w:pBdr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0,953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77"/>
        <w:pBdr/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CPU реализация брала количество потоков по размеру матрицы (в одной из предыдущих работ был сделан вывод, что это лучший подход по скорости выполнения). </w:t>
      </w:r>
      <w:r>
        <w:rPr>
          <w:sz w:val="28"/>
          <w:szCs w:val="28"/>
          <w:highlight w:val="none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Из таблицы прекрасно видно, что GPU реализация выигрывает в десятки и в сотни раз, относительно CPU реализации. </w:t>
      </w:r>
      <w:r>
        <w:rPr>
          <w:sz w:val="28"/>
          <w:szCs w:val="28"/>
          <w:highlight w:val="none"/>
        </w:rPr>
      </w:r>
    </w:p>
    <w:p>
      <w:pPr>
        <w:pStyle w:val="677"/>
        <w:pBdr/>
        <w:spacing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Выводы.</w:t>
      </w:r>
      <w:r>
        <w:rPr>
          <w:b/>
          <w:sz w:val="28"/>
          <w:szCs w:val="28"/>
        </w:rPr>
      </w:r>
    </w:p>
    <w:p>
      <w:pPr>
        <w:pStyle w:val="677"/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была разработана программа производящ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я умножение матриц</w:t>
      </w:r>
      <w:r>
        <w:rPr>
          <w:sz w:val="28"/>
          <w:szCs w:val="28"/>
        </w:rPr>
        <w:t xml:space="preserve">, с использованием GPU на OpenCL. Сравнение данной программы с ранней реализацией на CPU показало, что GPU во много раз быстрее производит умножение.</w:t>
      </w:r>
      <w:r>
        <w:rPr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OpenSymbol">
    <w:panose1 w:val="05010000000000000000"/>
  </w:font>
  <w:font w:name="Courier New">
    <w:panose1 w:val="02070409020205020404"/>
  </w:font>
  <w:font w:name="Arimo">
    <w:panose1 w:val="02000603000000000000"/>
  </w:font>
  <w:font w:name="Times New Roman">
    <w:panose1 w:val="02020603050405020304"/>
  </w:font>
  <w:font w:name="Arial">
    <w:panose1 w:val="020B0604020202020204"/>
  </w:font>
  <w:font w:name="Noto Sans CJK SC">
    <w:panose1 w:val="020B0500000000000000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rPr>
          <w:color w:val="000000"/>
        </w:rP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styleLink w:val="710"/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10"/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/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/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styleLink w:val="712"/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12"/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/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/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/>
      <w:start w:val="1"/>
      <w:suff w:val="space"/>
    </w:lvl>
  </w:abstractNum>
  <w:abstractNum w:abstractNumId="3">
    <w:styleLink w:val="708"/>
    <w:lvl w:ilvl="0">
      <w:isLgl w:val="false"/>
      <w:lvlJc w:val="left"/>
      <w:lvlText w:val=""/>
      <w:numFmt w:val="bullet"/>
      <w:pPr>
        <w:pBdr/>
        <w:spacing/>
        <w:ind w:hanging="360" w:left="1069"/>
      </w:pPr>
      <w:pStyle w:val="708"/>
      <w:rPr>
        <w:rFonts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/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/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/>
      <w:start w:val="1"/>
      <w:suff w:val="space"/>
    </w:lvl>
  </w:abstractNum>
  <w:abstractNum w:abstractNumId="4">
    <w:styleLink w:val="711"/>
    <w:lvl w:ilvl="0">
      <w:isLgl w:val="false"/>
      <w:lvlJc w:val="left"/>
      <w:lvlText w:val=""/>
      <w:numFmt w:val="bullet"/>
      <w:pPr>
        <w:pBdr/>
        <w:spacing/>
        <w:ind w:hanging="360" w:left="1429"/>
      </w:pPr>
      <w:pStyle w:val="711"/>
      <w:rPr/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/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/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/>
      <w:start w:val="1"/>
      <w:suff w:val="space"/>
    </w:lvl>
  </w:abstractNum>
  <w:abstractNum w:abstractNumId="5">
    <w:styleLink w:val="709"/>
    <w:lvl w:ilvl="0">
      <w:isLgl w:val="false"/>
      <w:lvlJc w:val="left"/>
      <w:lvlText w:val=""/>
      <w:numFmt w:val="bullet"/>
      <w:pPr>
        <w:pBdr/>
        <w:spacing/>
        <w:ind w:hanging="360" w:left="1069"/>
      </w:pPr>
      <w:pStyle w:val="709"/>
      <w:rPr>
        <w:rFonts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/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/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/>
      <w:start w:val="1"/>
      <w:suff w:val="space"/>
    </w:lvl>
  </w:abstractNum>
  <w:abstractNum w:abstractNumId="6">
    <w:styleLink w:val="705"/>
    <w:lvl w:ilvl="0">
      <w:isLgl w:val="false"/>
      <w:lvlJc w:val="left"/>
      <w:lvlText w:val="%1."/>
      <w:numFmt w:val="decimal"/>
      <w:pPr>
        <w:pBdr/>
        <w:spacing/>
        <w:ind w:hanging="360" w:left="1069"/>
      </w:pPr>
      <w:pStyle w:val="705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space"/>
    </w:lvl>
    <w:lvl w:ilvl="2">
      <w:isLgl w:val="false"/>
      <w:lvlJc w:val="right"/>
      <w:lvlText w:val="%1.%2.%3."/>
      <w:numFmt w:val="lowerRoman"/>
      <w:pPr>
        <w:pBdr/>
        <w:spacing/>
        <w:ind w:hanging="180" w:left="2509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360" w:left="3229"/>
      </w:pPr>
      <w:rPr/>
      <w:start w:val="1"/>
      <w:suff w:val="space"/>
    </w:lvl>
    <w:lvl w:ilvl="4">
      <w:isLgl w:val="false"/>
      <w:lvlJc w:val="left"/>
      <w:lvlText w:val="%1.%2.%3.%4.%5."/>
      <w:numFmt w:val="lowerLetter"/>
      <w:pPr>
        <w:pBdr/>
        <w:spacing/>
        <w:ind w:hanging="360" w:left="3949"/>
      </w:pPr>
      <w:rPr/>
      <w:start w:val="1"/>
      <w:suff w:val="space"/>
    </w:lvl>
    <w:lvl w:ilvl="5">
      <w:isLgl w:val="false"/>
      <w:lvlJc w:val="right"/>
      <w:lvlText w:val="%1.%2.%3.%4.%5.%6."/>
      <w:numFmt w:val="lowerRoman"/>
      <w:pPr>
        <w:pBdr/>
        <w:spacing/>
        <w:ind w:hanging="180" w:left="4669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360" w:left="5389"/>
      </w:pPr>
      <w:rPr/>
      <w:start w:val="1"/>
      <w:suff w:val="space"/>
    </w:lvl>
    <w:lvl w:ilvl="7">
      <w:isLgl w:val="false"/>
      <w:lvlJc w:val="left"/>
      <w:lvlText w:val="%1.%2.%3.%4.%5.%6.%7.%8."/>
      <w:numFmt w:val="lowerLetter"/>
      <w:pPr>
        <w:pBdr/>
        <w:spacing/>
        <w:ind w:hanging="360" w:left="6109"/>
      </w:pPr>
      <w:rPr/>
      <w:start w:val="1"/>
      <w:suff w:val="space"/>
    </w:lvl>
    <w:lvl w:ilvl="8">
      <w:isLgl w:val="false"/>
      <w:lvlJc w:val="right"/>
      <w:lvlText w:val="%1.%2.%3.%4.%5.%6.%7.%8.%9."/>
      <w:numFmt w:val="lowerRoman"/>
      <w:pPr>
        <w:pBdr/>
        <w:spacing/>
        <w:ind w:hanging="180" w:left="6829"/>
      </w:pPr>
      <w:rPr/>
      <w:start w:val="1"/>
      <w:suff w:val="space"/>
    </w:lvl>
  </w:abstractNum>
  <w:abstractNum w:abstractNumId="7">
    <w:styleLink w:val="706"/>
    <w:lvl w:ilvl="0">
      <w:isLgl w:val="false"/>
      <w:lvlJc w:val="left"/>
      <w:lvlText w:val="–"/>
      <w:numFmt w:val="bullet"/>
      <w:pPr>
        <w:pBdr/>
        <w:spacing/>
        <w:ind w:hanging="360" w:left="1418"/>
      </w:pPr>
      <w:pStyle w:val="706"/>
      <w:rPr>
        <w:rFonts w:eastAsia="Arial" w:cs="Aria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eastAsia="Wingdings" w:cs="Wingdings"/>
      </w:rPr>
      <w:start w:val="1"/>
      <w:suff w:val="space"/>
    </w:lvl>
  </w:abstractNum>
  <w:abstractNum w:abstractNumId="8">
    <w:styleLink w:val="707"/>
    <w:lvl w:ilvl="0">
      <w:isLgl w:val="false"/>
      <w:lvlJc w:val="left"/>
      <w:lvlText w:val=""/>
      <w:numFmt w:val="bullet"/>
      <w:pPr>
        <w:pBdr/>
        <w:spacing/>
        <w:ind w:hanging="360" w:left="1080"/>
      </w:pPr>
      <w:pStyle w:val="707"/>
      <w:rPr>
        <w:rFonts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/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/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/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eastAsia="Noto Sans CJK SC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Noto Sans CJK SC" w:cs="Calibri"/>
        <w:sz w:val="22"/>
        <w:szCs w:val="22"/>
        <w:lang w:val="en-US" w:eastAsia="en-US" w:bidi="ar-SA"/>
      </w:rPr>
    </w:rPrDefault>
    <w:pPrDefault>
      <w:pPr>
        <w:widowControl w:val="false"/>
        <w:pBdr/>
        <w:spacing w:after="160" w:afterAutospacing="0" w:before="0" w:beforeAutospacing="0" w:line="25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73"/>
    <w:next w:val="67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7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73"/>
    <w:next w:val="67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3"/>
    <w:next w:val="67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3"/>
    <w:next w:val="67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7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74"/>
    <w:link w:val="42"/>
    <w:uiPriority w:val="99"/>
    <w:pPr>
      <w:pBdr/>
      <w:spacing/>
      <w:ind/>
    </w:pPr>
  </w:style>
  <w:style w:type="paragraph" w:styleId="44">
    <w:name w:val="Footer"/>
    <w:basedOn w:val="67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74"/>
    <w:link w:val="44"/>
    <w:uiPriority w:val="99"/>
    <w:pPr>
      <w:pBdr/>
      <w:spacing/>
      <w:ind/>
    </w:pPr>
  </w:style>
  <w:style w:type="character" w:styleId="47">
    <w:name w:val="Caption Char"/>
    <w:basedOn w:val="681"/>
    <w:link w:val="44"/>
    <w:uiPriority w:val="99"/>
    <w:pPr>
      <w:pBdr/>
      <w:spacing/>
      <w:ind/>
    </w:pPr>
  </w:style>
  <w:style w:type="table" w:styleId="49">
    <w:name w:val="Table Grid Light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3"/>
    <w:next w:val="67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3"/>
    <w:next w:val="67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3"/>
    <w:next w:val="67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3"/>
    <w:next w:val="67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3"/>
    <w:next w:val="67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3"/>
    <w:next w:val="67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3"/>
    <w:next w:val="67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3"/>
    <w:next w:val="67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73" w:default="1">
    <w:name w:val="Normal"/>
    <w:qFormat/>
    <w:pPr>
      <w:pBdr/>
      <w:spacing/>
      <w:ind/>
    </w:pPr>
  </w:style>
  <w:style w:type="character" w:styleId="674" w:default="1">
    <w:name w:val="Default Paragraph Font"/>
    <w:uiPriority w:val="1"/>
    <w:semiHidden/>
    <w:unhideWhenUsed/>
    <w:pPr>
      <w:pBdr/>
      <w:spacing/>
      <w:ind/>
    </w:pPr>
  </w:style>
  <w:style w:type="table" w:styleId="6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6" w:default="1">
    <w:name w:val="No List"/>
    <w:uiPriority w:val="99"/>
    <w:semiHidden/>
    <w:unhideWhenUsed/>
    <w:pPr>
      <w:pBdr/>
      <w:spacing/>
      <w:ind/>
    </w:pPr>
  </w:style>
  <w:style w:type="paragraph" w:styleId="677" w:customStyle="1">
    <w:name w:val="Standard"/>
    <w:pPr>
      <w:widowControl w:val="true"/>
      <w:pBdr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styleId="678" w:customStyle="1">
    <w:name w:val="Heading"/>
    <w:basedOn w:val="677"/>
    <w:next w:val="679"/>
    <w:pPr>
      <w:keepNext w:val="true"/>
      <w:pBdr/>
      <w:spacing w:after="120" w:before="240"/>
      <w:ind/>
    </w:pPr>
    <w:rPr>
      <w:rFonts w:ascii="Arimo" w:hAnsi="Arimo" w:cs="Arimo"/>
      <w:sz w:val="28"/>
      <w:szCs w:val="28"/>
    </w:rPr>
  </w:style>
  <w:style w:type="paragraph" w:styleId="679" w:customStyle="1">
    <w:name w:val="Text body"/>
    <w:basedOn w:val="677"/>
    <w:pPr>
      <w:pBdr/>
      <w:spacing w:after="120"/>
      <w:ind/>
    </w:pPr>
  </w:style>
  <w:style w:type="paragraph" w:styleId="680">
    <w:name w:val="List"/>
    <w:basedOn w:val="679"/>
    <w:pPr>
      <w:pBdr/>
      <w:spacing/>
      <w:ind/>
    </w:pPr>
    <w:rPr>
      <w:rFonts w:cs="Arimo"/>
    </w:rPr>
  </w:style>
  <w:style w:type="paragraph" w:styleId="681">
    <w:name w:val="Caption"/>
    <w:basedOn w:val="677"/>
    <w:pPr>
      <w:pBdr/>
      <w:spacing w:after="200" w:line="240" w:lineRule="auto"/>
      <w:ind/>
    </w:pPr>
    <w:rPr>
      <w:i/>
      <w:iCs/>
      <w:color w:val="44546a"/>
      <w:sz w:val="18"/>
      <w:szCs w:val="18"/>
    </w:rPr>
  </w:style>
  <w:style w:type="paragraph" w:styleId="682" w:customStyle="1">
    <w:name w:val="Index"/>
    <w:basedOn w:val="677"/>
    <w:pPr>
      <w:suppressLineNumbers w:val="true"/>
      <w:pBdr/>
      <w:spacing/>
      <w:ind/>
    </w:pPr>
    <w:rPr>
      <w:rFonts w:cs="Arimo"/>
    </w:rPr>
  </w:style>
  <w:style w:type="paragraph" w:styleId="683">
    <w:name w:val="List Paragraph"/>
    <w:basedOn w:val="677"/>
    <w:pPr>
      <w:pBdr/>
      <w:spacing/>
      <w:ind w:left="720"/>
    </w:pPr>
  </w:style>
  <w:style w:type="paragraph" w:styleId="684" w:customStyle="1">
    <w:name w:val="Code"/>
    <w:basedOn w:val="677"/>
    <w:pPr>
      <w:pBdr/>
      <w:spacing/>
      <w:ind w:firstLine="720"/>
    </w:pPr>
    <w:rPr>
      <w:rFonts w:ascii="Courier New" w:hAnsi="Courier New" w:cs="Courier New"/>
      <w:i/>
    </w:rPr>
  </w:style>
  <w:style w:type="paragraph" w:styleId="685" w:customStyle="1">
    <w:name w:val="Подрисуночная подпись"/>
    <w:basedOn w:val="677"/>
    <w:pPr>
      <w:pBdr/>
      <w:spacing w:after="140"/>
      <w:ind/>
      <w:jc w:val="center"/>
    </w:pPr>
  </w:style>
  <w:style w:type="paragraph" w:styleId="686" w:customStyle="1">
    <w:name w:val="Рисунок"/>
    <w:basedOn w:val="677"/>
    <w:pPr>
      <w:pBdr/>
      <w:spacing w:after="140" w:before="140"/>
      <w:ind w:firstLine="0"/>
      <w:jc w:val="center"/>
    </w:pPr>
  </w:style>
  <w:style w:type="paragraph" w:styleId="687" w:customStyle="1">
    <w:name w:val="Ащщщщщщ"/>
    <w:basedOn w:val="677"/>
    <w:pPr>
      <w:pBdr/>
      <w:spacing w:line="360" w:lineRule="auto"/>
      <w:ind w:firstLine="709"/>
    </w:pPr>
    <w:rPr>
      <w:rFonts w:ascii="Calibri" w:hAnsi="Calibri"/>
      <w:sz w:val="28"/>
      <w:szCs w:val="28"/>
      <w:lang w:val="en-US"/>
    </w:rPr>
  </w:style>
  <w:style w:type="paragraph" w:styleId="688" w:customStyle="1">
    <w:name w:val="Pop"/>
    <w:basedOn w:val="684"/>
    <w:pPr>
      <w:pBdr/>
      <w:spacing/>
      <w:ind w:firstLine="0"/>
    </w:pPr>
    <w:rPr>
      <w:b/>
      <w:i w:val="0"/>
      <w:lang w:val="en-US"/>
    </w:rPr>
  </w:style>
  <w:style w:type="paragraph" w:styleId="689" w:customStyle="1">
    <w:name w:val="Table Contents"/>
    <w:basedOn w:val="677"/>
    <w:pPr>
      <w:suppressLineNumbers w:val="true"/>
      <w:pBdr/>
      <w:spacing/>
      <w:ind/>
    </w:pPr>
  </w:style>
  <w:style w:type="paragraph" w:styleId="690" w:customStyle="1">
    <w:name w:val="Table Heading"/>
    <w:basedOn w:val="689"/>
    <w:pPr>
      <w:pBdr/>
      <w:spacing/>
      <w:ind/>
      <w:jc w:val="center"/>
    </w:pPr>
    <w:rPr>
      <w:b/>
      <w:bCs/>
    </w:rPr>
  </w:style>
  <w:style w:type="character" w:styleId="691" w:customStyle="1">
    <w:name w:val="Internet link"/>
    <w:basedOn w:val="674"/>
    <w:pPr>
      <w:pBdr/>
      <w:spacing/>
      <w:ind/>
    </w:pPr>
    <w:rPr>
      <w:color w:val="0563c1"/>
      <w:u w:val="single"/>
    </w:rPr>
  </w:style>
  <w:style w:type="character" w:styleId="692">
    <w:name w:val="Emphasis"/>
    <w:pPr>
      <w:pBdr/>
      <w:spacing/>
      <w:ind/>
    </w:pPr>
    <w:rPr>
      <w:i w:val="0"/>
      <w:iCs w:val="0"/>
      <w:sz w:val="28"/>
      <w:szCs w:val="28"/>
    </w:rPr>
  </w:style>
  <w:style w:type="character" w:styleId="693" w:customStyle="1">
    <w:name w:val="Code Знак"/>
    <w:basedOn w:val="674"/>
    <w:pPr>
      <w:pBdr/>
      <w:spacing/>
      <w:ind/>
    </w:pPr>
    <w:rPr>
      <w:rFonts w:ascii="Courier New" w:hAnsi="Courier New" w:cs="Courier New"/>
      <w:i/>
      <w:sz w:val="24"/>
      <w:szCs w:val="24"/>
      <w:lang w:val="ru-RU"/>
    </w:rPr>
  </w:style>
  <w:style w:type="character" w:styleId="694" w:customStyle="1">
    <w:name w:val="Рисунок Знак"/>
    <w:basedOn w:val="674"/>
    <w:pPr>
      <w:pBdr/>
      <w:spacing/>
      <w:ind/>
    </w:pPr>
    <w:rPr>
      <w:rFonts w:ascii="Times New Roman" w:hAnsi="Times New Roman" w:cs="Times New Roman"/>
      <w:sz w:val="24"/>
      <w:szCs w:val="24"/>
      <w:lang w:val="ru-RU"/>
    </w:rPr>
  </w:style>
  <w:style w:type="character" w:styleId="695" w:customStyle="1">
    <w:name w:val="Ащщщщщщ_character"/>
    <w:basedOn w:val="692"/>
    <w:pPr>
      <w:pBdr/>
      <w:spacing/>
      <w:ind/>
    </w:pPr>
    <w:rPr>
      <w:i w:val="0"/>
      <w:iCs w:val="0"/>
      <w:sz w:val="28"/>
      <w:szCs w:val="28"/>
    </w:rPr>
  </w:style>
  <w:style w:type="character" w:styleId="696">
    <w:name w:val="Book Title"/>
    <w:basedOn w:val="674"/>
    <w:pPr>
      <w:pBdr/>
      <w:spacing/>
      <w:ind/>
    </w:pPr>
    <w:rPr>
      <w:b/>
      <w:bCs/>
      <w:smallCaps/>
      <w:spacing w:val="5"/>
    </w:rPr>
  </w:style>
  <w:style w:type="character" w:styleId="697" w:customStyle="1">
    <w:name w:val="Pop Char"/>
    <w:basedOn w:val="693"/>
    <w:pPr>
      <w:pBdr/>
      <w:spacing/>
      <w:ind/>
    </w:pPr>
    <w:rPr>
      <w:rFonts w:ascii="Courier New" w:hAnsi="Courier New" w:cs="Courier New"/>
      <w:b/>
      <w:i w:val="0"/>
      <w:sz w:val="24"/>
      <w:szCs w:val="24"/>
      <w:lang w:val="ru-RU"/>
    </w:rPr>
  </w:style>
  <w:style w:type="character" w:styleId="698" w:customStyle="1">
    <w:name w:val="ListLabel 1"/>
    <w:pPr>
      <w:pBdr/>
      <w:spacing/>
      <w:ind/>
    </w:pPr>
    <w:rPr>
      <w:rFonts w:eastAsia="Arial" w:cs="Arial"/>
    </w:rPr>
  </w:style>
  <w:style w:type="character" w:styleId="699" w:customStyle="1">
    <w:name w:val="ListLabel 2"/>
    <w:pPr>
      <w:pBdr/>
      <w:spacing/>
      <w:ind/>
    </w:pPr>
    <w:rPr>
      <w:rFonts w:eastAsia="Courier New" w:cs="Courier New"/>
    </w:rPr>
  </w:style>
  <w:style w:type="character" w:styleId="700" w:customStyle="1">
    <w:name w:val="ListLabel 3"/>
    <w:pPr>
      <w:pBdr/>
      <w:spacing/>
      <w:ind/>
    </w:pPr>
    <w:rPr>
      <w:rFonts w:eastAsia="Wingdings" w:cs="Wingdings"/>
    </w:rPr>
  </w:style>
  <w:style w:type="character" w:styleId="701" w:customStyle="1">
    <w:name w:val="ListLabel 4"/>
    <w:pPr>
      <w:pBdr/>
      <w:spacing/>
      <w:ind/>
    </w:pPr>
    <w:rPr>
      <w:rFonts w:eastAsia="Symbol" w:cs="Symbol"/>
    </w:rPr>
  </w:style>
  <w:style w:type="character" w:styleId="702" w:customStyle="1">
    <w:name w:val="ListLabel 5"/>
    <w:pPr>
      <w:pBdr/>
      <w:spacing/>
      <w:ind/>
    </w:pPr>
    <w:rPr>
      <w:rFonts w:cs="Times New Roman"/>
    </w:rPr>
  </w:style>
  <w:style w:type="character" w:styleId="703" w:customStyle="1">
    <w:name w:val="ListLabel 6"/>
    <w:pPr>
      <w:pBdr/>
      <w:spacing/>
      <w:ind/>
    </w:pPr>
    <w:rPr>
      <w:rFonts w:cs="Courier New"/>
    </w:rPr>
  </w:style>
  <w:style w:type="character" w:styleId="704" w:customStyle="1">
    <w:name w:val="Bullet Symbols"/>
    <w:pPr>
      <w:pBdr/>
      <w:spacing/>
      <w:ind/>
    </w:pPr>
    <w:rPr>
      <w:rFonts w:ascii="OpenSymbol" w:hAnsi="OpenSymbol" w:eastAsia="OpenSymbol" w:cs="OpenSymbol"/>
    </w:rPr>
  </w:style>
  <w:style w:type="numbering" w:styleId="705" w:customStyle="1">
    <w:name w:val="WWNum1"/>
    <w:basedOn w:val="676"/>
    <w:pPr>
      <w:numPr>
        <w:ilvl w:val="0"/>
        <w:numId w:val="1"/>
      </w:numPr>
      <w:pBdr/>
      <w:spacing/>
      <w:ind/>
    </w:pPr>
  </w:style>
  <w:style w:type="numbering" w:styleId="706" w:customStyle="1">
    <w:name w:val="WWNum2"/>
    <w:basedOn w:val="676"/>
    <w:pPr>
      <w:numPr>
        <w:ilvl w:val="0"/>
        <w:numId w:val="2"/>
      </w:numPr>
      <w:pBdr/>
      <w:spacing/>
      <w:ind/>
    </w:pPr>
  </w:style>
  <w:style w:type="numbering" w:styleId="707" w:customStyle="1">
    <w:name w:val="WWNum3"/>
    <w:basedOn w:val="676"/>
    <w:pPr>
      <w:numPr>
        <w:ilvl w:val="0"/>
        <w:numId w:val="3"/>
      </w:numPr>
      <w:pBdr/>
      <w:spacing/>
      <w:ind/>
    </w:pPr>
  </w:style>
  <w:style w:type="numbering" w:styleId="708" w:customStyle="1">
    <w:name w:val="WWNum4"/>
    <w:basedOn w:val="676"/>
    <w:pPr>
      <w:numPr>
        <w:ilvl w:val="0"/>
        <w:numId w:val="4"/>
      </w:numPr>
      <w:pBdr/>
      <w:spacing/>
      <w:ind/>
    </w:pPr>
  </w:style>
  <w:style w:type="numbering" w:styleId="709" w:customStyle="1">
    <w:name w:val="WWNum5"/>
    <w:basedOn w:val="676"/>
    <w:pPr>
      <w:numPr>
        <w:ilvl w:val="0"/>
        <w:numId w:val="5"/>
      </w:numPr>
      <w:pBdr/>
      <w:spacing/>
      <w:ind/>
    </w:pPr>
  </w:style>
  <w:style w:type="numbering" w:styleId="710" w:customStyle="1">
    <w:name w:val="WWNum6"/>
    <w:basedOn w:val="676"/>
    <w:pPr>
      <w:numPr>
        <w:ilvl w:val="0"/>
        <w:numId w:val="6"/>
      </w:numPr>
      <w:pBdr/>
      <w:spacing/>
      <w:ind/>
    </w:pPr>
  </w:style>
  <w:style w:type="numbering" w:styleId="711" w:customStyle="1">
    <w:name w:val="WWNum7"/>
    <w:basedOn w:val="676"/>
    <w:pPr>
      <w:numPr>
        <w:ilvl w:val="0"/>
        <w:numId w:val="7"/>
      </w:numPr>
      <w:pBdr/>
      <w:spacing/>
      <w:ind/>
    </w:pPr>
  </w:style>
  <w:style w:type="numbering" w:styleId="712" w:customStyle="1">
    <w:name w:val="WWNum8"/>
    <w:basedOn w:val="676"/>
    <w:pPr>
      <w:numPr>
        <w:ilvl w:val="0"/>
        <w:numId w:val="8"/>
      </w:numPr>
      <w:pBdr/>
      <w:spacing/>
      <w:ind/>
    </w:pPr>
  </w:style>
  <w:style w:type="table" w:styleId="713">
    <w:name w:val="Table Grid"/>
    <w:basedOn w:val="675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4">
    <w:name w:val="Placeholder Text"/>
    <w:basedOn w:val="674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Аристархов</dc:creator>
  <cp:revision>6</cp:revision>
  <dcterms:created xsi:type="dcterms:W3CDTF">2023-10-15T11:04:00Z</dcterms:created>
  <dcterms:modified xsi:type="dcterms:W3CDTF">2023-11-22T15:08:43Z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0.000000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