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F6847" w14:textId="1FCF04BE" w:rsidR="00A41B0E" w:rsidRDefault="000C1C76" w:rsidP="000C1C76">
      <w:pPr>
        <w:pStyle w:val="Title"/>
        <w:jc w:val="center"/>
        <w:rPr>
          <w:rStyle w:val="Strong"/>
        </w:rPr>
      </w:pPr>
      <w:r>
        <w:rPr>
          <w:rStyle w:val="Strong"/>
        </w:rPr>
        <w:t>Индексация и производителност</w:t>
      </w:r>
    </w:p>
    <w:p w14:paraId="63F5BCF8" w14:textId="655F6F07" w:rsidR="000C1C76" w:rsidRDefault="000C1C76" w:rsidP="000C1C76"/>
    <w:p w14:paraId="2C5D940C" w14:textId="77777777" w:rsidR="000C1C76" w:rsidRDefault="000C1C76" w:rsidP="000C1C76">
      <w:r w:rsidRPr="000C1C76">
        <w:rPr>
          <w:b/>
          <w:bCs/>
        </w:rPr>
        <w:t>7.1. Ключови индекси за бързо търсене и проверки</w:t>
      </w:r>
      <w:r>
        <w:br/>
        <w:t>Въпреки че полетата с primary keys (</w:t>
      </w:r>
      <w:r>
        <w:rPr>
          <w:rFonts w:ascii="Tahoma" w:hAnsi="Tahoma" w:cs="Tahoma"/>
        </w:rPr>
        <w:t>⁠</w:t>
      </w:r>
      <w:r>
        <w:t>CustomerID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Tahoma" w:hAnsi="Tahoma" w:cs="Tahoma"/>
        </w:rPr>
        <w:t>⁠</w:t>
      </w:r>
      <w:r>
        <w:t>PassTypeID</w:t>
      </w:r>
      <w:r>
        <w:rPr>
          <w:rFonts w:ascii="Tahoma" w:hAnsi="Tahoma" w:cs="Tahoma"/>
        </w:rPr>
        <w:t>⁠</w:t>
      </w:r>
      <w:r>
        <w:rPr>
          <w:lang w:val="en-US"/>
        </w:rPr>
        <w:t>…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⁠</w:t>
      </w:r>
      <w:r>
        <w:t xml:space="preserve">)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ун</w:t>
      </w:r>
      <w:r>
        <w:t>икални ограничения (</w:t>
      </w:r>
      <w:r>
        <w:rPr>
          <w:rFonts w:ascii="Tahoma" w:hAnsi="Tahoma" w:cs="Tahoma"/>
        </w:rPr>
        <w:t>⁠</w:t>
      </w:r>
      <w:r>
        <w:t>UNIQUE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Tahoma" w:hAnsi="Tahoma" w:cs="Tahoma"/>
        </w:rPr>
        <w:t>⁠</w:t>
      </w:r>
      <w:r>
        <w:t>Phone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Tahoma" w:hAnsi="Tahoma" w:cs="Tahoma"/>
        </w:rPr>
        <w:t>⁠</w:t>
      </w:r>
      <w:r>
        <w:t>PassName</w:t>
      </w:r>
      <w:r>
        <w:rPr>
          <w:rFonts w:ascii="Tahoma" w:hAnsi="Tahoma" w:cs="Tahoma"/>
        </w:rPr>
        <w:t>⁠</w:t>
      </w:r>
      <w:r>
        <w:t xml:space="preserve">) </w:t>
      </w:r>
      <w:r>
        <w:rPr>
          <w:rFonts w:ascii="Calibri" w:hAnsi="Calibri" w:cs="Calibri"/>
        </w:rPr>
        <w:t>се</w:t>
      </w:r>
      <w:r>
        <w:t xml:space="preserve"> </w:t>
      </w:r>
      <w:r>
        <w:rPr>
          <w:rFonts w:ascii="Calibri" w:hAnsi="Calibri" w:cs="Calibri"/>
        </w:rPr>
        <w:t>индексират</w:t>
      </w:r>
      <w:r>
        <w:t xml:space="preserve"> </w:t>
      </w:r>
      <w:r>
        <w:rPr>
          <w:rFonts w:ascii="Calibri" w:hAnsi="Calibri" w:cs="Calibri"/>
        </w:rPr>
        <w:t>автоматичн</w:t>
      </w:r>
      <w:r>
        <w:rPr>
          <w:rFonts w:ascii="Calibri" w:hAnsi="Calibri" w:cs="Calibri"/>
          <w:lang w:val="en-US"/>
        </w:rPr>
        <w:t>o</w:t>
      </w:r>
      <w:r>
        <w:t xml:space="preserve">, </w:t>
      </w:r>
      <w:r>
        <w:rPr>
          <w:rFonts w:ascii="Calibri" w:hAnsi="Calibri" w:cs="Calibri"/>
        </w:rPr>
        <w:t>се</w:t>
      </w:r>
      <w:r>
        <w:t xml:space="preserve"> </w:t>
      </w:r>
      <w:r>
        <w:rPr>
          <w:rFonts w:ascii="Calibri" w:hAnsi="Calibri" w:cs="Calibri"/>
        </w:rPr>
        <w:t>изискват</w:t>
      </w:r>
      <w:r>
        <w:t xml:space="preserve"> </w:t>
      </w:r>
      <w:r>
        <w:rPr>
          <w:rFonts w:ascii="Calibri" w:hAnsi="Calibri" w:cs="Calibri"/>
        </w:rPr>
        <w:t>допълнителни</w:t>
      </w:r>
      <w:r>
        <w:t xml:space="preserve"> </w:t>
      </w:r>
      <w:r>
        <w:rPr>
          <w:rFonts w:ascii="Calibri" w:hAnsi="Calibri" w:cs="Calibri"/>
        </w:rPr>
        <w:t>индекси</w:t>
      </w:r>
      <w:r>
        <w:t xml:space="preserve"> </w:t>
      </w:r>
      <w:r>
        <w:rPr>
          <w:rFonts w:ascii="Calibri" w:hAnsi="Calibri" w:cs="Calibri"/>
        </w:rPr>
        <w:t>за</w:t>
      </w:r>
      <w:r>
        <w:t xml:space="preserve"> </w:t>
      </w:r>
      <w:r>
        <w:rPr>
          <w:rFonts w:ascii="Calibri" w:hAnsi="Calibri" w:cs="Calibri"/>
        </w:rPr>
        <w:t>оптимизация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честите</w:t>
      </w:r>
      <w:r>
        <w:t xml:space="preserve"> </w:t>
      </w:r>
      <w:r>
        <w:rPr>
          <w:rFonts w:ascii="Calibri" w:hAnsi="Calibri" w:cs="Calibri"/>
        </w:rPr>
        <w:t>заявки</w:t>
      </w:r>
      <w:r>
        <w:t>:</w:t>
      </w:r>
    </w:p>
    <w:p w14:paraId="6B0C6FD7" w14:textId="77777777" w:rsidR="000C1C76" w:rsidRDefault="000C1C76" w:rsidP="000C1C76">
      <w:r>
        <w:br/>
        <w:t>1. Индекс по телефонен номер на клиентите</w:t>
      </w:r>
      <w:r>
        <w:rPr>
          <w:b/>
          <w:bCs/>
        </w:rPr>
        <w:t>:</w:t>
      </w:r>
      <w:r>
        <w:br/>
      </w:r>
      <w:r w:rsidRPr="000C1C76">
        <w:t>Цел:</w:t>
      </w:r>
      <w:r>
        <w:t xml:space="preserve"> Рецепционистите търсят клиенти най-често по телефон. Търсенето в </w:t>
      </w:r>
      <w:r>
        <w:rPr>
          <w:rFonts w:ascii="Tahoma" w:hAnsi="Tahoma" w:cs="Tahoma"/>
        </w:rPr>
        <w:t>⁠</w:t>
      </w:r>
      <w:r>
        <w:t>Customers (Phone)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трябва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</w:t>
      </w:r>
      <w:r>
        <w:rPr>
          <w:rFonts w:ascii="Calibri" w:hAnsi="Calibri" w:cs="Calibri"/>
        </w:rPr>
        <w:t>отнема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lang w:val="en-US"/>
        </w:rPr>
        <w:t>8</w:t>
      </w:r>
      <w:r>
        <w:t xml:space="preserve"> </w:t>
      </w:r>
      <w:r>
        <w:rPr>
          <w:rFonts w:ascii="Calibri" w:hAnsi="Calibri" w:cs="Calibri"/>
        </w:rPr>
        <w:t>милисекунди</w:t>
      </w:r>
      <w:r>
        <w:t>.</w:t>
      </w:r>
      <w:r>
        <w:br/>
        <w:t>2. Композитен индекс за активни карти</w:t>
      </w:r>
      <w:r>
        <w:rPr>
          <w:b/>
          <w:bCs/>
          <w:lang w:val="en-US"/>
        </w:rPr>
        <w:t>:</w:t>
      </w:r>
      <w:r>
        <w:br/>
      </w:r>
      <w:r w:rsidRPr="000C1C76">
        <w:t>Полета:</w:t>
      </w:r>
      <w:r>
        <w:t xml:space="preserve"> </w:t>
      </w:r>
      <w:r>
        <w:rPr>
          <w:rFonts w:ascii="Tahoma" w:hAnsi="Tahoma" w:cs="Tahoma"/>
        </w:rPr>
        <w:t>⁠</w:t>
      </w:r>
      <w:r>
        <w:t>(CustomerID, ExpiryDate, RemainingVisits)</w:t>
      </w:r>
      <w:r>
        <w:rPr>
          <w:rFonts w:ascii="Tahoma" w:hAnsi="Tahoma" w:cs="Tahoma"/>
        </w:rPr>
        <w:t>⁠</w:t>
      </w:r>
      <w:r>
        <w:br/>
      </w:r>
      <w:r w:rsidRPr="000C1C76">
        <w:t>Цел:</w:t>
      </w:r>
      <w:r>
        <w:t xml:space="preserve"> Когато клиентът се яви на рецепция, системата трябва да извади само онези негови карти, които са валидни към днешна дата и имат оставащи посещения.</w:t>
      </w:r>
      <w:r>
        <w:br/>
        <w:t>3. Индекс по дата на посещение</w:t>
      </w:r>
      <w:r>
        <w:rPr>
          <w:b/>
          <w:bCs/>
          <w:lang w:val="en-US"/>
        </w:rPr>
        <w:t>:</w:t>
      </w:r>
      <w:r>
        <w:br/>
      </w:r>
      <w:r w:rsidRPr="000C1C76">
        <w:t>Поле:</w:t>
      </w:r>
      <w:r>
        <w:t xml:space="preserve"> </w:t>
      </w:r>
      <w:r>
        <w:rPr>
          <w:rFonts w:ascii="Tahoma" w:hAnsi="Tahoma" w:cs="Tahoma"/>
        </w:rPr>
        <w:t>⁠</w:t>
      </w:r>
      <w:r>
        <w:t>CheckinDateTime</w:t>
      </w:r>
      <w:r>
        <w:rPr>
          <w:rFonts w:ascii="Tahoma" w:hAnsi="Tahoma" w:cs="Tahoma"/>
        </w:rPr>
        <w:t>⁠</w:t>
      </w:r>
      <w:r>
        <w:br/>
      </w:r>
      <w:r w:rsidRPr="000C1C76">
        <w:t>Цел:</w:t>
      </w:r>
      <w:r>
        <w:t xml:space="preserve"> Улеснява генерирането на дневни, седмични и месечни справки и статистики за посещаемостта на фитнеса.</w:t>
      </w:r>
    </w:p>
    <w:p w14:paraId="19333FD4" w14:textId="5BAC895D" w:rsidR="000C1C76" w:rsidRPr="000C1C76" w:rsidRDefault="000C1C76" w:rsidP="000C1C76">
      <w:r>
        <w:br/>
      </w:r>
      <w:r w:rsidRPr="000C1C76">
        <w:rPr>
          <w:b/>
          <w:bCs/>
        </w:rPr>
        <w:t>7.2. Стратегия за поддръжка на производителността</w:t>
      </w:r>
      <w:r>
        <w:br/>
        <w:t>Архивиране на стари данни</w:t>
      </w:r>
      <w:r>
        <w:rPr>
          <w:b/>
          <w:bCs/>
        </w:rPr>
        <w:t>:</w:t>
      </w:r>
      <w:r>
        <w:t xml:space="preserve"> Записи в таблицата </w:t>
      </w:r>
      <w:r>
        <w:rPr>
          <w:rFonts w:ascii="Tahoma" w:hAnsi="Tahoma" w:cs="Tahoma"/>
        </w:rPr>
        <w:t>⁠</w:t>
      </w:r>
      <w:r>
        <w:t>Checkins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изтекли</w:t>
      </w:r>
      <w:r>
        <w:t xml:space="preserve"> </w:t>
      </w:r>
      <w:r>
        <w:rPr>
          <w:rFonts w:ascii="Calibri" w:hAnsi="Calibri" w:cs="Calibri"/>
        </w:rPr>
        <w:t>стари</w:t>
      </w:r>
      <w:r>
        <w:t xml:space="preserve"> </w:t>
      </w:r>
      <w:r>
        <w:rPr>
          <w:rFonts w:ascii="Calibri" w:hAnsi="Calibri" w:cs="Calibri"/>
        </w:rPr>
        <w:t>карти</w:t>
      </w:r>
      <w:r>
        <w:t xml:space="preserve"> </w:t>
      </w:r>
      <w:r>
        <w:rPr>
          <w:rFonts w:ascii="Calibri" w:hAnsi="Calibri" w:cs="Calibri"/>
        </w:rPr>
        <w:t>отпреди</w:t>
      </w:r>
      <w:r>
        <w:t xml:space="preserve"> </w:t>
      </w:r>
      <w:r>
        <w:rPr>
          <w:rFonts w:ascii="Calibri" w:hAnsi="Calibri" w:cs="Calibri"/>
        </w:rPr>
        <w:t>повече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lang w:val="en-US"/>
        </w:rPr>
        <w:t>1</w:t>
      </w:r>
      <w:r>
        <w:t xml:space="preserve"> </w:t>
      </w:r>
      <w:r>
        <w:rPr>
          <w:rFonts w:ascii="Calibri" w:hAnsi="Calibri" w:cs="Calibri"/>
        </w:rPr>
        <w:t>годин</w:t>
      </w:r>
      <w:r>
        <w:rPr>
          <w:rFonts w:ascii="Calibri" w:hAnsi="Calibri" w:cs="Calibri"/>
          <w:lang w:val="en-US"/>
        </w:rPr>
        <w:t>a</w:t>
      </w:r>
      <w:r>
        <w:t xml:space="preserve"> </w:t>
      </w:r>
      <w:r>
        <w:rPr>
          <w:rFonts w:ascii="Calibri" w:hAnsi="Calibri" w:cs="Calibri"/>
        </w:rPr>
        <w:t>могат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</w:t>
      </w:r>
      <w:r>
        <w:rPr>
          <w:rFonts w:ascii="Calibri" w:hAnsi="Calibri" w:cs="Calibri"/>
        </w:rPr>
        <w:t>бъдат</w:t>
      </w:r>
      <w:r>
        <w:t xml:space="preserve"> </w:t>
      </w:r>
      <w:r>
        <w:rPr>
          <w:rFonts w:ascii="Calibri" w:hAnsi="Calibri" w:cs="Calibri"/>
        </w:rPr>
        <w:t>прехвърляни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архив</w:t>
      </w:r>
      <w:r>
        <w:t>ени таблици, за да се поддържа бързината на активната база данни.</w:t>
      </w:r>
      <w:r>
        <w:br/>
        <w:t>Оптимизиране на транзакциите</w:t>
      </w:r>
      <w:r>
        <w:rPr>
          <w:b/>
          <w:bCs/>
        </w:rPr>
        <w:t>:</w:t>
      </w:r>
      <w:r>
        <w:t xml:space="preserve"> Операцията по чекиране (създаване на </w:t>
      </w:r>
      <w:r>
        <w:rPr>
          <w:rFonts w:ascii="Tahoma" w:hAnsi="Tahoma" w:cs="Tahoma"/>
        </w:rPr>
        <w:t>⁠</w:t>
      </w:r>
      <w:r>
        <w:t>Checkins</w:t>
      </w:r>
      <w:r>
        <w:rPr>
          <w:rFonts w:ascii="Tahoma" w:hAnsi="Tahoma" w:cs="Tahoma"/>
        </w:rPr>
        <w:t>⁠</w:t>
      </w:r>
      <w:r>
        <w:t xml:space="preserve"> + </w:t>
      </w:r>
      <w:r>
        <w:rPr>
          <w:rFonts w:ascii="Calibri" w:hAnsi="Calibri" w:cs="Calibri"/>
        </w:rPr>
        <w:t>намаляване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Tahoma" w:hAnsi="Tahoma" w:cs="Tahoma"/>
        </w:rPr>
        <w:t>⁠</w:t>
      </w:r>
      <w:r>
        <w:t>RemainingVisits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Tahoma" w:hAnsi="Tahoma" w:cs="Tahoma"/>
        </w:rPr>
        <w:t>⁠</w:t>
      </w:r>
      <w:r>
        <w:t>CustomerPasses</w:t>
      </w:r>
      <w:r>
        <w:rPr>
          <w:rFonts w:ascii="Tahoma" w:hAnsi="Tahoma" w:cs="Tahoma"/>
        </w:rPr>
        <w:t>⁠</w:t>
      </w:r>
      <w:r>
        <w:t xml:space="preserve">) </w:t>
      </w:r>
      <w:r>
        <w:rPr>
          <w:rFonts w:ascii="Calibri" w:hAnsi="Calibri" w:cs="Calibri"/>
        </w:rPr>
        <w:t>задължително</w:t>
      </w:r>
      <w:r>
        <w:t xml:space="preserve"> </w:t>
      </w:r>
      <w:r>
        <w:rPr>
          <w:rFonts w:ascii="Calibri" w:hAnsi="Calibri" w:cs="Calibri"/>
        </w:rPr>
        <w:t>се</w:t>
      </w:r>
      <w:r>
        <w:t xml:space="preserve"> </w:t>
      </w:r>
      <w:r>
        <w:rPr>
          <w:rFonts w:ascii="Calibri" w:hAnsi="Calibri" w:cs="Calibri"/>
        </w:rPr>
        <w:t>изпълнява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рамките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една</w:t>
      </w:r>
      <w:r>
        <w:t xml:space="preserve"> </w:t>
      </w:r>
      <w:r>
        <w:rPr>
          <w:rFonts w:ascii="Calibri" w:hAnsi="Calibri" w:cs="Calibri"/>
        </w:rPr>
        <w:t>транз</w:t>
      </w:r>
      <w:r>
        <w:t>акция за да се предотврати разминаване на данните при срив.</w:t>
      </w:r>
    </w:p>
    <w:sectPr w:rsidR="000C1C76" w:rsidRPr="000C1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76"/>
    <w:rsid w:val="000C1C76"/>
    <w:rsid w:val="00A4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2A8E"/>
  <w15:chartTrackingRefBased/>
  <w15:docId w15:val="{5096931C-625A-4316-A089-5B60DDF3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1C7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0C1C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C76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Теодора Даниел Скулиева</dc:creator>
  <cp:keywords/>
  <dc:description/>
  <cp:lastModifiedBy>Теодора Даниел Скулиева</cp:lastModifiedBy>
  <cp:revision>1</cp:revision>
  <dcterms:created xsi:type="dcterms:W3CDTF">2026-10-12T11:49:00Z</dcterms:created>
  <dcterms:modified xsi:type="dcterms:W3CDTF">2026-10-12T12:04:00Z</dcterms:modified>
</cp:coreProperties>
</file>