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1 CIMMYT International Maize and Wheat Improvement Center, New Delhi, India</w:t>
      </w:r>
    </w:p>
    <w:p w14:paraId="49C917FA" w14:textId="77777777" w:rsidR="00CD609E" w:rsidRDefault="00C62B9D" w:rsidP="00126D58">
      <w:pPr>
        <w:rPr>
          <w:rFonts w:cs="Times New Roman"/>
        </w:rPr>
      </w:pPr>
      <w:r>
        <w:rPr>
          <w:rFonts w:cs="Times New Roman"/>
        </w:rPr>
        <w:t>2 International Rice Research Institute (IRRI), Los Baños,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B202CF">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022EDDE3"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p>
    <w:p w14:paraId="1972DBBD" w14:textId="3D010A04" w:rsidR="008F2406" w:rsidRDefault="008F2406">
      <w:pPr>
        <w:jc w:val="both"/>
        <w:rPr>
          <w:rFonts w:cs="Times New Roman"/>
        </w:rPr>
      </w:pPr>
      <w:r>
        <w:rPr>
          <w:rFonts w:cs="Times New Roman"/>
        </w:rPr>
        <w:t xml:space="preserve">METHODS: </w:t>
      </w:r>
      <w:r w:rsidR="007B019E">
        <w:rPr>
          <w:rFonts w:cs="Times New Roman"/>
        </w:rPr>
        <w:t xml:space="preserve">We use a second order stochastic dominance approach that is paired with computational optimization.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B202CF">
      <w:pPr>
        <w:pStyle w:val="Heading1"/>
      </w:pPr>
      <w:r>
        <w:lastRenderedPageBreak/>
        <w:t>Graphical Abstract</w:t>
      </w:r>
    </w:p>
    <w:p w14:paraId="0A93EC5E" w14:textId="77777777" w:rsidR="008D27C7" w:rsidRDefault="008D27C7" w:rsidP="00B202CF">
      <w:pPr>
        <w:pStyle w:val="Heading1"/>
      </w:pPr>
      <w:r>
        <w:rPr>
          <w:noProof/>
        </w:rPr>
        <mc:AlternateContent>
          <mc:Choice Requires="wps">
            <w:drawing>
              <wp:anchor distT="0" distB="0" distL="114300" distR="114300" simplePos="0" relativeHeight="251659268" behindDoc="0" locked="0" layoutInCell="1" allowOverlap="1" wp14:anchorId="10928F09" wp14:editId="0D512327">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&#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r w:rsidRPr="00256197">
        <w:rPr>
          <w:noProof/>
        </w:rPr>
        <w:drawing>
          <wp:inline distT="0" distB="0" distL="0" distR="0" wp14:anchorId="0D2CD65B" wp14:editId="3D6F0C0B">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B202CF">
      <w:pPr>
        <w:pStyle w:val="Heading1"/>
      </w:pPr>
      <w:r w:rsidRPr="00256197">
        <w:lastRenderedPageBreak/>
        <w:t>1.</w:t>
      </w:r>
      <w:r w:rsidR="001527A4" w:rsidRPr="00256197">
        <w:t xml:space="preserve"> </w:t>
      </w:r>
      <w:r w:rsidR="007D0CEF" w:rsidRPr="00256197">
        <w:t xml:space="preserve">Introduction </w:t>
      </w:r>
    </w:p>
    <w:p w14:paraId="12CEF685" w14:textId="08A1A12B"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7B019E">
        <w:rPr>
          <w:rFonts w:cs="Times New Roman"/>
        </w:rPr>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7B019E">
        <w:rPr>
          <w:rFonts w:cs="Times New Roman"/>
          <w:noProof/>
        </w:rPr>
        <w:t>(Ruzzante et al.,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p>
    <w:p w14:paraId="697012C3" w14:textId="4BFD532B"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Urfels et al (2022) and Montes et al (2022</w:t>
      </w:r>
      <w:r w:rsidR="00CD2132" w:rsidRPr="00B03562">
        <w:t xml:space="preserve">) </w:t>
      </w:r>
      <w:r w:rsidR="00EB6DCE">
        <w:t>used</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7B019E">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7B019E">
        <w:rPr>
          <w:noProof/>
        </w:rPr>
        <w:t>(Ruzzante et al.,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9F5123">
        <w:instrText xml:space="preserve"> ADDIN EN.CITE &lt;EndNote&gt;&lt;Cite AuthorYear="1"&gt;&lt;Author&gt;Hurley&lt;/Author&gt;&lt;Year&gt;2018&lt;/Year&gt;&lt;RecNum&gt;16&lt;/RecNum&gt;&lt;DisplayText&gt;Hurley et al.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9F5123">
        <w:rPr>
          <w:noProof/>
        </w:rPr>
        <w:t>Hurley et al.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0E5DB794" w:rsidR="00F53458" w:rsidRPr="00450E8D" w:rsidRDefault="00F53458" w:rsidP="00772407">
      <w:pPr>
        <w:jc w:val="both"/>
        <w:rPr>
          <w:rFonts w:cs="Times New Roman"/>
        </w:rPr>
      </w:pPr>
      <w:r>
        <w:rPr>
          <w:rFonts w:cs="Times New Roman"/>
        </w:rPr>
        <w:t xml:space="preserve">To address this knowledge gap, we deploy </w:t>
      </w:r>
      <w:r w:rsidRPr="00450E8D">
        <w:rPr>
          <w:rFonts w:cs="Times New Roman"/>
        </w:rPr>
        <w:t>a robust</w:t>
      </w:r>
      <w:r>
        <w:rPr>
          <w:rFonts w:cs="Times New Roman"/>
        </w:rPr>
        <w:t xml:space="preserve"> and risk-oriented</w:t>
      </w:r>
      <w:r w:rsidRPr="00450E8D">
        <w:rPr>
          <w:rFonts w:cs="Times New Roman"/>
        </w:rPr>
        <w:t xml:space="preserve"> framework </w:t>
      </w:r>
      <w:r>
        <w:rPr>
          <w:rFonts w:cs="Times New Roman"/>
        </w:rPr>
        <w:t xml:space="preserve">to select suitable adaptation strategies for risk-averse farmers. To demonstrate our approach, we evaluate the riskiness of </w:t>
      </w:r>
      <w:r>
        <w:rPr>
          <w:rFonts w:cs="Times New Roman"/>
        </w:rPr>
        <w:lastRenderedPageBreak/>
        <w:t xml:space="preserve">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7A1933AB"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 xml:space="preserve">and reducing </w:t>
      </w:r>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 </w:instrTex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(Iizumi et al.,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0F697CD5"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68FC6F06"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r w:rsidR="007F3FFB">
        <w:rPr>
          <w:rFonts w:cs="Times New Roman"/>
        </w:rPr>
        <w:t xml:space="preserve"> Third, we </w:t>
      </w:r>
      <w:r w:rsidR="00926022">
        <w:rPr>
          <w:rFonts w:cs="Times New Roman"/>
        </w:rPr>
        <w:t xml:space="preserve">do not only consider pairwise comparisons but also use </w:t>
      </w:r>
      <w:r w:rsidR="00926022">
        <w:rPr>
          <w:rFonts w:cs="Times New Roman"/>
        </w:rPr>
        <w:lastRenderedPageBreak/>
        <w:t xml:space="preserve">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B03562">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(i)</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(i)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AD0E38">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rsidP="00B03562">
      <w:pPr>
        <w:pStyle w:val="Heading3"/>
      </w:pPr>
      <w:r w:rsidRPr="00256197">
        <w:t xml:space="preserve">2.2. </w:t>
      </w:r>
      <w:r w:rsidR="00FA7FCD">
        <w:t>Comparing the riskiness of two</w:t>
      </w:r>
      <w:r w:rsidR="00E36C30">
        <w:t xml:space="preserve"> agronomic adaptation options</w:t>
      </w:r>
    </w:p>
    <w:p w14:paraId="6E91253F" w14:textId="5ABDA82E"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(i)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1983FE41">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xml:space="preserve">, and standard deviation (sd).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rtruncnorm (n=1000,a=4,b=8, mean=6,sd=0.8), Q=rtruncnorm (n=1000,a=4,b=8, mean=5,sd=1), F=rtruncnorm (n=1000,a=3,b=9, mean=5,sd=2). </w:t>
      </w:r>
    </w:p>
    <w:p w14:paraId="6D2C3AF6" w14:textId="08D6D3F0"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9F5123">
        <w:rPr>
          <w:rFonts w:eastAsiaTheme="minorEastAsia"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9F5123">
        <w:rPr>
          <w:rFonts w:eastAsiaTheme="minorEastAsia" w:cs="Times New Roman"/>
          <w:noProof/>
        </w:rPr>
        <w:t>Hurley et al.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53F4B0B7"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2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G as well as F and G. </w:t>
      </w:r>
    </w:p>
    <w:p w14:paraId="2002904B" w14:textId="26B8A039" w:rsidR="00EC0816" w:rsidRPr="00B03562" w:rsidRDefault="00EC0816" w:rsidP="00EC0816">
      <w:pPr>
        <w:spacing w:line="276" w:lineRule="auto"/>
        <w:rPr>
          <w:rFonts w:cs="Times New Roman"/>
          <w:sz w:val="20"/>
          <w:szCs w:val="20"/>
        </w:rPr>
      </w:pPr>
      <w:r w:rsidRPr="00B03562">
        <w:rPr>
          <w:rFonts w:cs="Times New Roman"/>
          <w:sz w:val="20"/>
          <w:szCs w:val="20"/>
        </w:rPr>
        <w:t>Table 2: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7777777" w:rsidR="00EC0816" w:rsidRPr="00B03562" w:rsidRDefault="00EC0816" w:rsidP="00742559">
            <w:pPr>
              <w:spacing w:line="240" w:lineRule="auto"/>
              <w:rPr>
                <w:rFonts w:cs="Times New Roman"/>
                <w:sz w:val="20"/>
                <w:szCs w:val="20"/>
              </w:rPr>
            </w:pPr>
            <w:r w:rsidRPr="00B03562">
              <w:rPr>
                <w:rFonts w:cs="Times New Roman"/>
                <w:sz w:val="20"/>
                <w:szCs w:val="20"/>
              </w:rPr>
              <w:t>WTP lower bound (t/ha)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77777777" w:rsidR="00EC0816" w:rsidRPr="00B03562" w:rsidRDefault="00EC0816" w:rsidP="00742559">
            <w:pPr>
              <w:spacing w:line="240" w:lineRule="auto"/>
              <w:rPr>
                <w:rFonts w:cs="Times New Roman"/>
                <w:sz w:val="20"/>
                <w:szCs w:val="20"/>
              </w:rPr>
            </w:pPr>
            <w:r w:rsidRPr="00B03562">
              <w:rPr>
                <w:rFonts w:cs="Times New Roman"/>
                <w:sz w:val="20"/>
                <w:szCs w:val="20"/>
              </w:rPr>
              <w:t>WTP upper bound (t/ha)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F/SOSD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725E2676"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 xml:space="preserve">is the amount of money that they would accept just to be indifferent between the new strategy and their existing strategy. </w:t>
      </w:r>
    </w:p>
    <w:p w14:paraId="54BBCA2D" w14:textId="6AFFE355" w:rsidR="00F53458" w:rsidRPr="00256197" w:rsidRDefault="00F53458" w:rsidP="00AD0E38">
      <w:pPr>
        <w:pStyle w:val="Heading2"/>
      </w:pPr>
      <w:r w:rsidRPr="00256197">
        <w:t>2.</w:t>
      </w:r>
      <w:r w:rsidR="00C76415">
        <w:t>3</w:t>
      </w:r>
      <w:r w:rsidRPr="00256197">
        <w:t>. APSIM spatially gridded crop model scenarios</w:t>
      </w:r>
    </w:p>
    <w:p w14:paraId="434802E1" w14:textId="455BB51D"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 </w:instrTex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Montes et al. (2023); Urfels et al. (2022)</w:t>
      </w:r>
      <w:r w:rsidR="009F5123">
        <w:rPr>
          <w:rFonts w:cs="Times New Roman"/>
        </w:rPr>
        <w:fldChar w:fldCharType="end"/>
      </w:r>
      <w:commentRangeStart w:id="0"/>
      <w:r w:rsidRPr="00450E8D">
        <w:rPr>
          <w:rStyle w:val="FootnoteReference"/>
          <w:rFonts w:cs="Times New Roman"/>
        </w:rPr>
        <w:footnoteReference w:id="3"/>
      </w:r>
      <w:r w:rsidRPr="00450E8D">
        <w:rPr>
          <w:rFonts w:cs="Times New Roman"/>
        </w:rPr>
        <w:t xml:space="preserve">. </w:t>
      </w:r>
      <w:commentRangeEnd w:id="0"/>
      <w:r w:rsidRPr="00256197">
        <w:rPr>
          <w:rStyle w:val="CommentReference"/>
          <w:rFonts w:cs="Times New Roman"/>
          <w:lang w:val="en-US"/>
        </w:rPr>
        <w:commentReference w:id="0"/>
      </w:r>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1 shows the details for the scenarios. </w:t>
      </w:r>
    </w:p>
    <w:p w14:paraId="3CA3461C" w14:textId="77777777" w:rsidR="00F53458" w:rsidRPr="00450E8D" w:rsidRDefault="00F53458" w:rsidP="00F53458">
      <w:pPr>
        <w:rPr>
          <w:rFonts w:cs="Times New Roman"/>
        </w:rPr>
      </w:pPr>
      <w:r w:rsidRPr="00450E8D">
        <w:rPr>
          <w:rFonts w:cs="Times New Roman"/>
        </w:rPr>
        <w:t>Table 1: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450E8D" w:rsidRDefault="00F53458" w:rsidP="00450E8D">
            <w:pPr>
              <w:spacing w:line="240" w:lineRule="auto"/>
              <w:rPr>
                <w:rFonts w:cs="Times New Roman"/>
              </w:rPr>
            </w:pPr>
            <w:r w:rsidRPr="00450E8D">
              <w:rPr>
                <w:rFonts w:cs="Times New Roman"/>
              </w:rPr>
              <w:t>S1</w:t>
            </w:r>
          </w:p>
        </w:tc>
        <w:tc>
          <w:tcPr>
            <w:tcW w:w="1260" w:type="pct"/>
          </w:tcPr>
          <w:p w14:paraId="3A966518" w14:textId="77777777" w:rsidR="00F53458" w:rsidRPr="00450E8D" w:rsidRDefault="00F53458" w:rsidP="00450E8D">
            <w:pPr>
              <w:spacing w:line="240" w:lineRule="auto"/>
              <w:rPr>
                <w:rFonts w:cs="Times New Roman"/>
              </w:rPr>
            </w:pPr>
            <w:r w:rsidRPr="00450E8D">
              <w:rPr>
                <w:rFonts w:cs="Times New Roman"/>
              </w:rPr>
              <w:t>Fixed long (baseline)</w:t>
            </w:r>
          </w:p>
        </w:tc>
        <w:tc>
          <w:tcPr>
            <w:tcW w:w="2374" w:type="pct"/>
          </w:tcPr>
          <w:p w14:paraId="36B10B95" w14:textId="77777777" w:rsidR="00F53458" w:rsidRPr="00450E8D" w:rsidRDefault="00F53458" w:rsidP="00450E8D">
            <w:pPr>
              <w:spacing w:line="240" w:lineRule="auto"/>
              <w:rPr>
                <w:rFonts w:cs="Times New Roman"/>
              </w:rPr>
            </w:pPr>
            <w:r w:rsidRPr="00450E8D">
              <w:rPr>
                <w:rFonts w:cs="Times New Roman"/>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AD0E38">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4" w:history="1">
        <w:r w:rsidRPr="001A4D3F">
          <w:rPr>
            <w:rStyle w:val="Hyperlink"/>
            <w:rFonts w:cs="Times New Roman"/>
          </w:rPr>
          <w:t>https://systems-agronomy.github.io/lcas/</w:t>
        </w:r>
      </w:hyperlink>
      <w:r>
        <w:rPr>
          <w:rFonts w:cs="Times New Roman"/>
        </w:rPr>
        <w:t>)</w:t>
      </w:r>
      <w:r w:rsidRPr="00256197">
        <w:rPr>
          <w:rFonts w:cs="Times New Roman"/>
        </w:rPr>
        <w:t xml:space="preserve"> data interpolated using a random forest model</w:t>
      </w:r>
      <w:r w:rsidR="005C3ED8">
        <w:rPr>
          <w:rFonts w:cs="Times New Roman"/>
        </w:rPr>
        <w:t xml:space="preserve"> based on population density</w:t>
      </w:r>
      <w:r w:rsidRPr="00256197">
        <w:rPr>
          <w:rFonts w:cs="Times New Roman"/>
        </w:rPr>
        <w:t xml:space="preserve"> </w:t>
      </w:r>
      <w:commentRangeStart w:id="1"/>
      <w:r w:rsidRPr="00256197">
        <w:rPr>
          <w:rFonts w:cs="Times New Roman"/>
        </w:rPr>
        <w:t xml:space="preserve">and back of the envelope spatially gridded irrigation </w:t>
      </w:r>
      <w:commentRangeEnd w:id="1"/>
      <w:r>
        <w:rPr>
          <w:rStyle w:val="CommentReference"/>
          <w:lang w:val="en-US"/>
        </w:rPr>
        <w:commentReference w:id="1"/>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774B4E">
      <w:pPr>
        <w:pStyle w:val="Heading3"/>
        <w:rPr>
          <w:rFonts w:eastAsiaTheme="minorEastAsia"/>
        </w:rPr>
      </w:pPr>
      <w:r w:rsidRPr="00256197">
        <w:rPr>
          <w:rFonts w:eastAsiaTheme="minorEastAsia"/>
        </w:rPr>
        <w:lastRenderedPageBreak/>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B202CF">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AD0E38">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774B4E">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0E32FA88" w:rsidR="000F5A64" w:rsidRPr="00B03562" w:rsidRDefault="000F5A64" w:rsidP="00127A64">
      <w:pPr>
        <w:rPr>
          <w:rFonts w:cs="Times New Roman"/>
        </w:rPr>
      </w:pPr>
      <w:r w:rsidRPr="00B03562">
        <w:rPr>
          <w:rFonts w:cs="Times New Roman"/>
          <w:noProof/>
        </w:rPr>
        <w:lastRenderedPageBreak/>
        <w:drawing>
          <wp:inline distT="0" distB="0" distL="0" distR="0" wp14:anchorId="54C1E442" wp14:editId="2D5EA24D">
            <wp:extent cx="5731055" cy="7081520"/>
            <wp:effectExtent l="0" t="0" r="3175" b="508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795" cy="7093556"/>
                    </a:xfrm>
                    <a:prstGeom prst="rect">
                      <a:avLst/>
                    </a:prstGeom>
                    <a:noFill/>
                  </pic:spPr>
                </pic:pic>
              </a:graphicData>
            </a:graphic>
          </wp:inline>
        </w:drawing>
      </w:r>
    </w:p>
    <w:p w14:paraId="521E3C98" w14:textId="3A39532F" w:rsidR="002B1177" w:rsidRPr="00B03562" w:rsidRDefault="002B1177" w:rsidP="002B1177">
      <w:pPr>
        <w:rPr>
          <w:rFonts w:cs="Times New Roman"/>
        </w:rPr>
      </w:pPr>
      <w:r w:rsidRPr="00B03562">
        <w:rPr>
          <w:rFonts w:cs="Times New Roman"/>
        </w:rPr>
        <w:t xml:space="preserve">Figure 2: Willingness to pay </w:t>
      </w:r>
      <w:r w:rsidRPr="00B03562">
        <w:rPr>
          <w:rFonts w:cs="Times New Roman"/>
          <w:b/>
          <w:bCs/>
        </w:rPr>
        <w:t xml:space="preserve">(rice yield t/ha) </w:t>
      </w:r>
      <w:r w:rsidRPr="00B03562">
        <w:rPr>
          <w:rFonts w:cs="Times New Roman"/>
        </w:rPr>
        <w:t>for the strategy against a fixed long duration variety reference strategy using second order stochastic dominance</w:t>
      </w:r>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774B4E">
      <w:pPr>
        <w:pStyle w:val="Heading3"/>
      </w:pPr>
      <w:r w:rsidRPr="00256197">
        <w:lastRenderedPageBreak/>
        <w:t xml:space="preserve">3.1.2. </w:t>
      </w:r>
      <w:r w:rsidR="00127A64" w:rsidRPr="00256197">
        <w:t>Wheat</w:t>
      </w:r>
      <w:r w:rsidR="00334015">
        <w:t xml:space="preserve"> yields and their risk</w:t>
      </w:r>
      <w:r w:rsidR="009D2DA9">
        <w:t>i</w:t>
      </w:r>
      <w:r w:rsidR="00334015">
        <w:t>ness</w:t>
      </w:r>
    </w:p>
    <w:p w14:paraId="3716BFAC" w14:textId="12DC0B72"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19877B63"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(ton/ha)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whether they are worse, better 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w:t>
      </w:r>
      <w:r w:rsidR="00EC6781" w:rsidRPr="00B03562">
        <w:rPr>
          <w:rFonts w:cs="Times New Roman"/>
        </w:rPr>
        <w:lastRenderedPageBreak/>
        <w:t xml:space="preserve">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6BF26217" w:rsidR="000F5A64" w:rsidRPr="00B03562" w:rsidRDefault="008A20D8" w:rsidP="003F509D">
      <w:pPr>
        <w:rPr>
          <w:rFonts w:cs="Times New Roman"/>
        </w:rPr>
      </w:pPr>
      <w:r w:rsidRPr="00B03562">
        <w:rPr>
          <w:rFonts w:cs="Times New Roman"/>
          <w:noProof/>
        </w:rPr>
        <w:drawing>
          <wp:inline distT="0" distB="0" distL="0" distR="0" wp14:anchorId="0E9E3040" wp14:editId="15E8659B">
            <wp:extent cx="5507665" cy="6816823"/>
            <wp:effectExtent l="0" t="0" r="0" b="3175"/>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443" cy="6825213"/>
                    </a:xfrm>
                    <a:prstGeom prst="rect">
                      <a:avLst/>
                    </a:prstGeom>
                    <a:noFill/>
                  </pic:spPr>
                </pic:pic>
              </a:graphicData>
            </a:graphic>
          </wp:inline>
        </w:drawing>
      </w:r>
    </w:p>
    <w:p w14:paraId="3E5D4650" w14:textId="55A5D8BE" w:rsidR="009B5072" w:rsidRPr="00B03562" w:rsidRDefault="009B5072" w:rsidP="009B5072">
      <w:pPr>
        <w:rPr>
          <w:rFonts w:cs="Times New Roman"/>
        </w:rPr>
      </w:pPr>
      <w:r w:rsidRPr="00B03562">
        <w:rPr>
          <w:rFonts w:cs="Times New Roman"/>
        </w:rPr>
        <w:t>Figure 3: Willingness to pay (wheat yield t/ha) for the strategy against a fixed long duration variety reference strategy using second order stochastic dominance.</w:t>
      </w:r>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AD0E38">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774B4E">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207DFE3C" w:rsidR="00CA12BC" w:rsidRPr="00B03562" w:rsidRDefault="00CA12BC" w:rsidP="00CA12BC">
      <w:pPr>
        <w:jc w:val="center"/>
        <w:rPr>
          <w:rFonts w:cs="Times New Roman"/>
        </w:rPr>
      </w:pPr>
      <w:r w:rsidRPr="00B03562">
        <w:rPr>
          <w:rFonts w:cs="Times New Roman"/>
          <w:noProof/>
        </w:rPr>
        <w:drawing>
          <wp:inline distT="0" distB="0" distL="0" distR="0" wp14:anchorId="111E807F" wp14:editId="643F939A">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p>
    <w:p w14:paraId="1F2EBE6C" w14:textId="212325A3"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p>
    <w:p w14:paraId="6DE9F6A2" w14:textId="77777777" w:rsidR="006E10CE" w:rsidRPr="00B03562" w:rsidRDefault="006E10CE" w:rsidP="009232CA">
      <w:pPr>
        <w:rPr>
          <w:rFonts w:cs="Times New Roman"/>
        </w:rPr>
      </w:pPr>
    </w:p>
    <w:p w14:paraId="10DFD07D" w14:textId="66BE96FD" w:rsidR="009639B7" w:rsidRPr="00256197" w:rsidRDefault="004517DC">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9A3950B" w:rsidR="00743470" w:rsidRPr="00256197" w:rsidRDefault="004E01C4" w:rsidP="009639B7">
      <w:pPr>
        <w:rPr>
          <w:rFonts w:cs="Times New Roman"/>
        </w:rPr>
      </w:pPr>
      <w:r w:rsidRPr="00256197">
        <w:rPr>
          <w:rFonts w:cs="Times New Roman"/>
          <w:noProof/>
        </w:rPr>
        <w:lastRenderedPageBreak/>
        <w:drawing>
          <wp:inline distT="0" distB="0" distL="0" distR="0" wp14:anchorId="6A65BFCF" wp14:editId="224265A0">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p>
    <w:p w14:paraId="20A92783" w14:textId="1CDBFA8E"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Pr="00256197">
        <w:rPr>
          <w:rFonts w:cs="Times New Roman"/>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41C0AC0D">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Pr="00256197"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7AA59CE6" w14:textId="292BCE62" w:rsidR="00830D97" w:rsidRPr="00256197" w:rsidRDefault="00BC2C8E" w:rsidP="00B202CF">
      <w:pPr>
        <w:pStyle w:val="Heading1"/>
      </w:pPr>
      <w:r w:rsidRPr="00256197">
        <w:lastRenderedPageBreak/>
        <w:t xml:space="preserve">4. </w:t>
      </w:r>
      <w:r w:rsidR="00541020" w:rsidRPr="00256197">
        <w:t>Recommend</w:t>
      </w:r>
      <w:r w:rsidR="00A2691D" w:rsidRPr="00256197">
        <w:t xml:space="preserve">ed rice </w:t>
      </w:r>
      <w:r w:rsidR="00541020" w:rsidRPr="00256197">
        <w:t xml:space="preserve">planting date strategy </w:t>
      </w:r>
      <w:r w:rsidR="00E8562B">
        <w:t>per grid cell</w:t>
      </w:r>
    </w:p>
    <w:p w14:paraId="52895EC2" w14:textId="26680451" w:rsidR="007B019E" w:rsidRDefault="006144B9" w:rsidP="0027468D">
      <w:pPr>
        <w:jc w:val="both"/>
        <w:rPr>
          <w:rFonts w:cs="Times New Roman"/>
        </w:rPr>
      </w:pPr>
      <w:r>
        <w:rPr>
          <w:rFonts w:cs="Times New Roman"/>
        </w:rPr>
        <w:t>Lastly, our risk-based evaluation approach allows us to compare all of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Pr>
          <w:rFonts w:cs="Times New Roman"/>
        </w:rPr>
        <w:t xml:space="preserve">he </w:t>
      </w:r>
      <w:r w:rsidR="00046257">
        <w:rPr>
          <w:rFonts w:cs="Times New Roman"/>
        </w:rPr>
        <w:t>above analysis</w:t>
      </w:r>
      <w:r w:rsidR="00556718" w:rsidRPr="00256197">
        <w:rPr>
          <w:rFonts w:cs="Times New Roman"/>
        </w:rPr>
        <w:t xml:space="preserve"> has made binary </w:t>
      </w:r>
      <w:r w:rsidR="00245305">
        <w:rPr>
          <w:rFonts w:cs="Times New Roman"/>
        </w:rPr>
        <w:t xml:space="preserve">or pairwise </w:t>
      </w:r>
      <w:r w:rsidR="00556718" w:rsidRPr="00256197">
        <w:rPr>
          <w:rFonts w:cs="Times New Roman"/>
        </w:rPr>
        <w:t>comparisons</w:t>
      </w:r>
      <w:r>
        <w:rPr>
          <w:rFonts w:cs="Times New Roman"/>
        </w:rPr>
        <w:t xml:space="preserve"> – while the most important question is</w:t>
      </w:r>
      <w:r w:rsidR="00046257">
        <w:rPr>
          <w:rFonts w:cs="Times New Roman"/>
        </w:rPr>
        <w:t>:</w:t>
      </w:r>
      <w:r>
        <w:rPr>
          <w:rFonts w:cs="Times New Roman"/>
        </w:rPr>
        <w:t xml:space="preserve"> </w:t>
      </w:r>
      <w:r w:rsidR="00046257">
        <w:rPr>
          <w:rFonts w:cs="Times New Roman"/>
        </w:rPr>
        <w:t>W</w:t>
      </w:r>
      <w:r>
        <w:rPr>
          <w:rFonts w:cs="Times New Roman"/>
        </w:rPr>
        <w:t>hich strategy should be recommended where?</w:t>
      </w:r>
      <w:r w:rsidR="00556718" w:rsidRPr="00256197">
        <w:rPr>
          <w:rFonts w:cs="Times New Roman"/>
        </w:rPr>
        <w:t xml:space="preserve"> To </w:t>
      </w:r>
      <w:r>
        <w:rPr>
          <w:rFonts w:cs="Times New Roman"/>
        </w:rPr>
        <w:t>derive this</w:t>
      </w:r>
      <w:r w:rsidR="00556718" w:rsidRPr="00256197">
        <w:rPr>
          <w:rFonts w:cs="Times New Roman"/>
        </w:rPr>
        <w:t xml:space="preserve"> optimal scenario, we </w:t>
      </w:r>
      <w:r w:rsidR="00565E22" w:rsidRPr="00256197">
        <w:rPr>
          <w:rFonts w:cs="Times New Roman"/>
        </w:rPr>
        <w:t xml:space="preserve">calculate the maximum </w:t>
      </w:r>
      <w:r w:rsidR="006C3C51" w:rsidRPr="00256197">
        <w:rPr>
          <w:rFonts w:cs="Times New Roman"/>
        </w:rPr>
        <w:t xml:space="preserve">upper bound </w:t>
      </w:r>
      <w:r w:rsidR="00565E22" w:rsidRPr="00256197">
        <w:rPr>
          <w:rFonts w:cs="Times New Roman"/>
        </w:rPr>
        <w:t>WTP among the scenarios</w:t>
      </w:r>
      <w:r w:rsidR="00D02CA8" w:rsidRPr="00256197">
        <w:rPr>
          <w:rFonts w:cs="Times New Roman"/>
        </w:rPr>
        <w:t xml:space="preserve"> and the maximum lower WTP</w:t>
      </w:r>
      <w:r w:rsidR="005A509C" w:rsidRPr="00256197">
        <w:rPr>
          <w:rFonts w:cs="Times New Roman"/>
        </w:rPr>
        <w:t xml:space="preserve">. </w:t>
      </w:r>
      <w:r>
        <w:rPr>
          <w:rFonts w:cs="Times New Roman"/>
        </w:rPr>
        <w:t>If one single scenario clearly pay</w:t>
      </w:r>
      <w:r w:rsidR="007B019E">
        <w:rPr>
          <w:rFonts w:cs="Times New Roman"/>
        </w:rPr>
        <w:t>s</w:t>
      </w:r>
      <w:r>
        <w:rPr>
          <w:rFonts w:cs="Times New Roman"/>
        </w:rPr>
        <w:t xml:space="preserve"> more and clearly induces less risks than the others</w:t>
      </w:r>
      <w:r w:rsidR="005A509C" w:rsidRPr="00256197">
        <w:rPr>
          <w:rFonts w:cs="Times New Roman"/>
        </w:rPr>
        <w:t xml:space="preserve">, we </w:t>
      </w:r>
      <w:r>
        <w:rPr>
          <w:rFonts w:cs="Times New Roman"/>
        </w:rPr>
        <w:t>select</w:t>
      </w:r>
      <w:r w:rsidR="005A509C" w:rsidRPr="00256197">
        <w:rPr>
          <w:rFonts w:cs="Times New Roman"/>
        </w:rPr>
        <w:t xml:space="preserve"> </w:t>
      </w:r>
      <w:r w:rsidR="00541134" w:rsidRPr="00256197">
        <w:rPr>
          <w:rFonts w:cs="Times New Roman"/>
        </w:rPr>
        <w:t>that scenario</w:t>
      </w:r>
      <w:r>
        <w:rPr>
          <w:rFonts w:cs="Times New Roman"/>
        </w:rPr>
        <w:t xml:space="preserve"> for that particular grid cell</w:t>
      </w:r>
      <w:r w:rsidR="00565E22" w:rsidRPr="00256197">
        <w:rPr>
          <w:rFonts w:cs="Times New Roman"/>
        </w:rPr>
        <w:t xml:space="preserve">. </w:t>
      </w:r>
      <w:r>
        <w:rPr>
          <w:rFonts w:cs="Times New Roman"/>
        </w:rPr>
        <w:t xml:space="preserve">As a result, </w:t>
      </w:r>
      <w:r w:rsidR="003B7CDA" w:rsidRPr="00256197">
        <w:rPr>
          <w:rFonts w:cs="Times New Roman"/>
        </w:rPr>
        <w:t xml:space="preserve">Figure </w:t>
      </w:r>
      <w:r w:rsidR="00CC0F5C">
        <w:rPr>
          <w:rFonts w:cs="Times New Roman"/>
        </w:rPr>
        <w:t>7</w:t>
      </w:r>
      <w:r w:rsidR="003B7CDA" w:rsidRPr="00256197">
        <w:rPr>
          <w:rFonts w:cs="Times New Roman"/>
        </w:rPr>
        <w:t xml:space="preserve"> shows the optimal rice planting date strategy.</w:t>
      </w:r>
      <w:r w:rsidR="00A664CE" w:rsidRPr="00256197">
        <w:rPr>
          <w:rFonts w:cs="Times New Roman"/>
        </w:rPr>
        <w:t xml:space="preserve"> </w:t>
      </w:r>
    </w:p>
    <w:p w14:paraId="66E89963" w14:textId="705DB1B4"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 xml:space="preserve">, our framework shows that </w:t>
      </w:r>
      <w:r w:rsidR="007B019E">
        <w:rPr>
          <w:rFonts w:cs="Times New Roman"/>
        </w:rPr>
        <w:t>i</w:t>
      </w:r>
      <w:r>
        <w:rPr>
          <w:rFonts w:cs="Times New Roman"/>
        </w:rPr>
        <w:t>n parts of the Eastern Gangetic Plains providing only supplemental irrigation rather than full irrigation is economically beneficial from a risk perspective. While the same is true for some areas in the northern parts of the Middle and Western IGP – indicating that climatic and soil variability in the Northern and Southern parts of the Western and Middle IGP produce substantially different outcomes – but also indicating that in these areas multiple rice planting strategies perform equally well and farmers have more flexibility to choose amongst various options for similar results.</w:t>
      </w:r>
    </w:p>
    <w:p w14:paraId="03E57F10" w14:textId="724E948B" w:rsidR="006A18E1" w:rsidRPr="00256197" w:rsidRDefault="00D06EA8" w:rsidP="00F470A3">
      <w:pPr>
        <w:rPr>
          <w:rFonts w:cs="Times New Roman"/>
        </w:rPr>
      </w:pPr>
      <w:r w:rsidRPr="00256197">
        <w:rPr>
          <w:rFonts w:cs="Times New Roman"/>
          <w:noProof/>
        </w:rPr>
        <w:drawing>
          <wp:inline distT="0" distB="0" distL="0" distR="0" wp14:anchorId="1131CE38" wp14:editId="27CA90B6">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3298B6D2" w14:textId="68CE4907" w:rsidR="003B7CDA" w:rsidRPr="00256197" w:rsidRDefault="003B7CDA" w:rsidP="00F470A3">
      <w:pPr>
        <w:rPr>
          <w:rFonts w:cs="Times New Roman"/>
        </w:rPr>
      </w:pPr>
      <w:r w:rsidRPr="00256197">
        <w:rPr>
          <w:rFonts w:cs="Times New Roman"/>
        </w:rPr>
        <w:t xml:space="preserve">Figure 6: Optimal rice planting date strategy  </w:t>
      </w:r>
    </w:p>
    <w:p w14:paraId="03242574" w14:textId="77777777" w:rsidR="00E86F45" w:rsidRDefault="00E86F45">
      <w:pPr>
        <w:spacing w:line="259" w:lineRule="auto"/>
        <w:rPr>
          <w:rFonts w:eastAsiaTheme="majorEastAsia" w:cstheme="majorBidi"/>
          <w:b/>
          <w:sz w:val="24"/>
          <w:szCs w:val="32"/>
        </w:rPr>
      </w:pPr>
      <w:r>
        <w:br w:type="page"/>
      </w:r>
    </w:p>
    <w:p w14:paraId="4CF06D08" w14:textId="7C91B309" w:rsidR="009232CA" w:rsidRPr="00256197" w:rsidRDefault="00BC2C8E" w:rsidP="00B202CF">
      <w:pPr>
        <w:pStyle w:val="Heading1"/>
      </w:pPr>
      <w:r w:rsidRPr="00256197">
        <w:lastRenderedPageBreak/>
        <w:t>5</w:t>
      </w:r>
      <w:r w:rsidR="00872803" w:rsidRPr="00256197">
        <w:t xml:space="preserve">. </w:t>
      </w:r>
      <w:r w:rsidR="009232CA" w:rsidRPr="00256197">
        <w:t xml:space="preserve">Conclusion </w:t>
      </w:r>
    </w:p>
    <w:p w14:paraId="10ADA778" w14:textId="692D2D2D"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xml:space="preserve">, our risk-assessment approach can provide a robust framework for evaluating various competing climate adaptation options for risk averse smallholder farmers that not only benefit from higher long term gains but also seek to minimize losses in any given year. </w:t>
      </w:r>
      <w:r w:rsidR="008F2406">
        <w:rPr>
          <w:rFonts w:cs="Times New Roman"/>
        </w:rPr>
        <w:br w:type="page"/>
      </w:r>
    </w:p>
    <w:p w14:paraId="1A5228F9" w14:textId="052B0D83" w:rsidR="008F2406" w:rsidRDefault="008F2406" w:rsidP="00B202CF">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1"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r w:rsidR="00CC6488">
        <w:rPr>
          <w:rFonts w:ascii="Georgia" w:hAnsi="Georgia"/>
          <w:color w:val="1F1F1F"/>
        </w:rPr>
        <w:t>M</w:t>
      </w:r>
      <w:r w:rsidR="006D157D">
        <w:rPr>
          <w:rFonts w:ascii="Georgia" w:hAnsi="Georgia"/>
          <w:color w:val="1F1F1F"/>
        </w:rPr>
        <w:t>atlab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B03562">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B202CF">
      <w:pPr>
        <w:pStyle w:val="Heading1"/>
      </w:pPr>
      <w:r w:rsidRPr="00256197">
        <w:lastRenderedPageBreak/>
        <w:t xml:space="preserve">References </w:t>
      </w:r>
    </w:p>
    <w:p w14:paraId="5AB24BDA" w14:textId="77777777" w:rsidR="007B019E" w:rsidRDefault="007B019E" w:rsidP="00B202CF">
      <w:pPr>
        <w:rPr>
          <w:rFonts w:cs="Times New Roman"/>
        </w:rPr>
      </w:pPr>
    </w:p>
    <w:p w14:paraId="41CDCA97" w14:textId="1EE07678" w:rsidR="009F5123" w:rsidRPr="009F5123" w:rsidRDefault="007B019E" w:rsidP="00B03562">
      <w:pPr>
        <w:pStyle w:val="EndNoteBibliography"/>
        <w:spacing w:after="0" w:line="360" w:lineRule="auto"/>
        <w:ind w:left="720" w:hanging="720"/>
        <w:rPr>
          <w:noProof/>
        </w:rPr>
      </w:pPr>
      <w:r>
        <w:fldChar w:fldCharType="begin"/>
      </w:r>
      <w:r>
        <w:instrText xml:space="preserve"> ADDIN EN.REFLIST </w:instrText>
      </w:r>
      <w:r>
        <w:fldChar w:fldCharType="separate"/>
      </w:r>
      <w:r w:rsidR="009F5123" w:rsidRPr="009F5123">
        <w:rPr>
          <w:noProof/>
        </w:rPr>
        <w:t xml:space="preserve">Hurley, T., Koo, J., &amp; Tesfaye, K. (2018). Weather risk: how does it change the yield benefits of nitrogen fertilizer and improved maize varieties in sub-Saharan Africa? </w:t>
      </w:r>
      <w:r w:rsidR="009F5123" w:rsidRPr="009F5123">
        <w:rPr>
          <w:i/>
          <w:noProof/>
        </w:rPr>
        <w:t>Agricultural Economics</w:t>
      </w:r>
      <w:r w:rsidR="009F5123" w:rsidRPr="009F5123">
        <w:rPr>
          <w:noProof/>
        </w:rPr>
        <w:t>,</w:t>
      </w:r>
      <w:r w:rsidR="009F5123" w:rsidRPr="009F5123">
        <w:rPr>
          <w:i/>
          <w:noProof/>
        </w:rPr>
        <w:t xml:space="preserve"> 49</w:t>
      </w:r>
      <w:r w:rsidR="009F5123" w:rsidRPr="009F5123">
        <w:rPr>
          <w:noProof/>
        </w:rPr>
        <w:t xml:space="preserve">(6), 711-723. </w:t>
      </w:r>
      <w:hyperlink r:id="rId22" w:history="1">
        <w:r w:rsidR="009F5123" w:rsidRPr="009F5123">
          <w:rPr>
            <w:rStyle w:val="Hyperlink"/>
            <w:noProof/>
          </w:rPr>
          <w:t>https://doi.org/https://doi.org/10.1111/agec.12454</w:t>
        </w:r>
      </w:hyperlink>
      <w:r w:rsidR="009F5123" w:rsidRPr="009F5123">
        <w:rPr>
          <w:noProof/>
        </w:rPr>
        <w:t xml:space="preserve"> </w:t>
      </w:r>
    </w:p>
    <w:p w14:paraId="3724D5F7" w14:textId="048BB1DD" w:rsidR="009F5123" w:rsidRPr="009F5123" w:rsidRDefault="009F5123" w:rsidP="00B03562">
      <w:pPr>
        <w:pStyle w:val="EndNoteBibliography"/>
        <w:spacing w:after="0" w:line="360" w:lineRule="auto"/>
        <w:ind w:left="720" w:hanging="720"/>
        <w:rPr>
          <w:noProof/>
        </w:rPr>
      </w:pPr>
      <w:r w:rsidRPr="009F5123">
        <w:rPr>
          <w:noProof/>
        </w:rPr>
        <w:t xml:space="preserve">Iizumi, T., Yokozawa, M., &amp; Nishimori, M. (2009). Parameter estimation and uncertainty analysis of a large-scale crop model for paddy rice: Application of a Bayesian approach. </w:t>
      </w:r>
      <w:r w:rsidRPr="009F5123">
        <w:rPr>
          <w:i/>
          <w:noProof/>
        </w:rPr>
        <w:t>Agricultural and Forest Meteorology</w:t>
      </w:r>
      <w:r w:rsidRPr="009F5123">
        <w:rPr>
          <w:noProof/>
        </w:rPr>
        <w:t>,</w:t>
      </w:r>
      <w:r w:rsidRPr="009F5123">
        <w:rPr>
          <w:i/>
          <w:noProof/>
        </w:rPr>
        <w:t xml:space="preserve"> 149</w:t>
      </w:r>
      <w:r w:rsidRPr="009F5123">
        <w:rPr>
          <w:noProof/>
        </w:rPr>
        <w:t xml:space="preserve">(2), 333-348. </w:t>
      </w:r>
      <w:hyperlink r:id="rId23" w:history="1">
        <w:r w:rsidRPr="009F5123">
          <w:rPr>
            <w:rStyle w:val="Hyperlink"/>
            <w:noProof/>
          </w:rPr>
          <w:t>https://doi.org/https://doi.org/10.1016/j.agrformet.2008.08.015</w:t>
        </w:r>
      </w:hyperlink>
      <w:r w:rsidRPr="009F5123">
        <w:rPr>
          <w:noProof/>
        </w:rPr>
        <w:t xml:space="preserve"> </w:t>
      </w:r>
    </w:p>
    <w:p w14:paraId="4CB2C7C5" w14:textId="77777777" w:rsidR="009F5123" w:rsidRPr="009F5123" w:rsidRDefault="009F5123" w:rsidP="00B03562">
      <w:pPr>
        <w:pStyle w:val="EndNoteBibliography"/>
        <w:spacing w:after="0" w:line="360" w:lineRule="auto"/>
        <w:ind w:left="720" w:hanging="720"/>
        <w:rPr>
          <w:noProof/>
        </w:rPr>
      </w:pPr>
      <w:r w:rsidRPr="009F5123">
        <w:rPr>
          <w:noProof/>
        </w:rPr>
        <w:t xml:space="preserve">IPCC. (2022). </w:t>
      </w:r>
      <w:r w:rsidRPr="009F5123">
        <w:rPr>
          <w:i/>
          <w:noProof/>
        </w:rPr>
        <w:t>Summary for policymakers</w:t>
      </w:r>
      <w:r w:rsidRPr="009F5123">
        <w:rPr>
          <w:noProof/>
        </w:rPr>
        <w:t xml:space="preserve"> (C. U. Press, Ed.). Intergovernmental Panel on Climate Change. </w:t>
      </w:r>
    </w:p>
    <w:p w14:paraId="5343573B" w14:textId="61DF1FEB" w:rsidR="009F5123" w:rsidRPr="009F5123" w:rsidRDefault="009F5123" w:rsidP="00B03562">
      <w:pPr>
        <w:pStyle w:val="EndNoteBibliography"/>
        <w:spacing w:after="0" w:line="360" w:lineRule="auto"/>
        <w:ind w:left="720" w:hanging="720"/>
        <w:rPr>
          <w:noProof/>
        </w:rPr>
      </w:pPr>
      <w:r w:rsidRPr="009F5123">
        <w:rPr>
          <w:noProof/>
        </w:rPr>
        <w:t xml:space="preserve">Ishtiaque, A., Singh, S., Lobell, D., Balwinder, S., Fishman, R., &amp; Jain, M. (2022). Prior crop season management constrains farmer adaptation to warming temperatures: Evidence from the Indo-Gangetic Plains. </w:t>
      </w:r>
      <w:r w:rsidRPr="009F5123">
        <w:rPr>
          <w:i/>
          <w:noProof/>
        </w:rPr>
        <w:t>Science of The Total Environment</w:t>
      </w:r>
      <w:r w:rsidRPr="009F5123">
        <w:rPr>
          <w:noProof/>
        </w:rPr>
        <w:t>,</w:t>
      </w:r>
      <w:r w:rsidRPr="009F5123">
        <w:rPr>
          <w:i/>
          <w:noProof/>
        </w:rPr>
        <w:t xml:space="preserve"> 807</w:t>
      </w:r>
      <w:r w:rsidRPr="009F5123">
        <w:rPr>
          <w:noProof/>
        </w:rPr>
        <w:t xml:space="preserve">, 151671. </w:t>
      </w:r>
      <w:hyperlink r:id="rId24" w:history="1">
        <w:r w:rsidRPr="009F5123">
          <w:rPr>
            <w:rStyle w:val="Hyperlink"/>
            <w:noProof/>
          </w:rPr>
          <w:t>https://doi.org/https://doi.org/10.1016/j.scitotenv.2021.151671</w:t>
        </w:r>
      </w:hyperlink>
      <w:r w:rsidRPr="009F5123">
        <w:rPr>
          <w:noProof/>
        </w:rPr>
        <w:t xml:space="preserve"> </w:t>
      </w:r>
    </w:p>
    <w:p w14:paraId="770224FC" w14:textId="603A0B6B" w:rsidR="009F5123" w:rsidRPr="009F5123" w:rsidRDefault="009F5123" w:rsidP="00B03562">
      <w:pPr>
        <w:pStyle w:val="EndNoteBibliography"/>
        <w:spacing w:after="0" w:line="360" w:lineRule="auto"/>
        <w:ind w:left="720" w:hanging="720"/>
        <w:rPr>
          <w:noProof/>
        </w:rPr>
      </w:pPr>
      <w:r w:rsidRPr="009F5123">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9F5123">
        <w:rPr>
          <w:i/>
          <w:noProof/>
        </w:rPr>
        <w:t>Agricultural Water Management</w:t>
      </w:r>
      <w:r w:rsidRPr="009F5123">
        <w:rPr>
          <w:noProof/>
        </w:rPr>
        <w:t>,</w:t>
      </w:r>
      <w:r w:rsidRPr="009F5123">
        <w:rPr>
          <w:i/>
          <w:noProof/>
        </w:rPr>
        <w:t xml:space="preserve"> 202</w:t>
      </w:r>
      <w:r w:rsidRPr="009F5123">
        <w:rPr>
          <w:noProof/>
        </w:rPr>
        <w:t xml:space="preserve">, 122-133. </w:t>
      </w:r>
      <w:hyperlink r:id="rId25" w:history="1">
        <w:r w:rsidRPr="009F5123">
          <w:rPr>
            <w:rStyle w:val="Hyperlink"/>
            <w:noProof/>
          </w:rPr>
          <w:t>https://doi.org/https://doi.org/10.1016/j.agwat.2018.02.020</w:t>
        </w:r>
      </w:hyperlink>
      <w:r w:rsidRPr="009F5123">
        <w:rPr>
          <w:noProof/>
        </w:rPr>
        <w:t xml:space="preserve"> </w:t>
      </w:r>
    </w:p>
    <w:p w14:paraId="63B55630" w14:textId="67F59547" w:rsidR="009F5123" w:rsidRPr="009F5123" w:rsidRDefault="009F5123" w:rsidP="00B03562">
      <w:pPr>
        <w:pStyle w:val="EndNoteBibliography"/>
        <w:spacing w:after="0" w:line="360" w:lineRule="auto"/>
        <w:ind w:left="720" w:hanging="720"/>
        <w:rPr>
          <w:noProof/>
        </w:rPr>
      </w:pPr>
      <w:r w:rsidRPr="009F5123">
        <w:rPr>
          <w:noProof/>
        </w:rPr>
        <w:t xml:space="preserve">Levy, H. (2016). </w:t>
      </w:r>
      <w:r w:rsidRPr="009F5123">
        <w:rPr>
          <w:i/>
          <w:noProof/>
        </w:rPr>
        <w:t>Stochastic Dominance</w:t>
      </w:r>
      <w:r w:rsidRPr="009F5123">
        <w:rPr>
          <w:noProof/>
        </w:rPr>
        <w:t xml:space="preserve">. Springer Cham. </w:t>
      </w:r>
      <w:hyperlink r:id="rId26" w:history="1">
        <w:r w:rsidRPr="009F5123">
          <w:rPr>
            <w:rStyle w:val="Hyperlink"/>
            <w:noProof/>
          </w:rPr>
          <w:t>https://doi.org/https://doi.org/10.1007/978-3-319-21708-6</w:t>
        </w:r>
      </w:hyperlink>
      <w:r w:rsidRPr="009F5123">
        <w:rPr>
          <w:noProof/>
        </w:rPr>
        <w:t xml:space="preserve"> </w:t>
      </w:r>
    </w:p>
    <w:p w14:paraId="2ED7D0CF" w14:textId="5D737FAB" w:rsidR="009F5123" w:rsidRPr="009F5123" w:rsidRDefault="009F5123" w:rsidP="00B03562">
      <w:pPr>
        <w:pStyle w:val="EndNoteBibliography"/>
        <w:spacing w:after="0" w:line="360" w:lineRule="auto"/>
        <w:ind w:left="720" w:hanging="720"/>
        <w:rPr>
          <w:noProof/>
        </w:rPr>
      </w:pPr>
      <w:r w:rsidRPr="009F5123">
        <w:rPr>
          <w:noProof/>
        </w:rPr>
        <w:t xml:space="preserve">Markowitz, H. M. (1959). </w:t>
      </w:r>
      <w:r w:rsidRPr="009F5123">
        <w:rPr>
          <w:i/>
          <w:noProof/>
        </w:rPr>
        <w:t>Portfolio Selection</w:t>
      </w:r>
      <w:r w:rsidRPr="009F5123">
        <w:rPr>
          <w:noProof/>
        </w:rPr>
        <w:t xml:space="preserve">. Yale University Press. </w:t>
      </w:r>
      <w:hyperlink r:id="rId27" w:history="1">
        <w:r w:rsidRPr="009F5123">
          <w:rPr>
            <w:rStyle w:val="Hyperlink"/>
            <w:noProof/>
          </w:rPr>
          <w:t>https://doi.org/doi:10.12987/9780300191677</w:t>
        </w:r>
      </w:hyperlink>
      <w:r w:rsidRPr="009F5123">
        <w:rPr>
          <w:noProof/>
        </w:rPr>
        <w:t xml:space="preserve"> </w:t>
      </w:r>
    </w:p>
    <w:p w14:paraId="18697189" w14:textId="7B3DF761" w:rsidR="009F5123" w:rsidRPr="009F5123" w:rsidRDefault="009F5123" w:rsidP="00B03562">
      <w:pPr>
        <w:pStyle w:val="EndNoteBibliography"/>
        <w:spacing w:after="0" w:line="360" w:lineRule="auto"/>
        <w:ind w:left="720" w:hanging="720"/>
        <w:rPr>
          <w:noProof/>
        </w:rPr>
      </w:pPr>
      <w:r w:rsidRPr="009F5123">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9F5123">
        <w:rPr>
          <w:i/>
          <w:noProof/>
        </w:rPr>
        <w:t>Nature Food</w:t>
      </w:r>
      <w:r w:rsidRPr="009F5123">
        <w:rPr>
          <w:noProof/>
        </w:rPr>
        <w:t>,</w:t>
      </w:r>
      <w:r w:rsidRPr="009F5123">
        <w:rPr>
          <w:i/>
          <w:noProof/>
        </w:rPr>
        <w:t xml:space="preserve"> 3</w:t>
      </w:r>
      <w:r w:rsidRPr="009F5123">
        <w:rPr>
          <w:noProof/>
        </w:rPr>
        <w:t xml:space="preserve">(7), 542-551. </w:t>
      </w:r>
      <w:hyperlink r:id="rId28" w:history="1">
        <w:r w:rsidRPr="009F5123">
          <w:rPr>
            <w:rStyle w:val="Hyperlink"/>
            <w:noProof/>
          </w:rPr>
          <w:t>https://doi.org/10.1038/s43016-022-00549-0</w:t>
        </w:r>
      </w:hyperlink>
      <w:r w:rsidRPr="009F5123">
        <w:rPr>
          <w:noProof/>
        </w:rPr>
        <w:t xml:space="preserve"> </w:t>
      </w:r>
    </w:p>
    <w:p w14:paraId="507FDF5E" w14:textId="7B4A898C" w:rsidR="009F5123" w:rsidRPr="009F5123" w:rsidRDefault="009F5123" w:rsidP="00B03562">
      <w:pPr>
        <w:pStyle w:val="EndNoteBibliography"/>
        <w:spacing w:after="0" w:line="360" w:lineRule="auto"/>
        <w:ind w:left="720" w:hanging="720"/>
        <w:rPr>
          <w:noProof/>
        </w:rPr>
      </w:pPr>
      <w:r w:rsidRPr="009F5123">
        <w:rPr>
          <w:noProof/>
        </w:rPr>
        <w:t xml:space="preserve">Meyer, J. (1977). Second Degree Stochastic Dominance with Respect to a Function. </w:t>
      </w:r>
      <w:r w:rsidRPr="009F5123">
        <w:rPr>
          <w:i/>
          <w:noProof/>
        </w:rPr>
        <w:t>International Economic Review</w:t>
      </w:r>
      <w:r w:rsidRPr="009F5123">
        <w:rPr>
          <w:noProof/>
        </w:rPr>
        <w:t>,</w:t>
      </w:r>
      <w:r w:rsidRPr="009F5123">
        <w:rPr>
          <w:i/>
          <w:noProof/>
        </w:rPr>
        <w:t xml:space="preserve"> 18</w:t>
      </w:r>
      <w:r w:rsidRPr="009F5123">
        <w:rPr>
          <w:noProof/>
        </w:rPr>
        <w:t xml:space="preserve">(2), 477-487. </w:t>
      </w:r>
      <w:hyperlink r:id="rId29" w:history="1">
        <w:r w:rsidRPr="009F5123">
          <w:rPr>
            <w:rStyle w:val="Hyperlink"/>
            <w:noProof/>
          </w:rPr>
          <w:t>https://EconPapers.repec.org/RePEc:ier:iecrev:v:18:y:1977:i:2:p:477-87</w:t>
        </w:r>
      </w:hyperlink>
      <w:r w:rsidRPr="009F5123">
        <w:rPr>
          <w:noProof/>
        </w:rPr>
        <w:t xml:space="preserve"> </w:t>
      </w:r>
    </w:p>
    <w:p w14:paraId="74FC178C" w14:textId="290C7C41" w:rsidR="009F5123" w:rsidRPr="009F5123" w:rsidRDefault="009F5123" w:rsidP="00B03562">
      <w:pPr>
        <w:pStyle w:val="EndNoteBibliography"/>
        <w:spacing w:after="0" w:line="360" w:lineRule="auto"/>
        <w:ind w:left="720" w:hanging="720"/>
        <w:rPr>
          <w:noProof/>
        </w:rPr>
      </w:pPr>
      <w:r w:rsidRPr="009F5123">
        <w:rPr>
          <w:noProof/>
        </w:rPr>
        <w:t xml:space="preserve">Montes, C., Urfels, A., Han, E., &amp; Balwinder-Singh. (2023). Planting Rice at Monsoon Onset Could Mitigate the Impact of Temperature Stress on Rice&amp;ndash;Wheat Systems of Bihar, India. </w:t>
      </w:r>
      <w:r w:rsidRPr="009F5123">
        <w:rPr>
          <w:i/>
          <w:noProof/>
        </w:rPr>
        <w:t>Atmosphere</w:t>
      </w:r>
      <w:r w:rsidRPr="009F5123">
        <w:rPr>
          <w:noProof/>
        </w:rPr>
        <w:t>,</w:t>
      </w:r>
      <w:r w:rsidRPr="009F5123">
        <w:rPr>
          <w:i/>
          <w:noProof/>
        </w:rPr>
        <w:t xml:space="preserve"> 14</w:t>
      </w:r>
      <w:r w:rsidRPr="009F5123">
        <w:rPr>
          <w:noProof/>
        </w:rPr>
        <w:t xml:space="preserve">(1), 40. </w:t>
      </w:r>
      <w:hyperlink r:id="rId30" w:history="1">
        <w:r w:rsidRPr="009F5123">
          <w:rPr>
            <w:rStyle w:val="Hyperlink"/>
            <w:noProof/>
          </w:rPr>
          <w:t>https://www.mdpi.com/2073-4433/14/1/40</w:t>
        </w:r>
      </w:hyperlink>
      <w:r w:rsidRPr="009F5123">
        <w:rPr>
          <w:noProof/>
        </w:rPr>
        <w:t xml:space="preserve"> </w:t>
      </w:r>
    </w:p>
    <w:p w14:paraId="2115F94B" w14:textId="13D62613" w:rsidR="009F5123" w:rsidRPr="009F5123" w:rsidRDefault="009F5123" w:rsidP="00B03562">
      <w:pPr>
        <w:pStyle w:val="EndNoteBibliography"/>
        <w:spacing w:after="0" w:line="360" w:lineRule="auto"/>
        <w:ind w:left="720" w:hanging="720"/>
        <w:rPr>
          <w:noProof/>
        </w:rPr>
      </w:pPr>
      <w:r w:rsidRPr="009F5123">
        <w:rPr>
          <w:noProof/>
        </w:rPr>
        <w:t xml:space="preserve">Nalley, L. L., &amp; Barkley, A. P. (2010). Using Portfolio Theory to Enhance Wheat Yield Stability in Low-Income Nations: An Application in the Yaqui Valley of Northwestern Mexico. </w:t>
      </w:r>
      <w:r w:rsidRPr="009F5123">
        <w:rPr>
          <w:i/>
          <w:noProof/>
        </w:rPr>
        <w:t xml:space="preserve">Journal </w:t>
      </w:r>
      <w:r w:rsidRPr="009F5123">
        <w:rPr>
          <w:i/>
          <w:noProof/>
        </w:rPr>
        <w:lastRenderedPageBreak/>
        <w:t>of Agricultural and Resource Economics</w:t>
      </w:r>
      <w:r w:rsidRPr="009F5123">
        <w:rPr>
          <w:noProof/>
        </w:rPr>
        <w:t>,</w:t>
      </w:r>
      <w:r w:rsidRPr="009F5123">
        <w:rPr>
          <w:i/>
          <w:noProof/>
        </w:rPr>
        <w:t xml:space="preserve"> 35</w:t>
      </w:r>
      <w:r w:rsidRPr="009F5123">
        <w:rPr>
          <w:noProof/>
        </w:rPr>
        <w:t xml:space="preserve">(2), 334-347. Retrieved 2010-08, from </w:t>
      </w:r>
      <w:hyperlink r:id="rId31" w:history="1">
        <w:r w:rsidRPr="009F5123">
          <w:rPr>
            <w:rStyle w:val="Hyperlink"/>
            <w:noProof/>
          </w:rPr>
          <w:t>https://ageconsearch.umn.edu/record/93223/files/JARE_Aug2010__10_pp334-347.pdf</w:t>
        </w:r>
      </w:hyperlink>
      <w:r w:rsidRPr="009F5123">
        <w:rPr>
          <w:noProof/>
        </w:rPr>
        <w:t xml:space="preserve"> </w:t>
      </w:r>
    </w:p>
    <w:p w14:paraId="2A7E777B" w14:textId="6E662771" w:rsidR="009F5123" w:rsidRPr="009F5123" w:rsidRDefault="009F5123" w:rsidP="00B03562">
      <w:pPr>
        <w:pStyle w:val="EndNoteBibliography"/>
        <w:spacing w:after="0" w:line="360" w:lineRule="auto"/>
        <w:ind w:left="720" w:hanging="720"/>
        <w:rPr>
          <w:noProof/>
        </w:rPr>
      </w:pPr>
      <w:r w:rsidRPr="009F5123">
        <w:rPr>
          <w:noProof/>
        </w:rPr>
        <w:t xml:space="preserve">Newport, D., Lobell, D. B., Balwinder, S., Srivastava, A. K., Rao, P., Umashaanker, M., Malik, R. K., McDonald, A., &amp; Jain, M. (2020). Factors Constraining Timely Sowing of Wheat as an Adaptation to Climate Change in Eastern India. </w:t>
      </w:r>
      <w:r w:rsidRPr="009F5123">
        <w:rPr>
          <w:i/>
          <w:noProof/>
        </w:rPr>
        <w:t>Weather, Climate, and Society</w:t>
      </w:r>
      <w:r w:rsidRPr="009F5123">
        <w:rPr>
          <w:noProof/>
        </w:rPr>
        <w:t>,</w:t>
      </w:r>
      <w:r w:rsidRPr="009F5123">
        <w:rPr>
          <w:i/>
          <w:noProof/>
        </w:rPr>
        <w:t xml:space="preserve"> 12</w:t>
      </w:r>
      <w:r w:rsidRPr="009F5123">
        <w:rPr>
          <w:noProof/>
        </w:rPr>
        <w:t xml:space="preserve">(3), 515-528. </w:t>
      </w:r>
      <w:hyperlink r:id="rId32" w:history="1">
        <w:r w:rsidRPr="009F5123">
          <w:rPr>
            <w:rStyle w:val="Hyperlink"/>
            <w:noProof/>
          </w:rPr>
          <w:t>https://doi.org/https://doi.org/10.1175/WCAS-D-19-0122.1</w:t>
        </w:r>
      </w:hyperlink>
      <w:r w:rsidRPr="009F5123">
        <w:rPr>
          <w:noProof/>
        </w:rPr>
        <w:t xml:space="preserve"> </w:t>
      </w:r>
    </w:p>
    <w:p w14:paraId="7FA859ED" w14:textId="56E32AD9" w:rsidR="009F5123" w:rsidRPr="009F5123" w:rsidRDefault="009F5123" w:rsidP="00B03562">
      <w:pPr>
        <w:pStyle w:val="EndNoteBibliography"/>
        <w:spacing w:after="0" w:line="360" w:lineRule="auto"/>
        <w:ind w:left="720" w:hanging="720"/>
        <w:rPr>
          <w:noProof/>
        </w:rPr>
      </w:pPr>
      <w:r w:rsidRPr="009F5123">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9F5123">
        <w:rPr>
          <w:i/>
          <w:noProof/>
        </w:rPr>
        <w:t>Agricultural and Forest Meteorology</w:t>
      </w:r>
      <w:r w:rsidRPr="009F5123">
        <w:rPr>
          <w:noProof/>
        </w:rPr>
        <w:t>,</w:t>
      </w:r>
      <w:r w:rsidRPr="009F5123">
        <w:rPr>
          <w:i/>
          <w:noProof/>
        </w:rPr>
        <w:t xml:space="preserve"> 170</w:t>
      </w:r>
      <w:r w:rsidRPr="009F5123">
        <w:rPr>
          <w:noProof/>
        </w:rPr>
        <w:t xml:space="preserve">, 166-182. </w:t>
      </w:r>
      <w:hyperlink r:id="rId33" w:history="1">
        <w:r w:rsidRPr="009F5123">
          <w:rPr>
            <w:rStyle w:val="Hyperlink"/>
            <w:noProof/>
          </w:rPr>
          <w:t>https://doi.org/https://doi.org/10.1016/j.agrformet.2012.09.011</w:t>
        </w:r>
      </w:hyperlink>
      <w:r w:rsidRPr="009F5123">
        <w:rPr>
          <w:noProof/>
        </w:rPr>
        <w:t xml:space="preserve"> </w:t>
      </w:r>
    </w:p>
    <w:p w14:paraId="2F16EC89" w14:textId="6AC01C3B" w:rsidR="009F5123" w:rsidRPr="009F5123" w:rsidRDefault="009F5123" w:rsidP="00B03562">
      <w:pPr>
        <w:pStyle w:val="EndNoteBibliography"/>
        <w:spacing w:after="0" w:line="360" w:lineRule="auto"/>
        <w:ind w:left="720" w:hanging="720"/>
        <w:rPr>
          <w:noProof/>
        </w:rPr>
      </w:pPr>
      <w:r w:rsidRPr="009F5123">
        <w:rPr>
          <w:noProof/>
        </w:rPr>
        <w:t xml:space="preserve">Ruzzante, S., Labarta, R., &amp; Bilton, A. (2021). Adoption of agricultural technology in the developing world: A meta-analysis of the empirical literature. </w:t>
      </w:r>
      <w:r w:rsidRPr="009F5123">
        <w:rPr>
          <w:i/>
          <w:noProof/>
        </w:rPr>
        <w:t>World Development</w:t>
      </w:r>
      <w:r w:rsidRPr="009F5123">
        <w:rPr>
          <w:noProof/>
        </w:rPr>
        <w:t>,</w:t>
      </w:r>
      <w:r w:rsidRPr="009F5123">
        <w:rPr>
          <w:i/>
          <w:noProof/>
        </w:rPr>
        <w:t xml:space="preserve"> 146</w:t>
      </w:r>
      <w:r w:rsidRPr="009F5123">
        <w:rPr>
          <w:noProof/>
        </w:rPr>
        <w:t xml:space="preserve">, 105599. </w:t>
      </w:r>
      <w:hyperlink r:id="rId34" w:history="1">
        <w:r w:rsidRPr="009F5123">
          <w:rPr>
            <w:rStyle w:val="Hyperlink"/>
            <w:noProof/>
          </w:rPr>
          <w:t>https://doi.org/https://doi.org/10.1016/j.worlddev.2021.105599</w:t>
        </w:r>
      </w:hyperlink>
      <w:r w:rsidRPr="009F5123">
        <w:rPr>
          <w:noProof/>
        </w:rPr>
        <w:t xml:space="preserve"> </w:t>
      </w:r>
    </w:p>
    <w:p w14:paraId="7D893166" w14:textId="1F1F9E9F" w:rsidR="009F5123" w:rsidRPr="009F5123" w:rsidRDefault="009F5123" w:rsidP="00B03562">
      <w:pPr>
        <w:pStyle w:val="EndNoteBibliography"/>
        <w:spacing w:after="0" w:line="360" w:lineRule="auto"/>
        <w:ind w:left="720" w:hanging="720"/>
        <w:rPr>
          <w:noProof/>
        </w:rPr>
      </w:pPr>
      <w:r w:rsidRPr="009F5123">
        <w:rPr>
          <w:noProof/>
        </w:rPr>
        <w:t xml:space="preserve">Shah, T., Ul Hassan, M., Khattak, M. Z., Banerjee, P. S., Singh, O. P., &amp; Rehman, S. U. (2009). Is Irrigation Water Free? A Reality Check in the Indo-Gangetic Basin. </w:t>
      </w:r>
      <w:r w:rsidRPr="009F5123">
        <w:rPr>
          <w:i/>
          <w:noProof/>
        </w:rPr>
        <w:t>World Development</w:t>
      </w:r>
      <w:r w:rsidRPr="009F5123">
        <w:rPr>
          <w:noProof/>
        </w:rPr>
        <w:t>,</w:t>
      </w:r>
      <w:r w:rsidRPr="009F5123">
        <w:rPr>
          <w:i/>
          <w:noProof/>
        </w:rPr>
        <w:t xml:space="preserve"> 37</w:t>
      </w:r>
      <w:r w:rsidRPr="009F5123">
        <w:rPr>
          <w:noProof/>
        </w:rPr>
        <w:t xml:space="preserve">(2), 422-434. </w:t>
      </w:r>
      <w:hyperlink r:id="rId35" w:history="1">
        <w:r w:rsidRPr="009F5123">
          <w:rPr>
            <w:rStyle w:val="Hyperlink"/>
            <w:noProof/>
          </w:rPr>
          <w:t>https://doi.org/https://doi.org/10.1016/j.worlddev.2008.05.008</w:t>
        </w:r>
      </w:hyperlink>
      <w:r w:rsidRPr="009F5123">
        <w:rPr>
          <w:noProof/>
        </w:rPr>
        <w:t xml:space="preserve"> </w:t>
      </w:r>
    </w:p>
    <w:p w14:paraId="37A168BF" w14:textId="72052841" w:rsidR="009F5123" w:rsidRPr="009F5123" w:rsidRDefault="009F5123" w:rsidP="00B03562">
      <w:pPr>
        <w:pStyle w:val="EndNoteBibliography"/>
        <w:spacing w:after="0" w:line="360" w:lineRule="auto"/>
        <w:ind w:left="720" w:hanging="720"/>
        <w:rPr>
          <w:noProof/>
        </w:rPr>
      </w:pPr>
      <w:r w:rsidRPr="009F5123">
        <w:rPr>
          <w:noProof/>
        </w:rPr>
        <w:t xml:space="preserve">Suri, T. (2011). Selection and Comparative Advantage in Technology Adoption. </w:t>
      </w:r>
      <w:r w:rsidRPr="009F5123">
        <w:rPr>
          <w:i/>
          <w:noProof/>
        </w:rPr>
        <w:t>Econometrica</w:t>
      </w:r>
      <w:r w:rsidRPr="009F5123">
        <w:rPr>
          <w:noProof/>
        </w:rPr>
        <w:t>,</w:t>
      </w:r>
      <w:r w:rsidRPr="009F5123">
        <w:rPr>
          <w:i/>
          <w:noProof/>
        </w:rPr>
        <w:t xml:space="preserve"> 79</w:t>
      </w:r>
      <w:r w:rsidRPr="009F5123">
        <w:rPr>
          <w:noProof/>
        </w:rPr>
        <w:t xml:space="preserve">(1), 159-209. </w:t>
      </w:r>
      <w:hyperlink r:id="rId36" w:history="1">
        <w:r w:rsidRPr="009F5123">
          <w:rPr>
            <w:rStyle w:val="Hyperlink"/>
            <w:noProof/>
          </w:rPr>
          <w:t>https://doi.org/https://doi.org/10.3982/ECTA7749</w:t>
        </w:r>
      </w:hyperlink>
      <w:r w:rsidRPr="009F5123">
        <w:rPr>
          <w:noProof/>
        </w:rPr>
        <w:t xml:space="preserve"> </w:t>
      </w:r>
    </w:p>
    <w:p w14:paraId="23EC3153" w14:textId="09722774" w:rsidR="009F5123" w:rsidRPr="009F5123" w:rsidRDefault="009F5123" w:rsidP="00B03562">
      <w:pPr>
        <w:pStyle w:val="EndNoteBibliography"/>
        <w:spacing w:after="0" w:line="360" w:lineRule="auto"/>
        <w:ind w:left="720" w:hanging="720"/>
        <w:rPr>
          <w:noProof/>
        </w:rPr>
      </w:pPr>
      <w:r w:rsidRPr="009F5123">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9F5123">
        <w:rPr>
          <w:i/>
          <w:noProof/>
        </w:rPr>
        <w:t>The Journal of Agricultural Science</w:t>
      </w:r>
      <w:r w:rsidRPr="009F5123">
        <w:rPr>
          <w:noProof/>
        </w:rPr>
        <w:t>,</w:t>
      </w:r>
      <w:r w:rsidRPr="009F5123">
        <w:rPr>
          <w:i/>
          <w:noProof/>
        </w:rPr>
        <w:t xml:space="preserve"> 157</w:t>
      </w:r>
      <w:r w:rsidRPr="009F5123">
        <w:rPr>
          <w:noProof/>
        </w:rPr>
        <w:t xml:space="preserve">(3), 189-210. </w:t>
      </w:r>
      <w:hyperlink r:id="rId37" w:history="1">
        <w:r w:rsidRPr="009F5123">
          <w:rPr>
            <w:rStyle w:val="Hyperlink"/>
            <w:noProof/>
          </w:rPr>
          <w:t>https://doi.org/10.1017/S0021859619000492</w:t>
        </w:r>
      </w:hyperlink>
      <w:r w:rsidRPr="009F5123">
        <w:rPr>
          <w:noProof/>
        </w:rPr>
        <w:t xml:space="preserve"> </w:t>
      </w:r>
    </w:p>
    <w:p w14:paraId="2BD61257" w14:textId="0C027B10" w:rsidR="009F5123" w:rsidRPr="009F5123" w:rsidRDefault="009F5123" w:rsidP="00B03562">
      <w:pPr>
        <w:pStyle w:val="EndNoteBibliography"/>
        <w:spacing w:after="0" w:line="360" w:lineRule="auto"/>
        <w:ind w:left="720" w:hanging="720"/>
        <w:rPr>
          <w:noProof/>
        </w:rPr>
      </w:pPr>
      <w:r w:rsidRPr="009F5123">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9F5123">
        <w:rPr>
          <w:i/>
          <w:noProof/>
        </w:rPr>
        <w:t>Agricultural Systems</w:t>
      </w:r>
      <w:r w:rsidRPr="009F5123">
        <w:rPr>
          <w:noProof/>
        </w:rPr>
        <w:t>,</w:t>
      </w:r>
      <w:r w:rsidRPr="009F5123">
        <w:rPr>
          <w:i/>
          <w:noProof/>
        </w:rPr>
        <w:t xml:space="preserve"> 207</w:t>
      </w:r>
      <w:r w:rsidRPr="009F5123">
        <w:rPr>
          <w:noProof/>
        </w:rPr>
        <w:t xml:space="preserve">, 103618. </w:t>
      </w:r>
      <w:hyperlink r:id="rId38" w:history="1">
        <w:r w:rsidRPr="009F5123">
          <w:rPr>
            <w:rStyle w:val="Hyperlink"/>
            <w:noProof/>
          </w:rPr>
          <w:t>https://doi.org/https://doi.org/10.1016/j.agsy.2023.103618</w:t>
        </w:r>
      </w:hyperlink>
      <w:r w:rsidRPr="009F5123">
        <w:rPr>
          <w:noProof/>
        </w:rPr>
        <w:t xml:space="preserve"> </w:t>
      </w:r>
    </w:p>
    <w:p w14:paraId="40CBB92D" w14:textId="584BB1EA" w:rsidR="009F5123" w:rsidRPr="009F5123" w:rsidRDefault="009F5123" w:rsidP="00B03562">
      <w:pPr>
        <w:pStyle w:val="EndNoteBibliography"/>
        <w:spacing w:after="0" w:line="360" w:lineRule="auto"/>
        <w:ind w:left="720" w:hanging="720"/>
        <w:rPr>
          <w:noProof/>
        </w:rPr>
      </w:pPr>
      <w:r w:rsidRPr="009F5123">
        <w:rPr>
          <w:noProof/>
        </w:rPr>
        <w:t xml:space="preserve">Urfels, A., McDonald, A. J., Krupnik, T. J., &amp; van Oel, P. R. (2020). Drivers of groundwater utilization in water-limited rice production systems in Nepal. </w:t>
      </w:r>
      <w:r w:rsidRPr="009F5123">
        <w:rPr>
          <w:i/>
          <w:noProof/>
        </w:rPr>
        <w:t>Water International</w:t>
      </w:r>
      <w:r w:rsidRPr="009F5123">
        <w:rPr>
          <w:noProof/>
        </w:rPr>
        <w:t>,</w:t>
      </w:r>
      <w:r w:rsidRPr="009F5123">
        <w:rPr>
          <w:i/>
          <w:noProof/>
        </w:rPr>
        <w:t xml:space="preserve"> 45</w:t>
      </w:r>
      <w:r w:rsidRPr="009F5123">
        <w:rPr>
          <w:noProof/>
        </w:rPr>
        <w:t xml:space="preserve">(1), 39-59. </w:t>
      </w:r>
      <w:hyperlink r:id="rId39" w:history="1">
        <w:r w:rsidRPr="009F5123">
          <w:rPr>
            <w:rStyle w:val="Hyperlink"/>
            <w:noProof/>
          </w:rPr>
          <w:t>https://doi.org/10.1080/02508060.2019.1708172</w:t>
        </w:r>
      </w:hyperlink>
      <w:r w:rsidRPr="009F5123">
        <w:rPr>
          <w:noProof/>
        </w:rPr>
        <w:t xml:space="preserve"> </w:t>
      </w:r>
    </w:p>
    <w:p w14:paraId="14332581" w14:textId="1AC33951" w:rsidR="009F5123" w:rsidRPr="009F5123" w:rsidRDefault="009F5123" w:rsidP="00B03562">
      <w:pPr>
        <w:pStyle w:val="EndNoteBibliography"/>
        <w:spacing w:after="0" w:line="360" w:lineRule="auto"/>
        <w:ind w:left="720" w:hanging="720"/>
        <w:rPr>
          <w:noProof/>
        </w:rPr>
      </w:pPr>
      <w:r w:rsidRPr="009F5123">
        <w:rPr>
          <w:noProof/>
        </w:rPr>
        <w:t xml:space="preserve">Urfels, A., McDonald, A. J., van Halsema, G., Struik, P. C., Kumar, P., Malik, R. K., Poonia, S. P., Balwinder, S., Singh, D. K., Singh, M., &amp; Krupnik, T. J. (2021). Social-ecological analysis of timely rice planting in Eastern India. </w:t>
      </w:r>
      <w:r w:rsidRPr="009F5123">
        <w:rPr>
          <w:i/>
          <w:noProof/>
        </w:rPr>
        <w:t>Agronomy for Sustainable Development</w:t>
      </w:r>
      <w:r w:rsidRPr="009F5123">
        <w:rPr>
          <w:noProof/>
        </w:rPr>
        <w:t>,</w:t>
      </w:r>
      <w:r w:rsidRPr="009F5123">
        <w:rPr>
          <w:i/>
          <w:noProof/>
        </w:rPr>
        <w:t xml:space="preserve"> 41</w:t>
      </w:r>
      <w:r w:rsidRPr="009F5123">
        <w:rPr>
          <w:noProof/>
        </w:rPr>
        <w:t xml:space="preserve">(2), 14. </w:t>
      </w:r>
      <w:hyperlink r:id="rId40" w:history="1">
        <w:r w:rsidRPr="009F5123">
          <w:rPr>
            <w:rStyle w:val="Hyperlink"/>
            <w:noProof/>
          </w:rPr>
          <w:t>https://doi.org/10.1007/s13593-021-00668-1</w:t>
        </w:r>
      </w:hyperlink>
      <w:r w:rsidRPr="009F5123">
        <w:rPr>
          <w:noProof/>
        </w:rPr>
        <w:t xml:space="preserve"> </w:t>
      </w:r>
    </w:p>
    <w:p w14:paraId="6ED835D5" w14:textId="140A5B3A" w:rsidR="009F5123" w:rsidRPr="009F5123" w:rsidRDefault="009F5123" w:rsidP="00B03562">
      <w:pPr>
        <w:pStyle w:val="EndNoteBibliography"/>
        <w:spacing w:after="0" w:line="360" w:lineRule="auto"/>
        <w:ind w:left="720" w:hanging="720"/>
        <w:rPr>
          <w:noProof/>
        </w:rPr>
      </w:pPr>
      <w:r w:rsidRPr="009F5123">
        <w:rPr>
          <w:noProof/>
        </w:rPr>
        <w:t xml:space="preserve">Urfels, A., Montes, C., Balwinder, S., van Halsema, G., Struik, P. C., Krupnik, T. J., &amp; McDonald, A. J. (2022). Climate adaptive rice planting strategies diverge across environmental gradients in </w:t>
      </w:r>
      <w:r w:rsidRPr="009F5123">
        <w:rPr>
          <w:noProof/>
        </w:rPr>
        <w:lastRenderedPageBreak/>
        <w:t xml:space="preserve">the Indo-Gangetic Plains. </w:t>
      </w:r>
      <w:r w:rsidRPr="009F5123">
        <w:rPr>
          <w:i/>
          <w:noProof/>
        </w:rPr>
        <w:t>Environmental Research Letters</w:t>
      </w:r>
      <w:r w:rsidRPr="009F5123">
        <w:rPr>
          <w:noProof/>
        </w:rPr>
        <w:t>,</w:t>
      </w:r>
      <w:r w:rsidRPr="009F5123">
        <w:rPr>
          <w:i/>
          <w:noProof/>
        </w:rPr>
        <w:t xml:space="preserve"> 17</w:t>
      </w:r>
      <w:r w:rsidRPr="009F5123">
        <w:rPr>
          <w:noProof/>
        </w:rPr>
        <w:t xml:space="preserve">(12), 124030. </w:t>
      </w:r>
      <w:hyperlink r:id="rId41" w:history="1">
        <w:r w:rsidRPr="009F5123">
          <w:rPr>
            <w:rStyle w:val="Hyperlink"/>
            <w:noProof/>
          </w:rPr>
          <w:t>https://doi.org/10.1088/1748-9326/aca5a2</w:t>
        </w:r>
      </w:hyperlink>
      <w:r w:rsidRPr="009F5123">
        <w:rPr>
          <w:noProof/>
        </w:rPr>
        <w:t xml:space="preserve"> </w:t>
      </w:r>
    </w:p>
    <w:p w14:paraId="048CCA9E" w14:textId="741F32C0" w:rsidR="009F5123" w:rsidRPr="009F5123" w:rsidRDefault="009F5123" w:rsidP="00B03562">
      <w:pPr>
        <w:pStyle w:val="EndNoteBibliography"/>
        <w:spacing w:line="360" w:lineRule="auto"/>
        <w:ind w:left="720" w:hanging="720"/>
        <w:rPr>
          <w:noProof/>
        </w:rPr>
      </w:pPr>
      <w:r w:rsidRPr="009F5123">
        <w:rPr>
          <w:noProof/>
        </w:rPr>
        <w:t xml:space="preserve">Wang, X., Folberth, C., Skalsky, R., Wang, S., Chen, B., Liu, Y., Chen, J., &amp; Balkovic, J. (2022). Crop calendar optimization for climate change adaptation in rice-based multiple cropping systems of India and Bangladesh. </w:t>
      </w:r>
      <w:r w:rsidRPr="009F5123">
        <w:rPr>
          <w:i/>
          <w:noProof/>
        </w:rPr>
        <w:t>Agricultural and Forest Meteorology</w:t>
      </w:r>
      <w:r w:rsidRPr="009F5123">
        <w:rPr>
          <w:noProof/>
        </w:rPr>
        <w:t>,</w:t>
      </w:r>
      <w:r w:rsidRPr="009F5123">
        <w:rPr>
          <w:i/>
          <w:noProof/>
        </w:rPr>
        <w:t xml:space="preserve"> 315</w:t>
      </w:r>
      <w:r w:rsidRPr="009F5123">
        <w:rPr>
          <w:noProof/>
        </w:rPr>
        <w:t xml:space="preserve">, 108830. </w:t>
      </w:r>
      <w:hyperlink r:id="rId42" w:history="1">
        <w:r w:rsidRPr="009F5123">
          <w:rPr>
            <w:rStyle w:val="Hyperlink"/>
            <w:noProof/>
          </w:rPr>
          <w:t>https://doi.org/https://doi.org/10.1016/j.agrformet.2022.108830</w:t>
        </w:r>
      </w:hyperlink>
      <w:r w:rsidRPr="009F5123">
        <w:rPr>
          <w:noProof/>
        </w:rPr>
        <w:t xml:space="preserve"> </w:t>
      </w:r>
    </w:p>
    <w:p w14:paraId="42082368" w14:textId="442CC4F5" w:rsidR="007B019E" w:rsidRPr="00B03562" w:rsidRDefault="007B019E" w:rsidP="0029577D">
      <w:pPr>
        <w:rPr>
          <w:rFonts w:cs="Times New Roman"/>
        </w:rPr>
      </w:pPr>
      <w:r>
        <w:rPr>
          <w:rFonts w:cs="Times New Roman"/>
        </w:rPr>
        <w:fldChar w:fldCharType="end"/>
      </w:r>
    </w:p>
    <w:sectPr w:rsidR="007B019E" w:rsidRPr="00B03562" w:rsidSect="00B03562">
      <w:footerReference w:type="default" r:id="rId4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8-13T09:46:00Z" w:initials="MM(I">
    <w:p w14:paraId="4178344E" w14:textId="77777777" w:rsidR="00F53458" w:rsidRDefault="00F53458" w:rsidP="00F53458">
      <w:pPr>
        <w:pStyle w:val="CommentText"/>
      </w:pPr>
      <w:r>
        <w:rPr>
          <w:rStyle w:val="CommentReference"/>
        </w:rPr>
        <w:annotationRef/>
      </w:r>
      <w:r>
        <w:t>Anton to add more</w:t>
      </w:r>
    </w:p>
  </w:comment>
  <w:comment w:id="1"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3976" w14:textId="77777777" w:rsidR="00EA310F" w:rsidRDefault="00EA310F" w:rsidP="009232CA">
      <w:pPr>
        <w:spacing w:after="0" w:line="240" w:lineRule="auto"/>
      </w:pPr>
      <w:r>
        <w:separator/>
      </w:r>
    </w:p>
  </w:endnote>
  <w:endnote w:type="continuationSeparator" w:id="0">
    <w:p w14:paraId="10067E0D" w14:textId="77777777" w:rsidR="00EA310F" w:rsidRDefault="00EA310F" w:rsidP="009232CA">
      <w:pPr>
        <w:spacing w:after="0" w:line="240" w:lineRule="auto"/>
      </w:pPr>
      <w:r>
        <w:continuationSeparator/>
      </w:r>
    </w:p>
  </w:endnote>
  <w:endnote w:type="continuationNotice" w:id="1">
    <w:p w14:paraId="7D15BE9C" w14:textId="77777777" w:rsidR="00EA310F" w:rsidRDefault="00EA3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D05EA" w14:textId="77777777" w:rsidR="00EA310F" w:rsidRDefault="00EA310F" w:rsidP="009232CA">
      <w:pPr>
        <w:spacing w:after="0" w:line="240" w:lineRule="auto"/>
      </w:pPr>
      <w:r>
        <w:separator/>
      </w:r>
    </w:p>
  </w:footnote>
  <w:footnote w:type="continuationSeparator" w:id="0">
    <w:p w14:paraId="767AA804" w14:textId="77777777" w:rsidR="00EA310F" w:rsidRDefault="00EA310F" w:rsidP="009232CA">
      <w:pPr>
        <w:spacing w:after="0" w:line="240" w:lineRule="auto"/>
      </w:pPr>
      <w:r>
        <w:continuationSeparator/>
      </w:r>
    </w:p>
  </w:footnote>
  <w:footnote w:type="continuationNotice" w:id="1">
    <w:p w14:paraId="5D3CDD25" w14:textId="77777777" w:rsidR="00EA310F" w:rsidRDefault="00EA310F">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pr2203vv0rxezzvzxvftcr0vvxept9tas&quot;&gt;au-irri-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record-ids&gt;&lt;/item&gt;&lt;/Libraries&gt;"/>
  </w:docVars>
  <w:rsids>
    <w:rsidRoot w:val="00867716"/>
    <w:rsid w:val="00000D48"/>
    <w:rsid w:val="00001D16"/>
    <w:rsid w:val="000032AE"/>
    <w:rsid w:val="000060E2"/>
    <w:rsid w:val="0000763F"/>
    <w:rsid w:val="000076E1"/>
    <w:rsid w:val="00010276"/>
    <w:rsid w:val="0001138E"/>
    <w:rsid w:val="000136FA"/>
    <w:rsid w:val="000142FE"/>
    <w:rsid w:val="00014687"/>
    <w:rsid w:val="00014D7D"/>
    <w:rsid w:val="00015FB6"/>
    <w:rsid w:val="0001680A"/>
    <w:rsid w:val="0002039E"/>
    <w:rsid w:val="00022452"/>
    <w:rsid w:val="00022A46"/>
    <w:rsid w:val="00024EEF"/>
    <w:rsid w:val="00027247"/>
    <w:rsid w:val="00027BAF"/>
    <w:rsid w:val="0003058D"/>
    <w:rsid w:val="00030AB0"/>
    <w:rsid w:val="000322EF"/>
    <w:rsid w:val="0003232F"/>
    <w:rsid w:val="00033CE7"/>
    <w:rsid w:val="00035417"/>
    <w:rsid w:val="000365AA"/>
    <w:rsid w:val="000405BF"/>
    <w:rsid w:val="00042D3B"/>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6578"/>
    <w:rsid w:val="00066CE6"/>
    <w:rsid w:val="0006794A"/>
    <w:rsid w:val="000711C4"/>
    <w:rsid w:val="00071A51"/>
    <w:rsid w:val="00082DF2"/>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C3D6A"/>
    <w:rsid w:val="000C5362"/>
    <w:rsid w:val="000C6E24"/>
    <w:rsid w:val="000C7855"/>
    <w:rsid w:val="000C79B5"/>
    <w:rsid w:val="000C7A46"/>
    <w:rsid w:val="000D067E"/>
    <w:rsid w:val="000D35D8"/>
    <w:rsid w:val="000D479D"/>
    <w:rsid w:val="000D6C61"/>
    <w:rsid w:val="000D6D14"/>
    <w:rsid w:val="000E0818"/>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4856"/>
    <w:rsid w:val="00156BA8"/>
    <w:rsid w:val="0016014A"/>
    <w:rsid w:val="0016100C"/>
    <w:rsid w:val="0016265B"/>
    <w:rsid w:val="00163A20"/>
    <w:rsid w:val="00163FAB"/>
    <w:rsid w:val="001657E0"/>
    <w:rsid w:val="00166D3F"/>
    <w:rsid w:val="00167432"/>
    <w:rsid w:val="00170817"/>
    <w:rsid w:val="00174433"/>
    <w:rsid w:val="00174A73"/>
    <w:rsid w:val="00174B3F"/>
    <w:rsid w:val="00175336"/>
    <w:rsid w:val="00177910"/>
    <w:rsid w:val="001843C5"/>
    <w:rsid w:val="0018557F"/>
    <w:rsid w:val="00185ACE"/>
    <w:rsid w:val="00187AEA"/>
    <w:rsid w:val="001913C7"/>
    <w:rsid w:val="00191453"/>
    <w:rsid w:val="001918C7"/>
    <w:rsid w:val="00195072"/>
    <w:rsid w:val="001950F6"/>
    <w:rsid w:val="00195A48"/>
    <w:rsid w:val="001A34CD"/>
    <w:rsid w:val="001A6708"/>
    <w:rsid w:val="001A6E22"/>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4CFD"/>
    <w:rsid w:val="001E59DE"/>
    <w:rsid w:val="001E70D8"/>
    <w:rsid w:val="001E733C"/>
    <w:rsid w:val="001E7DE1"/>
    <w:rsid w:val="001F1B97"/>
    <w:rsid w:val="001F2378"/>
    <w:rsid w:val="001F29EA"/>
    <w:rsid w:val="001F4FA6"/>
    <w:rsid w:val="001F6C12"/>
    <w:rsid w:val="001F6C5D"/>
    <w:rsid w:val="001F6FE9"/>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53FE"/>
    <w:rsid w:val="00226FF5"/>
    <w:rsid w:val="00227899"/>
    <w:rsid w:val="00227D5B"/>
    <w:rsid w:val="0023214C"/>
    <w:rsid w:val="00232205"/>
    <w:rsid w:val="00233ADC"/>
    <w:rsid w:val="002343BB"/>
    <w:rsid w:val="002372F9"/>
    <w:rsid w:val="0024117E"/>
    <w:rsid w:val="00241298"/>
    <w:rsid w:val="00241335"/>
    <w:rsid w:val="00244DBC"/>
    <w:rsid w:val="00245305"/>
    <w:rsid w:val="0024547E"/>
    <w:rsid w:val="002465AE"/>
    <w:rsid w:val="00246B4E"/>
    <w:rsid w:val="002474D5"/>
    <w:rsid w:val="0025103A"/>
    <w:rsid w:val="00252752"/>
    <w:rsid w:val="00252F97"/>
    <w:rsid w:val="00254501"/>
    <w:rsid w:val="00256197"/>
    <w:rsid w:val="00257237"/>
    <w:rsid w:val="002616BC"/>
    <w:rsid w:val="0026172C"/>
    <w:rsid w:val="002622A2"/>
    <w:rsid w:val="00263D1B"/>
    <w:rsid w:val="00263E4C"/>
    <w:rsid w:val="00264482"/>
    <w:rsid w:val="0027260E"/>
    <w:rsid w:val="002737A7"/>
    <w:rsid w:val="0027468D"/>
    <w:rsid w:val="002748E9"/>
    <w:rsid w:val="00274F3C"/>
    <w:rsid w:val="002762DD"/>
    <w:rsid w:val="00276B58"/>
    <w:rsid w:val="00280838"/>
    <w:rsid w:val="00281715"/>
    <w:rsid w:val="00284CB4"/>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B050C"/>
    <w:rsid w:val="002B089C"/>
    <w:rsid w:val="002B1177"/>
    <w:rsid w:val="002B2044"/>
    <w:rsid w:val="002B22F8"/>
    <w:rsid w:val="002B4D67"/>
    <w:rsid w:val="002B6E4A"/>
    <w:rsid w:val="002C1CB5"/>
    <w:rsid w:val="002C2227"/>
    <w:rsid w:val="002C2267"/>
    <w:rsid w:val="002D1942"/>
    <w:rsid w:val="002D41A2"/>
    <w:rsid w:val="002D7B2D"/>
    <w:rsid w:val="002E0461"/>
    <w:rsid w:val="002E1754"/>
    <w:rsid w:val="002E7CDF"/>
    <w:rsid w:val="002F2360"/>
    <w:rsid w:val="002F305E"/>
    <w:rsid w:val="002F3959"/>
    <w:rsid w:val="002F3DAA"/>
    <w:rsid w:val="00300223"/>
    <w:rsid w:val="00302666"/>
    <w:rsid w:val="003049CC"/>
    <w:rsid w:val="003074D6"/>
    <w:rsid w:val="00307500"/>
    <w:rsid w:val="00310079"/>
    <w:rsid w:val="003115A9"/>
    <w:rsid w:val="0031433B"/>
    <w:rsid w:val="00314847"/>
    <w:rsid w:val="00314FAD"/>
    <w:rsid w:val="00315E12"/>
    <w:rsid w:val="003205C6"/>
    <w:rsid w:val="003223FD"/>
    <w:rsid w:val="003226B8"/>
    <w:rsid w:val="00322B9B"/>
    <w:rsid w:val="0032312C"/>
    <w:rsid w:val="00324FD4"/>
    <w:rsid w:val="003316CA"/>
    <w:rsid w:val="00332CE6"/>
    <w:rsid w:val="00334015"/>
    <w:rsid w:val="003356F0"/>
    <w:rsid w:val="003366B8"/>
    <w:rsid w:val="00337AC6"/>
    <w:rsid w:val="003405CD"/>
    <w:rsid w:val="003441A8"/>
    <w:rsid w:val="00350988"/>
    <w:rsid w:val="003520EE"/>
    <w:rsid w:val="00353EC0"/>
    <w:rsid w:val="003561F2"/>
    <w:rsid w:val="00356F0E"/>
    <w:rsid w:val="00357536"/>
    <w:rsid w:val="00357770"/>
    <w:rsid w:val="00360622"/>
    <w:rsid w:val="00361623"/>
    <w:rsid w:val="00363213"/>
    <w:rsid w:val="00363B0F"/>
    <w:rsid w:val="0036571A"/>
    <w:rsid w:val="003672FE"/>
    <w:rsid w:val="00367DA4"/>
    <w:rsid w:val="0037024F"/>
    <w:rsid w:val="00370420"/>
    <w:rsid w:val="003708C0"/>
    <w:rsid w:val="00372CC2"/>
    <w:rsid w:val="00373597"/>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CD7"/>
    <w:rsid w:val="00394378"/>
    <w:rsid w:val="00394DB8"/>
    <w:rsid w:val="003A0FB8"/>
    <w:rsid w:val="003A2D05"/>
    <w:rsid w:val="003A2ECA"/>
    <w:rsid w:val="003A341E"/>
    <w:rsid w:val="003A38BE"/>
    <w:rsid w:val="003A6CC4"/>
    <w:rsid w:val="003A78D4"/>
    <w:rsid w:val="003A7B67"/>
    <w:rsid w:val="003A7DDD"/>
    <w:rsid w:val="003B043D"/>
    <w:rsid w:val="003B06B6"/>
    <w:rsid w:val="003B12F8"/>
    <w:rsid w:val="003B1CCE"/>
    <w:rsid w:val="003B6E45"/>
    <w:rsid w:val="003B74B7"/>
    <w:rsid w:val="003B7CDA"/>
    <w:rsid w:val="003B7D9B"/>
    <w:rsid w:val="003C0430"/>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486"/>
    <w:rsid w:val="003F509D"/>
    <w:rsid w:val="003F5484"/>
    <w:rsid w:val="003F575B"/>
    <w:rsid w:val="003F77A6"/>
    <w:rsid w:val="004003E0"/>
    <w:rsid w:val="00400F5C"/>
    <w:rsid w:val="004017CE"/>
    <w:rsid w:val="00405606"/>
    <w:rsid w:val="00405A0E"/>
    <w:rsid w:val="00406EE5"/>
    <w:rsid w:val="00410AFF"/>
    <w:rsid w:val="00410E42"/>
    <w:rsid w:val="00410F15"/>
    <w:rsid w:val="00410F50"/>
    <w:rsid w:val="00412F53"/>
    <w:rsid w:val="00414460"/>
    <w:rsid w:val="004203D5"/>
    <w:rsid w:val="0042319F"/>
    <w:rsid w:val="004252AF"/>
    <w:rsid w:val="0042593D"/>
    <w:rsid w:val="00425DFD"/>
    <w:rsid w:val="00426D4F"/>
    <w:rsid w:val="00431E5E"/>
    <w:rsid w:val="00433BA4"/>
    <w:rsid w:val="004347D1"/>
    <w:rsid w:val="00434C0B"/>
    <w:rsid w:val="00436B45"/>
    <w:rsid w:val="00441B99"/>
    <w:rsid w:val="00442AB2"/>
    <w:rsid w:val="00446153"/>
    <w:rsid w:val="004463BB"/>
    <w:rsid w:val="0045014B"/>
    <w:rsid w:val="004509F9"/>
    <w:rsid w:val="004517DC"/>
    <w:rsid w:val="00452D5F"/>
    <w:rsid w:val="00453EC7"/>
    <w:rsid w:val="00455CD7"/>
    <w:rsid w:val="00456A08"/>
    <w:rsid w:val="00460395"/>
    <w:rsid w:val="00460626"/>
    <w:rsid w:val="00463021"/>
    <w:rsid w:val="00464B92"/>
    <w:rsid w:val="00464B9C"/>
    <w:rsid w:val="00466459"/>
    <w:rsid w:val="00466A9D"/>
    <w:rsid w:val="0047004F"/>
    <w:rsid w:val="004711F3"/>
    <w:rsid w:val="00471444"/>
    <w:rsid w:val="00474769"/>
    <w:rsid w:val="00475C3A"/>
    <w:rsid w:val="00475F01"/>
    <w:rsid w:val="00477CEC"/>
    <w:rsid w:val="00480369"/>
    <w:rsid w:val="004804C9"/>
    <w:rsid w:val="0048364E"/>
    <w:rsid w:val="0048491E"/>
    <w:rsid w:val="004862A7"/>
    <w:rsid w:val="004876B2"/>
    <w:rsid w:val="004877DF"/>
    <w:rsid w:val="0049098E"/>
    <w:rsid w:val="004918FD"/>
    <w:rsid w:val="00495A6C"/>
    <w:rsid w:val="0049687F"/>
    <w:rsid w:val="00497953"/>
    <w:rsid w:val="00497A36"/>
    <w:rsid w:val="00497BDB"/>
    <w:rsid w:val="004A061E"/>
    <w:rsid w:val="004A46CD"/>
    <w:rsid w:val="004A4BB4"/>
    <w:rsid w:val="004A6108"/>
    <w:rsid w:val="004A7A8B"/>
    <w:rsid w:val="004A7B5A"/>
    <w:rsid w:val="004A7CBA"/>
    <w:rsid w:val="004B0475"/>
    <w:rsid w:val="004B0767"/>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6300"/>
    <w:rsid w:val="004D67F3"/>
    <w:rsid w:val="004E01C4"/>
    <w:rsid w:val="004E1BD0"/>
    <w:rsid w:val="004F0424"/>
    <w:rsid w:val="004F0EA4"/>
    <w:rsid w:val="004F205C"/>
    <w:rsid w:val="004F2264"/>
    <w:rsid w:val="004F23D7"/>
    <w:rsid w:val="004F308F"/>
    <w:rsid w:val="004F3243"/>
    <w:rsid w:val="004F589E"/>
    <w:rsid w:val="004F64A0"/>
    <w:rsid w:val="004F7160"/>
    <w:rsid w:val="00500440"/>
    <w:rsid w:val="00502FA8"/>
    <w:rsid w:val="00504C84"/>
    <w:rsid w:val="0050527B"/>
    <w:rsid w:val="00506262"/>
    <w:rsid w:val="005068A1"/>
    <w:rsid w:val="005101D8"/>
    <w:rsid w:val="00510633"/>
    <w:rsid w:val="00511916"/>
    <w:rsid w:val="005157A6"/>
    <w:rsid w:val="00517D62"/>
    <w:rsid w:val="00520AF8"/>
    <w:rsid w:val="00521479"/>
    <w:rsid w:val="005215A3"/>
    <w:rsid w:val="00522B89"/>
    <w:rsid w:val="0052382D"/>
    <w:rsid w:val="00523BC2"/>
    <w:rsid w:val="005247E2"/>
    <w:rsid w:val="0052530A"/>
    <w:rsid w:val="005279D7"/>
    <w:rsid w:val="005360C3"/>
    <w:rsid w:val="00536A8A"/>
    <w:rsid w:val="00537A70"/>
    <w:rsid w:val="005402F8"/>
    <w:rsid w:val="00541020"/>
    <w:rsid w:val="00541134"/>
    <w:rsid w:val="005443F1"/>
    <w:rsid w:val="00544F29"/>
    <w:rsid w:val="005455AF"/>
    <w:rsid w:val="0054652F"/>
    <w:rsid w:val="00547E06"/>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D61"/>
    <w:rsid w:val="005B14B4"/>
    <w:rsid w:val="005B1C1D"/>
    <w:rsid w:val="005B31CA"/>
    <w:rsid w:val="005B34EE"/>
    <w:rsid w:val="005B4870"/>
    <w:rsid w:val="005B74C2"/>
    <w:rsid w:val="005C16CC"/>
    <w:rsid w:val="005C2245"/>
    <w:rsid w:val="005C246A"/>
    <w:rsid w:val="005C2C38"/>
    <w:rsid w:val="005C3545"/>
    <w:rsid w:val="005C3ED8"/>
    <w:rsid w:val="005C43BD"/>
    <w:rsid w:val="005C4819"/>
    <w:rsid w:val="005C5EC8"/>
    <w:rsid w:val="005C75FB"/>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401A"/>
    <w:rsid w:val="00605179"/>
    <w:rsid w:val="00605F00"/>
    <w:rsid w:val="006116D0"/>
    <w:rsid w:val="006121C9"/>
    <w:rsid w:val="00612860"/>
    <w:rsid w:val="00613D49"/>
    <w:rsid w:val="006144B9"/>
    <w:rsid w:val="006200EA"/>
    <w:rsid w:val="0062013D"/>
    <w:rsid w:val="00621E03"/>
    <w:rsid w:val="006248E2"/>
    <w:rsid w:val="00624A9C"/>
    <w:rsid w:val="00630137"/>
    <w:rsid w:val="00631007"/>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7E8D"/>
    <w:rsid w:val="006704EB"/>
    <w:rsid w:val="00670625"/>
    <w:rsid w:val="00671FE7"/>
    <w:rsid w:val="00673982"/>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E0B60"/>
    <w:rsid w:val="006E10CE"/>
    <w:rsid w:val="006E204C"/>
    <w:rsid w:val="006E2FED"/>
    <w:rsid w:val="006E320C"/>
    <w:rsid w:val="006E4EB9"/>
    <w:rsid w:val="006E54E6"/>
    <w:rsid w:val="006E5C1E"/>
    <w:rsid w:val="006E7BE8"/>
    <w:rsid w:val="006E7E70"/>
    <w:rsid w:val="006E7EB4"/>
    <w:rsid w:val="006F05A1"/>
    <w:rsid w:val="006F0F68"/>
    <w:rsid w:val="006F29F8"/>
    <w:rsid w:val="006F3619"/>
    <w:rsid w:val="006F3813"/>
    <w:rsid w:val="006F42F6"/>
    <w:rsid w:val="006F7561"/>
    <w:rsid w:val="00700CDF"/>
    <w:rsid w:val="007018E7"/>
    <w:rsid w:val="00703C4A"/>
    <w:rsid w:val="00705E7B"/>
    <w:rsid w:val="007070FF"/>
    <w:rsid w:val="0071170F"/>
    <w:rsid w:val="0071198C"/>
    <w:rsid w:val="00714555"/>
    <w:rsid w:val="00716A45"/>
    <w:rsid w:val="00721333"/>
    <w:rsid w:val="00721B33"/>
    <w:rsid w:val="007223BB"/>
    <w:rsid w:val="00722646"/>
    <w:rsid w:val="007245B5"/>
    <w:rsid w:val="00724B7A"/>
    <w:rsid w:val="00727B9F"/>
    <w:rsid w:val="007307D1"/>
    <w:rsid w:val="00730D37"/>
    <w:rsid w:val="00731243"/>
    <w:rsid w:val="00731B3E"/>
    <w:rsid w:val="00731FE1"/>
    <w:rsid w:val="00735B7D"/>
    <w:rsid w:val="00736D71"/>
    <w:rsid w:val="00741AB0"/>
    <w:rsid w:val="00743470"/>
    <w:rsid w:val="00743D6F"/>
    <w:rsid w:val="00744A93"/>
    <w:rsid w:val="007455E7"/>
    <w:rsid w:val="007464EB"/>
    <w:rsid w:val="007470A9"/>
    <w:rsid w:val="00747192"/>
    <w:rsid w:val="0075048F"/>
    <w:rsid w:val="00750A78"/>
    <w:rsid w:val="00752252"/>
    <w:rsid w:val="00752715"/>
    <w:rsid w:val="00754287"/>
    <w:rsid w:val="007556DA"/>
    <w:rsid w:val="00755795"/>
    <w:rsid w:val="00755830"/>
    <w:rsid w:val="00756B48"/>
    <w:rsid w:val="00756B7D"/>
    <w:rsid w:val="007575F7"/>
    <w:rsid w:val="00760F5D"/>
    <w:rsid w:val="00762AF4"/>
    <w:rsid w:val="007630D2"/>
    <w:rsid w:val="007641CB"/>
    <w:rsid w:val="007641F3"/>
    <w:rsid w:val="0076486E"/>
    <w:rsid w:val="00764EA0"/>
    <w:rsid w:val="00772407"/>
    <w:rsid w:val="007724DE"/>
    <w:rsid w:val="00772639"/>
    <w:rsid w:val="007736B6"/>
    <w:rsid w:val="007743A9"/>
    <w:rsid w:val="00774A5E"/>
    <w:rsid w:val="00774B4E"/>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4594"/>
    <w:rsid w:val="007B521C"/>
    <w:rsid w:val="007B5BA0"/>
    <w:rsid w:val="007B6260"/>
    <w:rsid w:val="007B705E"/>
    <w:rsid w:val="007C3394"/>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3E4"/>
    <w:rsid w:val="00812ED2"/>
    <w:rsid w:val="00815499"/>
    <w:rsid w:val="0081583C"/>
    <w:rsid w:val="0081656B"/>
    <w:rsid w:val="008208FF"/>
    <w:rsid w:val="00821505"/>
    <w:rsid w:val="00822BD7"/>
    <w:rsid w:val="00827B94"/>
    <w:rsid w:val="008304F2"/>
    <w:rsid w:val="00830A94"/>
    <w:rsid w:val="00830D97"/>
    <w:rsid w:val="008343EF"/>
    <w:rsid w:val="008349D4"/>
    <w:rsid w:val="00834AC3"/>
    <w:rsid w:val="00834CC8"/>
    <w:rsid w:val="00837873"/>
    <w:rsid w:val="0084066B"/>
    <w:rsid w:val="00840F0F"/>
    <w:rsid w:val="00841E3F"/>
    <w:rsid w:val="008451ED"/>
    <w:rsid w:val="00850571"/>
    <w:rsid w:val="0085185A"/>
    <w:rsid w:val="008521E4"/>
    <w:rsid w:val="00853CED"/>
    <w:rsid w:val="0085458C"/>
    <w:rsid w:val="00855876"/>
    <w:rsid w:val="00860D8C"/>
    <w:rsid w:val="0086162C"/>
    <w:rsid w:val="00861B34"/>
    <w:rsid w:val="00861E3C"/>
    <w:rsid w:val="008621A4"/>
    <w:rsid w:val="00865795"/>
    <w:rsid w:val="00866260"/>
    <w:rsid w:val="00866E45"/>
    <w:rsid w:val="008672C4"/>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BE6"/>
    <w:rsid w:val="00890D79"/>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6226"/>
    <w:rsid w:val="008C6397"/>
    <w:rsid w:val="008D1C3E"/>
    <w:rsid w:val="008D27C7"/>
    <w:rsid w:val="008D33A5"/>
    <w:rsid w:val="008D3D7A"/>
    <w:rsid w:val="008D3F83"/>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E51"/>
    <w:rsid w:val="00900D47"/>
    <w:rsid w:val="00903794"/>
    <w:rsid w:val="00911739"/>
    <w:rsid w:val="00911879"/>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62E4"/>
    <w:rsid w:val="00986DA3"/>
    <w:rsid w:val="009906FF"/>
    <w:rsid w:val="0099078B"/>
    <w:rsid w:val="0099100E"/>
    <w:rsid w:val="0099369D"/>
    <w:rsid w:val="00995923"/>
    <w:rsid w:val="00996278"/>
    <w:rsid w:val="00996CE8"/>
    <w:rsid w:val="009971D7"/>
    <w:rsid w:val="009A01CF"/>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A3"/>
    <w:rsid w:val="009F5123"/>
    <w:rsid w:val="009F6646"/>
    <w:rsid w:val="009F675E"/>
    <w:rsid w:val="009F75A0"/>
    <w:rsid w:val="009F7D76"/>
    <w:rsid w:val="009F7E7D"/>
    <w:rsid w:val="00A00C7B"/>
    <w:rsid w:val="00A02611"/>
    <w:rsid w:val="00A02F6F"/>
    <w:rsid w:val="00A04997"/>
    <w:rsid w:val="00A07E4C"/>
    <w:rsid w:val="00A108BF"/>
    <w:rsid w:val="00A11C7E"/>
    <w:rsid w:val="00A1211F"/>
    <w:rsid w:val="00A1331B"/>
    <w:rsid w:val="00A13781"/>
    <w:rsid w:val="00A14A41"/>
    <w:rsid w:val="00A1759F"/>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4A09"/>
    <w:rsid w:val="00A664CE"/>
    <w:rsid w:val="00A718D7"/>
    <w:rsid w:val="00A74925"/>
    <w:rsid w:val="00A8456D"/>
    <w:rsid w:val="00A85838"/>
    <w:rsid w:val="00A877EB"/>
    <w:rsid w:val="00A9073B"/>
    <w:rsid w:val="00A9413E"/>
    <w:rsid w:val="00A95EAE"/>
    <w:rsid w:val="00A96289"/>
    <w:rsid w:val="00A97DD9"/>
    <w:rsid w:val="00AA19EE"/>
    <w:rsid w:val="00AA21CB"/>
    <w:rsid w:val="00AA42F1"/>
    <w:rsid w:val="00AA6286"/>
    <w:rsid w:val="00AB1227"/>
    <w:rsid w:val="00AB2C7E"/>
    <w:rsid w:val="00AB33AA"/>
    <w:rsid w:val="00AB3BEC"/>
    <w:rsid w:val="00AB3F58"/>
    <w:rsid w:val="00AB6C8B"/>
    <w:rsid w:val="00AB783A"/>
    <w:rsid w:val="00AB7958"/>
    <w:rsid w:val="00AC0C57"/>
    <w:rsid w:val="00AC23BF"/>
    <w:rsid w:val="00AC3B9C"/>
    <w:rsid w:val="00AC56BE"/>
    <w:rsid w:val="00AC618D"/>
    <w:rsid w:val="00AC6E63"/>
    <w:rsid w:val="00AD0E38"/>
    <w:rsid w:val="00AD5F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992"/>
    <w:rsid w:val="00B31FC1"/>
    <w:rsid w:val="00B3217B"/>
    <w:rsid w:val="00B355A4"/>
    <w:rsid w:val="00B36822"/>
    <w:rsid w:val="00B36928"/>
    <w:rsid w:val="00B369E1"/>
    <w:rsid w:val="00B374C9"/>
    <w:rsid w:val="00B37E43"/>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4C4"/>
    <w:rsid w:val="00B97A0C"/>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4258"/>
    <w:rsid w:val="00C264BD"/>
    <w:rsid w:val="00C274BB"/>
    <w:rsid w:val="00C27EA1"/>
    <w:rsid w:val="00C30CFD"/>
    <w:rsid w:val="00C31097"/>
    <w:rsid w:val="00C3128A"/>
    <w:rsid w:val="00C3379C"/>
    <w:rsid w:val="00C34A9B"/>
    <w:rsid w:val="00C3535B"/>
    <w:rsid w:val="00C3683F"/>
    <w:rsid w:val="00C372B5"/>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86B"/>
    <w:rsid w:val="00C7422E"/>
    <w:rsid w:val="00C7471F"/>
    <w:rsid w:val="00C74E7F"/>
    <w:rsid w:val="00C759AE"/>
    <w:rsid w:val="00C759CF"/>
    <w:rsid w:val="00C76415"/>
    <w:rsid w:val="00C773D6"/>
    <w:rsid w:val="00C80AE8"/>
    <w:rsid w:val="00C819CD"/>
    <w:rsid w:val="00C82606"/>
    <w:rsid w:val="00C832EB"/>
    <w:rsid w:val="00C83B28"/>
    <w:rsid w:val="00C8439B"/>
    <w:rsid w:val="00C867D9"/>
    <w:rsid w:val="00C8735D"/>
    <w:rsid w:val="00C87C07"/>
    <w:rsid w:val="00C9048C"/>
    <w:rsid w:val="00C9066C"/>
    <w:rsid w:val="00C91D7C"/>
    <w:rsid w:val="00C92986"/>
    <w:rsid w:val="00C94EA5"/>
    <w:rsid w:val="00CA01FA"/>
    <w:rsid w:val="00CA12BC"/>
    <w:rsid w:val="00CA4A9B"/>
    <w:rsid w:val="00CA5564"/>
    <w:rsid w:val="00CA6336"/>
    <w:rsid w:val="00CA6B83"/>
    <w:rsid w:val="00CA7CA7"/>
    <w:rsid w:val="00CB3FD5"/>
    <w:rsid w:val="00CB4F6F"/>
    <w:rsid w:val="00CB6649"/>
    <w:rsid w:val="00CB71F2"/>
    <w:rsid w:val="00CB79FD"/>
    <w:rsid w:val="00CC0CF1"/>
    <w:rsid w:val="00CC0F5C"/>
    <w:rsid w:val="00CC4895"/>
    <w:rsid w:val="00CC6488"/>
    <w:rsid w:val="00CC6583"/>
    <w:rsid w:val="00CC6EF4"/>
    <w:rsid w:val="00CD09DF"/>
    <w:rsid w:val="00CD2132"/>
    <w:rsid w:val="00CD2B83"/>
    <w:rsid w:val="00CD430C"/>
    <w:rsid w:val="00CD52CB"/>
    <w:rsid w:val="00CD609E"/>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71B3E"/>
    <w:rsid w:val="00D76ACE"/>
    <w:rsid w:val="00D76BF6"/>
    <w:rsid w:val="00D7787E"/>
    <w:rsid w:val="00D80F74"/>
    <w:rsid w:val="00D81D3A"/>
    <w:rsid w:val="00D822AC"/>
    <w:rsid w:val="00D82546"/>
    <w:rsid w:val="00D8304F"/>
    <w:rsid w:val="00D8326E"/>
    <w:rsid w:val="00D87B82"/>
    <w:rsid w:val="00DA0CF4"/>
    <w:rsid w:val="00DA0FBD"/>
    <w:rsid w:val="00DA126F"/>
    <w:rsid w:val="00DA1B3E"/>
    <w:rsid w:val="00DA1B8D"/>
    <w:rsid w:val="00DA1CD3"/>
    <w:rsid w:val="00DA21A8"/>
    <w:rsid w:val="00DA27B6"/>
    <w:rsid w:val="00DA2917"/>
    <w:rsid w:val="00DA3D57"/>
    <w:rsid w:val="00DA56BC"/>
    <w:rsid w:val="00DA5EA7"/>
    <w:rsid w:val="00DA7F7F"/>
    <w:rsid w:val="00DB0C11"/>
    <w:rsid w:val="00DB1012"/>
    <w:rsid w:val="00DB1A2E"/>
    <w:rsid w:val="00DB2BA3"/>
    <w:rsid w:val="00DB2DD4"/>
    <w:rsid w:val="00DB412C"/>
    <w:rsid w:val="00DB4FD2"/>
    <w:rsid w:val="00DB6B95"/>
    <w:rsid w:val="00DB7662"/>
    <w:rsid w:val="00DC141E"/>
    <w:rsid w:val="00DC663E"/>
    <w:rsid w:val="00DC7FE8"/>
    <w:rsid w:val="00DD1347"/>
    <w:rsid w:val="00DD2987"/>
    <w:rsid w:val="00DD2E22"/>
    <w:rsid w:val="00DD5A56"/>
    <w:rsid w:val="00DD5F70"/>
    <w:rsid w:val="00DD7048"/>
    <w:rsid w:val="00DD7095"/>
    <w:rsid w:val="00DD7D6D"/>
    <w:rsid w:val="00DE163B"/>
    <w:rsid w:val="00DE16C9"/>
    <w:rsid w:val="00DE24CA"/>
    <w:rsid w:val="00DE6006"/>
    <w:rsid w:val="00DE7109"/>
    <w:rsid w:val="00DE7301"/>
    <w:rsid w:val="00DF06AE"/>
    <w:rsid w:val="00DF1904"/>
    <w:rsid w:val="00DF3A1C"/>
    <w:rsid w:val="00DF5A5F"/>
    <w:rsid w:val="00DF6664"/>
    <w:rsid w:val="00DF70C6"/>
    <w:rsid w:val="00E01981"/>
    <w:rsid w:val="00E02E87"/>
    <w:rsid w:val="00E03FD7"/>
    <w:rsid w:val="00E07099"/>
    <w:rsid w:val="00E074F3"/>
    <w:rsid w:val="00E076B1"/>
    <w:rsid w:val="00E07BB5"/>
    <w:rsid w:val="00E103A1"/>
    <w:rsid w:val="00E12738"/>
    <w:rsid w:val="00E1340E"/>
    <w:rsid w:val="00E14B7E"/>
    <w:rsid w:val="00E14D9C"/>
    <w:rsid w:val="00E1551E"/>
    <w:rsid w:val="00E162A2"/>
    <w:rsid w:val="00E16690"/>
    <w:rsid w:val="00E169D3"/>
    <w:rsid w:val="00E16A06"/>
    <w:rsid w:val="00E21A07"/>
    <w:rsid w:val="00E23610"/>
    <w:rsid w:val="00E2475E"/>
    <w:rsid w:val="00E27C67"/>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3648"/>
    <w:rsid w:val="00E94C3B"/>
    <w:rsid w:val="00E9588C"/>
    <w:rsid w:val="00E972D9"/>
    <w:rsid w:val="00E9735B"/>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2B82"/>
    <w:rsid w:val="00F241DA"/>
    <w:rsid w:val="00F2687A"/>
    <w:rsid w:val="00F278DE"/>
    <w:rsid w:val="00F34A78"/>
    <w:rsid w:val="00F35A45"/>
    <w:rsid w:val="00F3794F"/>
    <w:rsid w:val="00F37C3E"/>
    <w:rsid w:val="00F40C1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3DC"/>
    <w:rsid w:val="00F8669A"/>
    <w:rsid w:val="00F905C6"/>
    <w:rsid w:val="00F91816"/>
    <w:rsid w:val="00F9371B"/>
    <w:rsid w:val="00F93D49"/>
    <w:rsid w:val="00F94FCD"/>
    <w:rsid w:val="00F96162"/>
    <w:rsid w:val="00F96792"/>
    <w:rsid w:val="00F9720E"/>
    <w:rsid w:val="00FA19B4"/>
    <w:rsid w:val="00FA5F5D"/>
    <w:rsid w:val="00FA60ED"/>
    <w:rsid w:val="00FA618C"/>
    <w:rsid w:val="00FA62D5"/>
    <w:rsid w:val="00FA7671"/>
    <w:rsid w:val="00FA7FCD"/>
    <w:rsid w:val="00FB1940"/>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3DA"/>
    <w:rsid w:val="00FE2454"/>
    <w:rsid w:val="00FE294A"/>
    <w:rsid w:val="00FE4595"/>
    <w:rsid w:val="00FE577A"/>
    <w:rsid w:val="00FE6323"/>
    <w:rsid w:val="00FE789A"/>
    <w:rsid w:val="00FE7EEE"/>
    <w:rsid w:val="00FF0F39"/>
    <w:rsid w:val="00FF10C7"/>
    <w:rsid w:val="00FF13D4"/>
    <w:rsid w:val="00FF1542"/>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B202CF"/>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AD0E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74B4E"/>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2CF"/>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AD0E38"/>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774B4E"/>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https://doi.org/10.1007/978-3-319-21708-6" TargetMode="External"/><Relationship Id="rId39" Type="http://schemas.openxmlformats.org/officeDocument/2006/relationships/hyperlink" Target="https://doi.org/10.1080/02508060.2019.1708172" TargetMode="External"/><Relationship Id="rId21" Type="http://schemas.openxmlformats.org/officeDocument/2006/relationships/hyperlink" Target="https://csisa.org/" TargetMode="External"/><Relationship Id="rId34" Type="http://schemas.openxmlformats.org/officeDocument/2006/relationships/hyperlink" Target="https://doi.org/https://doi.org/10.1016/j.worlddev.2021.105599" TargetMode="External"/><Relationship Id="rId42" Type="http://schemas.openxmlformats.org/officeDocument/2006/relationships/hyperlink" Target="https://doi.org/https://doi.org/10.1016/j.agrformet.2022.1088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conPapers.repec.org/RePEc:ier:iecrev:v:18:y:1977:i:2:p:47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https://doi.org/10.1016/j.scitotenv.2021.151671" TargetMode="External"/><Relationship Id="rId32" Type="http://schemas.openxmlformats.org/officeDocument/2006/relationships/hyperlink" Target="https://doi.org/https://doi.org/10.1175/WCAS-D-19-0122.1" TargetMode="External"/><Relationship Id="rId37" Type="http://schemas.openxmlformats.org/officeDocument/2006/relationships/hyperlink" Target="https://doi.org/10.1017/S0021859619000492" TargetMode="External"/><Relationship Id="rId40" Type="http://schemas.openxmlformats.org/officeDocument/2006/relationships/hyperlink" Target="https://doi.org/10.1007/s13593-021-00668-1"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https://doi.org/10.1016/j.agrformet.2008.08.015" TargetMode="External"/><Relationship Id="rId28" Type="http://schemas.openxmlformats.org/officeDocument/2006/relationships/hyperlink" Target="https://doi.org/10.1038/s43016-022-00549-0" TargetMode="External"/><Relationship Id="rId36" Type="http://schemas.openxmlformats.org/officeDocument/2006/relationships/hyperlink" Target="https://doi.org/https://doi.org/10.3982/ECTA7749"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ageconsearch.umn.edu/record/93223/files/JARE_Aug2010__10_pp334-347.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ystems-agronomy.github.io/lcas/" TargetMode="External"/><Relationship Id="rId22" Type="http://schemas.openxmlformats.org/officeDocument/2006/relationships/hyperlink" Target="https://doi.org/https://doi.org/10.1111/agec.12454" TargetMode="External"/><Relationship Id="rId27" Type="http://schemas.openxmlformats.org/officeDocument/2006/relationships/hyperlink" Target="https://doi.org/doi:10.12987/9780300191677" TargetMode="External"/><Relationship Id="rId30" Type="http://schemas.openxmlformats.org/officeDocument/2006/relationships/hyperlink" Target="https://www.mdpi.com/2073-4433/14/1/40" TargetMode="External"/><Relationship Id="rId35" Type="http://schemas.openxmlformats.org/officeDocument/2006/relationships/hyperlink" Target="https://doi.org/https://doi.org/10.1016/j.worlddev.2008.05.008"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doi.org/https://doi.org/10.1016/j.agwat.2018.02.020" TargetMode="External"/><Relationship Id="rId33" Type="http://schemas.openxmlformats.org/officeDocument/2006/relationships/hyperlink" Target="https://doi.org/https://doi.org/10.1016/j.agrformet.2012.09.011" TargetMode="External"/><Relationship Id="rId38" Type="http://schemas.openxmlformats.org/officeDocument/2006/relationships/hyperlink" Target="https://doi.org/https://doi.org/10.1016/j.agsy.2023.103618"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088/1748-9326/aca5a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11757</Words>
  <Characters>67021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4</cp:revision>
  <dcterms:created xsi:type="dcterms:W3CDTF">2023-10-12T14:57:00Z</dcterms:created>
  <dcterms:modified xsi:type="dcterms:W3CDTF">2023-11-26T10:06:00Z</dcterms:modified>
</cp:coreProperties>
</file>