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400"/>
        <w:jc w:val="center"/>
      </w:pPr>
      <w:r>
        <w:rPr>
          <w:b/>
          <w:bCs/>
          <w:color w:val="1F3864"/>
          <w:sz w:val="56"/>
          <w:szCs w:val="56"/>
        </w:rPr>
        <w:t xml:space="preserve">Graph Explorer</w:t>
      </w:r>
    </w:p>
    <w:p>
      <w:pPr>
        <w:spacing w:after="2000"/>
        <w:jc w:val="center"/>
      </w:pPr>
      <w:r>
        <w:rPr>
          <w:color w:val="2E75B6"/>
          <w:sz w:val="32"/>
          <w:szCs w:val="32"/>
        </w:rPr>
        <w:t xml:space="preserve">User Manual</w:t>
      </w:r>
    </w:p>
    <w:p>
      <w:pPr>
        <w:jc w:val="center"/>
      </w:pPr>
      <w:r>
        <w:rPr>
          <w:sz w:val="22"/>
          <w:szCs w:val="22"/>
        </w:rPr>
        <w:t xml:space="preserve">Version 2.3.0</w:t>
      </w:r>
    </w:p>
    <w:p>
      <w:pPr>
        <w:jc w:val="center"/>
      </w:pPr>
      <w:r>
        <w:rPr>
          <w:color w:val="666666"/>
          <w:sz w:val="22"/>
          <w:szCs w:val="22"/>
        </w:rPr>
        <w:t xml:space="preserve">2026-07-06</w:t>
      </w:r>
    </w:p>
    <w:p>
      <w:r>
        <w:br w:type="page"/>
      </w:r>
    </w:p>
    <w:sdt>
      <w:sdtPr>
        <w:alias w:val="Table of Contents"/>
      </w:sdtPr>
      <w:sdtContent>
        <w:p>
          <w:r>
            <w:fldChar w:fldCharType="begin" w:dirty="true"/>
            <w:instrText xml:space="preserve">TOC \h \o "1-3"</w:instrText>
            <w:fldChar w:fldCharType="separate"/>
          </w:r>
        </w:p>
        <w:p>
          <w:r>
            <w:fldChar w:fldCharType="end"/>
          </w:r>
        </w:p>
      </w:sdtContent>
    </w:sdt>
    <w:p>
      <w:r>
        <w:br w:type="page"/>
      </w:r>
    </w:p>
    <w:p>
      <w:pPr>
        <w:pStyle w:val="Heading1"/>
      </w:pPr>
      <w:r>
        <w:t xml:space="preserve">1. Getting Started</w:t>
      </w:r>
    </w:p>
    <w:p>
      <w:pPr>
        <w:pStyle w:val="Heading2"/>
      </w:pPr>
      <w:r>
        <w:t xml:space="preserve">1.1 Logging in</w:t>
      </w:r>
    </w:p>
    <w:p>
      <w:pPr>
        <w:spacing w:after="160"/>
      </w:pPr>
      <w:r>
        <w:t xml:space="preserve">Open the application in your browser (your administrator will give you the address, e.g. http://localhost:3000 or http://&lt;server&gt;:3000). Enter your username and password.</w:t>
      </w:r>
    </w:p>
    <w:p>
      <w:pPr>
        <w:pBdr>
          <w:left w:val="single" w:color="E8A33D" w:sz="18" w:space="8"/>
        </w:pBdr>
        <w:shd w:fill="FFF4E5" w:val="clear"/>
        <w:spacing w:after="200" w:before="120"/>
        <w:ind w:left="360"/>
      </w:pPr>
      <w:r>
        <w:rPr>
          <w:b/>
          <w:bCs/>
        </w:rPr>
        <w:t xml:space="preserve">Note: </w:t>
      </w:r>
      <w:r>
        <w:t xml:space="preserve">If this is a brand-new installation with no other accounts yet, log in with username admin and password admin123, then change the password immediately from ⚙ Settings ▾ → Change Password.</w:t>
      </w:r>
    </w:p>
    <w:p>
      <w:pPr>
        <w:pStyle w:val="Heading2"/>
      </w:pPr>
      <w:r>
        <w:t xml:space="preserve">1.2 First-time setup (each user)</w:t>
      </w:r>
    </w:p>
    <w:p>
      <w:pPr>
        <w:pStyle w:val="ListParagraph"/>
        <w:numPr>
          <w:ilvl w:val="0"/>
          <w:numId w:val="2"/>
        </w:numPr>
        <w:spacing w:after="80"/>
      </w:pPr>
      <w:r>
        <w:t xml:space="preserve">Open ⚙ Settings ▾ → My Connection.</w:t>
      </w:r>
    </w:p>
    <w:p>
      <w:pPr>
        <w:pStyle w:val="ListParagraph"/>
        <w:numPr>
          <w:ilvl w:val="0"/>
          <w:numId w:val="2"/>
        </w:numPr>
        <w:spacing w:after="80"/>
      </w:pPr>
      <w:r>
        <w:t xml:space="preserve">Under Neo4j, enter your own database name, username, and password, then click Test &amp; Save.</w:t>
      </w:r>
    </w:p>
    <w:p>
      <w:pPr>
        <w:pStyle w:val="ListParagraph"/>
        <w:numPr>
          <w:ilvl w:val="0"/>
          <w:numId w:val="2"/>
        </w:numPr>
        <w:spacing w:after="80"/>
      </w:pPr>
      <w:r>
        <w:t xml:space="preserve">Under Postgres, enter your own database, schema, username, and password, then click Test &amp; Save.</w:t>
      </w:r>
    </w:p>
    <w:p>
      <w:pPr>
        <w:pStyle w:val="ListParagraph"/>
        <w:numPr>
          <w:ilvl w:val="0"/>
          <w:numId w:val="2"/>
        </w:numPr>
        <w:spacing w:after="80"/>
      </w:pPr>
      <w:r>
        <w:t xml:space="preserve">Under Agentic AI / LLM, enter your provider, model, and API key if you plan to use the AI Agent, then click Test connection.</w:t>
      </w:r>
    </w:p>
    <w:p>
      <w:pPr>
        <w:pBdr>
          <w:left w:val="single" w:color="E8A33D" w:sz="18" w:space="8"/>
        </w:pBdr>
        <w:shd w:fill="FFF4E5" w:val="clear"/>
        <w:spacing w:after="200" w:before="120"/>
        <w:ind w:left="360"/>
      </w:pPr>
      <w:r>
        <w:rPr>
          <w:b/>
          <w:bCs/>
        </w:rPr>
        <w:t xml:space="preserve">Note: </w:t>
      </w:r>
      <w:r>
        <w:t xml:space="preserve">An administrator must first configure the shared Neo4j URL and Postgres host under ⚙ Settings ▾ → Database Endpoints before individual users can connect.</w:t>
      </w:r>
    </w:p>
    <w:p>
      <w:pPr>
        <w:pStyle w:val="Heading1"/>
      </w:pPr>
      <w:r>
        <w:t xml:space="preserve">2. The Interface at a Glance</w:t>
      </w:r>
    </w:p>
    <w:p>
      <w:pPr>
        <w:spacing w:after="160"/>
      </w:pPr>
      <w:r>
        <w:t xml:space="preserve">The header bar (top) shows live graph statistics, undo/redo, zoom, alignment, and color tools, the Settings menu, the 🤖 AI Agent toggle, and Sign Out. Below it is the main menu bar (File / Database / View / Select / Edit). The center panel shows either the graph canvas or a table view, depending on the current View mode. Tabs along the top let you keep several graphs open at once.</w:t>
      </w:r>
    </w:p>
    <w:tbl>
      <w:tblPr>
        <w:tblW w:type="dxa" w:w="9160"/>
        <w:tblBorders>
          <w:top w:val="single" w:color="auto" w:sz="4"/>
          <w:left w:val="single" w:color="auto" w:sz="4"/>
          <w:bottom w:val="single" w:color="auto" w:sz="4"/>
          <w:right w:val="single" w:color="auto" w:sz="4"/>
          <w:insideH w:val="single" w:color="auto" w:sz="4"/>
          <w:insideV w:val="single" w:color="auto" w:sz="4"/>
        </w:tblBorders>
      </w:tblPr>
      <w:tblGrid>
        <w:gridCol w:w="2400"/>
        <w:gridCol w:w="2200"/>
        <w:gridCol w:w="4560"/>
      </w:tblGrid>
      <w:tr>
        <w:trPr>
          <w:tblHeader/>
        </w:trPr>
        <w:tc>
          <w:tcPr>
            <w:tcW w:type="dxa" w:w="24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b/>
                <w:bCs/>
                <w:color w:val="FFFFFF"/>
              </w:rPr>
              <w:t xml:space="preserve">Menu</w:t>
            </w:r>
          </w:p>
        </w:tc>
        <w:tc>
          <w:tcPr>
            <w:tcW w:type="dxa" w:w="22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b/>
                <w:bCs/>
                <w:color w:val="FFFFFF"/>
              </w:rPr>
              <w:t xml:space="preserve">Item</w:t>
            </w:r>
          </w:p>
        </w:tc>
        <w:tc>
          <w:tcPr>
            <w:tcW w:type="dxa" w:w="45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b/>
                <w:bCs/>
                <w:color w:val="FFFFFF"/>
              </w:rPr>
              <w:t xml:space="preserve">What it does</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File</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Load subgraph</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Open a saved JSON subgraph or import an RNEF pathway file (single or multi-pathway).</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File</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Save subgraph</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Save the active tab's graph, layout, and node positions to a JSON file.</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File</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Export CSV / Export Excel</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Export the active table view to a spreadsheet.</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Database</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Neo4j Cypher → Open Cypher editor</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Run a raw Cypher query with autocomplete and lint against the live schema.</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Database</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Neo4j Cypher → Sankey diagram</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Open the Sankey flow-view editor.</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Database</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Neo4j Cypher → Cypher history</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Browse and reopen every query you've run.</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Database</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Postgres SQL</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(Admin) run a read-only SELECT/WITH query directly.</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Database</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Ontology → Find ontology children / parents</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Expand a node's ontology neighbors by 1–5 levels, or unbounded.</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Database</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Ontology → Ontology analysis…</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Open the standalone ontology tree browser.</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Database</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Create/Edit relation</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Open the curation dialog for the selected node(s) (requires the user role).</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Database</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Find relations between Selected/Unselected</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Query for edges connecting the two groups, filtered by relation category.</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Database</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Connect Selected Nodes</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Add edges that close a loop entirely within your current selection.</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Database</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Shortest path…</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Find the shortest path(s) between up to 10 selected nodes.</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Database</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Expand Selected Nodes</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Pull in neighbors of your selection under various filters, or expand to a specific label.</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View</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Graph / Relations / References / Nodes</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Switch the main panel between the graph canvas and each table mode.</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View</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Layout</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Force-directed, hierarchical, circular, concentric, grid, or orthogonal.</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View</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Styles</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Color the graph by default palette, by Effect sign, or by Metabolic pathway role.</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View</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Columns</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(Table modes) add/remove/reorder/autofit columns.</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Select</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By area / all Nodes / all Relations / by label / by type</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Various selection shortcuts.</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Select</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Add neighbors to selection / Invert selection</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Grow or flip the current selection.</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Edit</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Copy / Paste / Delete selected</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Standard clipboard operations, including across tabs.</w:t>
            </w:r>
          </w:p>
        </w:tc>
      </w:tr>
    </w:tbl>
    <w:p>
      <w:r>
        <w:br w:type="page"/>
      </w:r>
    </w:p>
    <w:p>
      <w:pPr>
        <w:pStyle w:val="Heading1"/>
      </w:pPr>
      <w:r>
        <w:t xml:space="preserve">3. Working with the Graph</w:t>
      </w:r>
    </w:p>
    <w:p>
      <w:pPr>
        <w:pStyle w:val="Heading2"/>
      </w:pPr>
      <w:r>
        <w:t xml:space="preserve">3.1 Loading data</w:t>
      </w:r>
    </w:p>
    <w:p>
      <w:pPr>
        <w:pStyle w:val="ListParagraph"/>
        <w:numPr>
          <w:ilvl w:val="0"/>
          <w:numId w:val="3"/>
        </w:numPr>
        <w:spacing w:after="80"/>
      </w:pPr>
      <w:r>
        <w:t xml:space="preserve">File → Load subgraph opens a previously saved .json subgraph, or an .rnef pathway export — multi-pathway RNEF files prompt you to pick which pathway(s) to open, each in its own tab.</w:t>
      </w:r>
    </w:p>
    <w:p>
      <w:pPr>
        <w:pStyle w:val="ListParagraph"/>
        <w:numPr>
          <w:ilvl w:val="0"/>
          <w:numId w:val="3"/>
        </w:numPr>
        <w:spacing w:after="80"/>
      </w:pPr>
      <w:r>
        <w:t xml:space="preserve">Run a Cypher query (Database → Neo4j Cypher → Open Cypher editor) to pull nodes and relationships directly from the live database.</w:t>
      </w:r>
    </w:p>
    <w:p>
      <w:pPr>
        <w:pStyle w:val="ListParagraph"/>
        <w:numPr>
          <w:ilvl w:val="0"/>
          <w:numId w:val="3"/>
        </w:numPr>
        <w:spacing w:after="80"/>
      </w:pPr>
      <w:r>
        <w:t xml:space="preserve">Ask the AI Agent in plain English — see Section 6.</w:t>
      </w:r>
    </w:p>
    <w:p>
      <w:pPr>
        <w:pStyle w:val="Heading2"/>
      </w:pPr>
      <w:r>
        <w:t xml:space="preserve">3.2 Navigating and editing</w:t>
      </w:r>
    </w:p>
    <w:p>
      <w:pPr>
        <w:pStyle w:val="ListParagraph"/>
        <w:numPr>
          <w:ilvl w:val="0"/>
          <w:numId w:val="3"/>
        </w:numPr>
        <w:spacing w:after="80"/>
      </w:pPr>
      <w:r>
        <w:t xml:space="preserve">Click a node to select it and set it as the alignment focus. Drag to reposition; each drag is its own undo step (Ctrl+Z).</w:t>
      </w:r>
    </w:p>
    <w:p>
      <w:pPr>
        <w:pStyle w:val="ListParagraph"/>
        <w:numPr>
          <w:ilvl w:val="0"/>
          <w:numId w:val="3"/>
        </w:numPr>
        <w:spacing w:after="80"/>
      </w:pPr>
      <w:r>
        <w:t xml:space="preserve">Box-select (drag on empty canvas) to select multiple nodes/edges at once.</w:t>
      </w:r>
    </w:p>
    <w:p>
      <w:pPr>
        <w:pStyle w:val="ListParagraph"/>
        <w:numPr>
          <w:ilvl w:val="0"/>
          <w:numId w:val="3"/>
        </w:numPr>
        <w:spacing w:after="80"/>
      </w:pPr>
      <w:r>
        <w:t xml:space="preserve">Right-click a node for Edit Properties, Clone node, Remove clone, or (with two or more identity-matched nodes selected) Merge selected clones.</w:t>
      </w:r>
    </w:p>
    <w:p>
      <w:pPr>
        <w:pStyle w:val="ListParagraph"/>
        <w:numPr>
          <w:ilvl w:val="0"/>
          <w:numId w:val="3"/>
        </w:numPr>
        <w:spacing w:after="80"/>
      </w:pPr>
      <w:r>
        <w:t xml:space="preserve">Use the Layout submenu under View to rearrange the whole graph — force-directed, hierarchical, circular, concentric, grid, or orthogonal.</w:t>
      </w:r>
    </w:p>
    <w:p>
      <w:pPr>
        <w:pStyle w:val="Heading2"/>
      </w:pPr>
      <w:r>
        <w:t xml:space="preserve">3.3 Expanding the graph</w:t>
      </w:r>
    </w:p>
    <w:p>
      <w:pPr>
        <w:spacing w:after="160"/>
      </w:pPr>
      <w:r>
        <w:t xml:space="preserve">Database → Expand Selected Nodes offers several ways to pull in more of the graph around your current selection: all neighbors, only direct physical-interaction neighbors, only biomarker relations, only indirect relations, or expand to a specific node label you choose. Database → Find relations between Selected/Unselected does the same but restricted to edges connecting the two groups. Both preview the count before committing so you can back out of an unexpectedly large expansion.</w:t>
      </w:r>
    </w:p>
    <w:p>
      <w:pPr>
        <w:pStyle w:val="Heading1"/>
      </w:pPr>
      <w:r>
        <w:t xml:space="preserve">4. Table Views</w:t>
      </w:r>
    </w:p>
    <w:p>
      <w:pPr>
        <w:spacing w:after="160"/>
      </w:pPr>
      <w:r>
        <w:t xml:space="preserve">Switch between Graph, Nodes, Relations, and References from the View menu. Relations shows one row per Neo4j edge with its native properties; References additionally joins each edge's literature from PostgreSQL (and, if configured, Scopus citation metrics); Nodes shows one row per graph node. Each table is independently sortable (click a column header), filterable, and lets you add, remove, reorder, and autofit columns via View → Columns.</w:t>
      </w:r>
    </w:p>
    <w:p>
      <w:pPr>
        <w:pStyle w:val="Heading1"/>
      </w:pPr>
      <w:r>
        <w:t xml:space="preserve">5. Sankey Diagrams and Ontology Analysis</w:t>
      </w:r>
    </w:p>
    <w:p>
      <w:pPr>
        <w:pStyle w:val="Heading2"/>
      </w:pPr>
      <w:r>
        <w:t xml:space="preserve">5.1 Sankey diagram</w:t>
      </w:r>
    </w:p>
    <w:p>
      <w:pPr>
        <w:spacing w:after="160"/>
      </w:pPr>
      <w:r>
        <w:t xml:space="preserve">Database → Neo4j Cypher → Sankey diagram opens a dedicated editor. Write or paste a Cypher query returning nodes and relationships; the result is aggregated into a flow diagram grouped by entity label, relation type, and effect sign, with link width proportional to a property you choose (reference count by default). Hover a link or node for its exact counts. Use Export SVG to save the diagram as an image, or Show graph to load the same result set into the regular Graph view.</w:t>
      </w:r>
    </w:p>
    <w:p>
      <w:pPr>
        <w:pStyle w:val="Heading2"/>
      </w:pPr>
      <w:r>
        <w:t xml:space="preserve">5.2 Ontology Analysis</w:t>
      </w:r>
    </w:p>
    <w:p>
      <w:pPr>
        <w:spacing w:after="160"/>
      </w:pPr>
      <w:r>
        <w:t xml:space="preserve">Database → Ontology → Ontology analysis… opens a standalone tree rooted at top-level concept nodes. Toggle between a Hierarchical and an Orthogonal layout, and use “Hide empty branches” (checked by default) to collapse any branch with zero matching entities in your current graph anywhere in its subtree. Right-click a node to copy it, its children, or its full ontology path to the clipboard.</w:t>
      </w:r>
    </w:p>
    <w:p>
      <w:r>
        <w:br w:type="page"/>
      </w:r>
    </w:p>
    <w:p>
      <w:pPr>
        <w:pStyle w:val="Heading1"/>
      </w:pPr>
      <w:r>
        <w:t xml:space="preserve">6. Using the AI Agent</w:t>
      </w:r>
    </w:p>
    <w:p>
      <w:pPr>
        <w:spacing w:after="160"/>
      </w:pPr>
      <w:r>
        <w:t xml:space="preserve">Click 🤖 AI Agent (top right) to open the chat panel. Type a question in plain English — for example, “What therapeutic approaches target H3K27M in pontine glioma?” or “Show me the mechanism of action of panobinostat.” The agent will query the database, report exact counts (never an estimate), and then ask how you'd like to see the results — a new graph, added to your current graph, a Sankey diagram, or a table — rather than picking a visualization for you.</w:t>
      </w:r>
    </w:p>
    <w:p>
      <w:pPr>
        <w:pStyle w:val="Heading2"/>
      </w:pPr>
      <w:r>
        <w:t xml:space="preserve">6.1 Teaching the agent your terminology</w:t>
      </w:r>
    </w:p>
    <w:p>
      <w:pPr>
        <w:spacing w:after="160"/>
      </w:pPr>
      <w:r>
        <w:t xml:space="preserve">If you use a term the agent doesn't map correctly (for example, “drugs” should mean the SmallMol label), tell it in chat — “drugs means SmallMol” — or open the Vocabulary manager (chat panel → 🧠 icon) and add the mapping yourself. Two kinds of entries exist: one specific named node (fill in both its exact name and its label), or a whole category of nodes (put the label, or several labels separated by “|”, in the name field and leave the label field blank). Once saved, the mapping applies to every future question with no need to repeat yourself, and takes effect immediately with no restart.</w:t>
      </w:r>
    </w:p>
    <w:p>
      <w:pPr>
        <w:pStyle w:val="Heading2"/>
      </w:pPr>
      <w:r>
        <w:t xml:space="preserve">6.2 Cypher Examples library</w:t>
      </w:r>
    </w:p>
    <w:p>
      <w:pPr>
        <w:spacing w:after="160"/>
      </w:pPr>
      <w:r>
        <w:t xml:space="preserve">The Cypher Examples browser (chat panel → 📚 icon) shows the curated library of worked query patterns the agent consults — house conventions like which labels mean “proteins,” how to filter out non-drug small molecules, or how to rank paths by literature support. You can add, edit, or remove examples here; changes are picked up on the very next message.</w:t>
      </w:r>
    </w:p>
    <w:p>
      <w:pPr>
        <w:pStyle w:val="Heading2"/>
      </w:pPr>
      <w:r>
        <w:t xml:space="preserve">6.3 Reviewing and confirming writes</w:t>
      </w:r>
    </w:p>
    <w:p>
      <w:pPr>
        <w:spacing w:after="160"/>
      </w:pPr>
      <w:r>
        <w:t xml:space="preserve">The agent never writes to the graph without your confirmation. When it proposes a new or updated relation, a confirmation card appears with the source, relation, target, properties, and references — review it and click Save to Database, or Cancel. When it proposes a batch of property updates (for example, inferring the direction of an effect from literature text), each proposed change appears as a checked-by-default checkbox in the chat; uncheck anything you disagree with, then click Apply.</w:t>
      </w:r>
    </w:p>
    <w:p>
      <w:pPr>
        <w:pStyle w:val="Heading2"/>
      </w:pPr>
      <w:r>
        <w:t xml:space="preserve">6.4 Saving and reusing work</w:t>
      </w:r>
    </w:p>
    <w:p>
      <w:pPr>
        <w:pStyle w:val="ListParagraph"/>
        <w:numPr>
          <w:ilvl w:val="0"/>
          <w:numId w:val="3"/>
        </w:numPr>
        <w:spacing w:after="80"/>
      </w:pPr>
      <w:r>
        <w:t xml:space="preserve">Library (chat panel → 📁 icon) — save the current chat/configuration as a named snapshot, or load one back later.</w:t>
      </w:r>
    </w:p>
    <w:p>
      <w:pPr>
        <w:pStyle w:val="ListParagraph"/>
        <w:numPr>
          <w:ilvl w:val="0"/>
          <w:numId w:val="3"/>
        </w:numPr>
        <w:spacing w:after="80"/>
      </w:pPr>
      <w:r>
        <w:t xml:space="preserve">Pipeline Configuration (chat panel → ⚙ icon) — define a repeatable multi-step workflow (e.g., text-to-Cypher, then write back) and run it with one click.</w:t>
      </w:r>
    </w:p>
    <w:p>
      <w:pPr>
        <w:pBdr>
          <w:left w:val="single" w:color="E8A33D" w:sz="18" w:space="8"/>
        </w:pBdr>
        <w:shd w:fill="FFF4E5" w:val="clear"/>
        <w:spacing w:after="200" w:before="120"/>
        <w:ind w:left="360"/>
      </w:pPr>
      <w:r>
        <w:rPr>
          <w:b/>
          <w:bCs/>
        </w:rPr>
        <w:t xml:space="preserve">Note: </w:t>
      </w:r>
      <w:r>
        <w:t xml:space="preserve">A saved Library snapshot can include your LLM API key as part of its stored configuration. Treat exported/shared library files the same way you'd treat a password.</w:t>
      </w:r>
    </w:p>
    <w:p>
      <w:pPr>
        <w:pStyle w:val="Heading1"/>
      </w:pPr>
      <w:r>
        <w:t xml:space="preserve">7. Curating Relations</w:t>
      </w:r>
    </w:p>
    <w:p>
      <w:pPr>
        <w:spacing w:after="160"/>
      </w:pPr>
      <w:r>
        <w:t xml:space="preserve">Select one or two nodes and choose Database → Create/Edit relation (or right-click → Edit Properties). Choose a relation type, fill in properties, and add references — the References panel lets you page through existing citations or add a new one. The RelationID updates live as you edit so you can see whether you're creating a new relation or matching an existing one. Click Save to Database when ready. This feature requires the user role; administrator accounts manage infrastructure, not content, by design.</w:t>
      </w:r>
    </w:p>
    <w:p>
      <w:pPr>
        <w:pStyle w:val="Heading1"/>
      </w:pPr>
      <w:r>
        <w:t xml:space="preserve">8. Import and Export</w:t>
      </w:r>
    </w:p>
    <w:p>
      <w:pPr>
        <w:pStyle w:val="ListParagraph"/>
        <w:numPr>
          <w:ilvl w:val="0"/>
          <w:numId w:val="3"/>
        </w:numPr>
        <w:spacing w:after="80"/>
      </w:pPr>
      <w:r>
        <w:t xml:space="preserve">RNEF import: File → Load subgraph, choose a .rnef file. Multi-pathway files open a picker so you can choose which pathway(s) to load, one tab each.</w:t>
      </w:r>
    </w:p>
    <w:p>
      <w:pPr>
        <w:pStyle w:val="ListParagraph"/>
        <w:numPr>
          <w:ilvl w:val="0"/>
          <w:numId w:val="3"/>
        </w:numPr>
        <w:spacing w:after="80"/>
      </w:pPr>
      <w:r>
        <w:t xml:space="preserve">Excel / CSV export: File → Export Excel or Export CSV exports the active table view. Very large result sets are automatically offered a split-file or CSV fallback.</w:t>
      </w:r>
    </w:p>
    <w:p>
      <w:pPr>
        <w:pStyle w:val="ListParagraph"/>
        <w:numPr>
          <w:ilvl w:val="0"/>
          <w:numId w:val="3"/>
        </w:numPr>
        <w:spacing w:after="80"/>
      </w:pPr>
      <w:r>
        <w:t xml:space="preserve">Save / Load subgraph: File → Save subgraph writes the current tab (graph data, layout, and node positions) to a JSON file you can reopen later or share with a colleague.</w:t>
      </w:r>
    </w:p>
    <w:p>
      <w:pPr>
        <w:pStyle w:val="Heading1"/>
      </w:pPr>
      <w:r>
        <w:t xml:space="preserve">9. Settings and Administration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tblHeader/>
        </w:trPr>
        <w:tc>
          <w:tcPr>
            <w:tcW w:type="dxa" w:w="32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b/>
                <w:bCs/>
                <w:color w:val="FFFFFF"/>
              </w:rPr>
              <w:t xml:space="preserve">Setting</w:t>
            </w:r>
          </w:p>
        </w:tc>
        <w:tc>
          <w:tcPr>
            <w:tcW w:type="dxa" w:w="61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b/>
                <w:bCs/>
                <w:color w:val="FFFFFF"/>
              </w:rPr>
              <w:t xml:space="preserve">Who can change it</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Database Endpoints (Neo4j URL, Postgres host/port)</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Admin only</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My Connection (personal Neo4j/Postgres/LLM credentials)</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Every user, for their own account</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Users (add/remove accounts, assign roles)</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Admin only</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Change Password</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Every user, for their own account</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Postgres SQL (ad-hoc read-only query runner)</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Admin only</w:t>
            </w:r>
          </w:p>
        </w:tc>
      </w:tr>
    </w:tbl>
    <w:p>
      <w:pPr>
        <w:pStyle w:val="Heading1"/>
      </w:pPr>
      <w:r>
        <w:t xml:space="preserve">10. Troubleshooting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tblHeader/>
        </w:trPr>
        <w:tc>
          <w:tcPr>
            <w:tcW w:type="dxa" w:w="32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b/>
                <w:bCs/>
                <w:color w:val="FFFFFF"/>
              </w:rPr>
              <w:t xml:space="preserve">Problem</w:t>
            </w:r>
          </w:p>
        </w:tc>
        <w:tc>
          <w:tcPr>
            <w:tcW w:type="dxa" w:w="61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b/>
                <w:bCs/>
                <w:color w:val="FFFFFF"/>
              </w:rPr>
              <w:t xml:space="preserve">What to do</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Can't log in</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Confirm your username/password with your administrator; the account may need to be created first.</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“Connection test failed” when saving settings</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Double-check host, port, and credentials; confirm you have network access (VPN) to that database.</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AI Agent panel shows “disconnected”</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Ask your administrator to check that the agent service started correctly on the server.</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A query or agent question times out</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The agent reports the exact query that timed out so you (or it, on retry) can narrow it — for example, by adding a hop limit to a path search.</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Session ended after several hours</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Log in again; sessions expire after 12 hours. Save your work with File → Save subgraph before a long break.</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Can't see Create/Edit relation option</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This feature is restricted to accounts with the user role; ask your administrator if you believe you should have it.</w:t>
            </w:r>
          </w:p>
        </w:tc>
      </w:tr>
    </w:tbl>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6"/>
        <w:szCs w:val="16"/>
      </w:rPr>
      <w:t xml:space="preserve">Page </w:t>
    </w:r>
    <w:r>
      <w:rPr>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88888"/>
        <w:sz w:val="16"/>
        <w:szCs w:val="16"/>
      </w:rPr>
      <w:t xml:space="preserve">Graph Explorer — User Manual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08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F3864"/>
      <w:sz w:val="32"/>
      <w:szCs w:val="32"/>
    </w:rPr>
  </w:style>
  <w:style w:type="paragraph" w:styleId="Heading2">
    <w:name w:val="Heading 2"/>
    <w:basedOn w:val="Normal"/>
    <w:next w:val="Normal"/>
    <w:qFormat/>
    <w:pPr>
      <w:spacing w:after="160" w:before="280"/>
      <w:outlineLvl w:val="1"/>
    </w:pPr>
    <w:rPr>
      <w:rFonts w:ascii="Arial" w:cs="Arial" w:eastAsia="Arial" w:hAnsi="Arial"/>
      <w:b/>
      <w:bCs/>
      <w:color w:val="2E75B6"/>
      <w:sz w:val="26"/>
      <w:szCs w:val="26"/>
    </w:rPr>
  </w:style>
  <w:style w:type="paragraph" w:styleId="Heading3">
    <w:name w:val="Heading 3"/>
    <w:basedOn w:val="Normal"/>
    <w:next w:val="Normal"/>
    <w:qFormat/>
    <w:pPr>
      <w:spacing w:after="120" w:before="200"/>
      <w:outlineLvl w:val="2"/>
    </w:pPr>
    <w:rPr>
      <w:rFonts w:ascii="Arial" w:cs="Arial" w:eastAsia="Arial" w:hAnsi="Arial"/>
      <w:b/>
      <w:bCs/>
      <w:color w:val="2E75B6"/>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2026-07-06T23:30:06.307Z</dcterms:created>
  <dcterms:modified xsi:type="dcterms:W3CDTF">2026-07-06T23:30:06.307Z</dcterms:modified>
</cp:coreProperties>
</file>

<file path=docProps/custom.xml><?xml version="1.0" encoding="utf-8"?>
<Properties xmlns="http://schemas.openxmlformats.org/officeDocument/2006/custom-properties" xmlns:vt="http://schemas.openxmlformats.org/officeDocument/2006/docPropsVTypes"/>
</file>