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Graph Explorer</w:t>
      </w:r>
    </w:p>
    <w:p>
      <w:pPr>
        <w:spacing w:after="2000"/>
        <w:jc w:val="center"/>
      </w:pPr>
      <w:r>
        <w:rPr>
          <w:color w:val="2E75B6"/>
          <w:sz w:val="32"/>
          <w:szCs w:val="32"/>
        </w:rPr>
        <w:t xml:space="preserve">Functional Requirements Document</w:t>
      </w:r>
    </w:p>
    <w:p>
      <w:pPr>
        <w:jc w:val="center"/>
      </w:pPr>
      <w:r>
        <w:rPr>
          <w:sz w:val="22"/>
          <w:szCs w:val="22"/>
        </w:rPr>
        <w:t xml:space="preserve">Version 2.4.0</w:t>
      </w:r>
    </w:p>
    <w:p>
      <w:pPr>
        <w:jc w:val="center"/>
      </w:pPr>
      <w:r>
        <w:rPr>
          <w:color w:val="666666"/>
          <w:sz w:val="22"/>
          <w:szCs w:val="22"/>
        </w:rPr>
        <w:t xml:space="preserve">2026-07-16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t xml:space="preserve">Graph Explorer is a web application for exploring, visualizing, and curating a biological knowledge graph stored in Neo4j, cross-referenced against a PostgreSQL literature database. It combines a Cytoscape.js graph canvas, Sankey and tabular views, an ontology browser, and a curation workflow with an integrated LLM-driven chat agent that can translate natural-language questions into Cypher/SQL, visualize results, and — only with explicit human confirmation — write new or updated relations back into the graph.</w:t>
      </w:r>
    </w:p>
    <w:p>
      <w:pPr>
        <w:spacing w:after="160"/>
      </w:pPr>
      <w:r>
        <w:t xml:space="preserve">This document describes the system's functional requirements as implemented in the current codebase: architecture, API surface, the AI agent's capabilities, data model conventions, and security posture. It is intended for developers maintaining or extending the application.</w:t>
      </w:r>
    </w:p>
    <w:p>
      <w:pPr>
        <w:pStyle w:val="Heading1"/>
      </w:pPr>
      <w:r>
        <w:t xml:space="preserve">2. System Architecture</w:t>
      </w:r>
    </w:p>
    <w:p>
      <w:pPr>
        <w:spacing w:after="160"/>
      </w:pPr>
      <w:r>
        <w:t xml:space="preserve">The application has three cooperating processes:</w:t>
      </w:r>
    </w:p>
    <w:p>
      <w:pPr>
        <w:pStyle w:val="ListParagraph"/>
        <w:numPr>
          <w:ilvl w:val="0"/>
          <w:numId w:val="2"/>
        </w:numPr>
        <w:spacing w:after="80"/>
      </w:pPr>
      <w:r>
        <w:t xml:space="preserve">A Node.js/Express server (server.js) that serves the frontend, handles authentication, proxies and validates all direct Neo4j/PostgreSQL access, manages per-user credentials, and supervises the AI agent process.</w:t>
      </w:r>
    </w:p>
    <w:p>
      <w:pPr>
        <w:pStyle w:val="ListParagraph"/>
        <w:numPr>
          <w:ilvl w:val="0"/>
          <w:numId w:val="2"/>
        </w:numPr>
        <w:spacing w:after="80"/>
      </w:pPr>
      <w:r>
        <w:t xml:space="preserve">A Python/FastAPI agent service (agent_service.py), spawned and supervised by server.js as a child process bound to 127.0.0.1 only, that runs the LLM-driven chat loop and executes the Cypher/SQL it or the user's request implies.</w:t>
      </w:r>
    </w:p>
    <w:p>
      <w:pPr>
        <w:pStyle w:val="ListParagraph"/>
        <w:numPr>
          <w:ilvl w:val="0"/>
          <w:numId w:val="2"/>
        </w:numPr>
        <w:spacing w:after="80"/>
      </w:pPr>
      <w:r>
        <w:t xml:space="preserve">A vanilla-JavaScript single-page frontend (public/index.html, public/app.js) built on Cytoscape.js for the graph canvas and D3 for the Sankey diagram.</w:t>
      </w:r>
    </w:p>
    <w:p>
      <w:pPr>
        <w:spacing w:after="160"/>
      </w:pPr>
      <w:r>
        <w:t xml:space="preserve">server.js starts agent_service.py automatically on launch (auto-detecting python3/python/py on PATH), waits for its /health check, pushes the current Neo4j/Postgres/LLM configuration and schema text to it via POST /schema, and restarts it automatically if it crashes. All browser traffic to the agent goes through server.js's own reverse proxy at /api/agent/*; the agent service is never reachable directly.</w:t>
      </w:r>
    </w:p>
    <w:p>
      <w:pPr>
        <w:pStyle w:val="Heading2"/>
      </w:pPr>
      <w:r>
        <w:t xml:space="preserve">2.1 Authentication and Authorization</w:t>
      </w:r>
    </w:p>
    <w:p>
      <w:pPr>
        <w:spacing w:after="160"/>
      </w:pPr>
      <w:r>
        <w:t xml:space="preserve">Authentication uses JSON Web Tokens (12-hour expiry) issued at POST /api/auth/login. Passwords are hashed with bcrypt. Two roles exist:</w:t>
      </w:r>
    </w:p>
    <w:p>
      <w:pPr>
        <w:pStyle w:val="ListParagraph"/>
        <w:numPr>
          <w:ilvl w:val="0"/>
          <w:numId w:val="2"/>
        </w:numPr>
        <w:spacing w:after="80"/>
      </w:pPr>
      <w:r>
        <w:t xml:space="preserve">admin — manages users, shared database endpoints, and LLM provider defaults; can run ad-hoc read-only SQL.</w:t>
      </w:r>
    </w:p>
    <w:p>
      <w:pPr>
        <w:pStyle w:val="ListParagraph"/>
        <w:numPr>
          <w:ilvl w:val="0"/>
          <w:numId w:val="2"/>
        </w:numPr>
        <w:spacing w:after="80"/>
      </w:pPr>
      <w:r>
        <w:t xml:space="preserve">user — the role required to create or edit curated relations (write access to the graph is intentionally NOT granted to admin by default, separating infrastructure administration from content curation).</w:t>
      </w:r>
    </w:p>
    <w:p>
      <w:pPr>
        <w:spacing w:after="160"/>
      </w:pPr>
      <w:r>
        <w:t xml:space="preserve">A default admin/admin123 account is created automatically if users.json does not exist on first run. This must be changed immediately in any real deployment.</w:t>
      </w:r>
    </w:p>
    <w:p>
      <w:pPr>
        <w:pStyle w:val="Heading2"/>
      </w:pPr>
      <w:r>
        <w:t xml:space="preserve">2.2 Per-User Database and LLM Credentials</w:t>
      </w:r>
    </w:p>
    <w:p>
      <w:pPr>
        <w:spacing w:after="160"/>
      </w:pPr>
      <w:r>
        <w:t xml:space="preserve">Two configuration tiers exist. Admins set only the shared endpoint (the Neo4j bolt URL; the PostgreSQL host and port). Each individual user maintains their own database name/schema/username/password for both Neo4j and PostgreSQL, plus their own LLM provider, model, and API key. Every save is connection-tested before being persisted. Connections are lazily created and cached per logged-in username, and invalidated whenever that user's settings change.</w:t>
      </w:r>
    </w:p>
    <w:p>
      <w:pPr>
        <w:pStyle w:val="Heading1"/>
      </w:pPr>
      <w:r>
        <w:t xml:space="preserve">3. API Reference — server.js</w:t>
      </w:r>
    </w:p>
    <w:p>
      <w:pPr>
        <w:pStyle w:val="Heading2"/>
      </w:pPr>
      <w:r>
        <w:t xml:space="preserve">3.1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/api/auth/login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Authenticate with username/password, returns a 12-hour JWT.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/api/auth/change-password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the authenticated user's own password.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/api/auth/users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users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/api/auth/users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 new user account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/api/auth/users/:username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a user account (admin only).</w:t>
            </w:r>
          </w:p>
        </w:tc>
      </w:tr>
    </w:tbl>
    <w:p>
      <w:pPr>
        <w:pStyle w:val="Heading2"/>
      </w:pPr>
      <w:r>
        <w:t xml:space="preserve">3.2 Settings (Neo4j / Postgres /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/api/settings/neo4j</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Neo4j bolt URL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/api/settings/my-neo4j</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Caller's own Neo4j database/username/password; connection-tested before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/api/settings/postgres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PostgreSQL host/port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/api/settings/my-postgres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Caller's own Postgres database/schema/username/password; connection-tested before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the caller's effective LLM configuration.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/api/settings/llm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LLM provider defaults (admin only).</w:t>
            </w:r>
          </w:p>
        </w:tc>
      </w:tr>
    </w:tbl>
    <w:p>
      <w:pPr>
        <w:pStyle w:val="Heading2"/>
      </w:pPr>
      <w:r>
        <w:t xml:space="preserve">3.3 Neo4j Graph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arbitrary Cypher; returns {nodes, edges} or a raw table when no graph elements are returned.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/api/export/csv-query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above with a larger fetch size and extended timeout, for bulk export.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/api/graph/enrich-by-urn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Batch-fetch full node properties by URN (used after RNEF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/api/graph/update-node / update-relation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 a curated property change to a node or relation.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/api/graph/schema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Cached label / relationship-type / property-key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/api/schema/prop-values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Distinct values of a given relationship property.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/api/graph/expand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selected nodes by mode (all / direct / biomarker / indirect / to), capped at 2000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/api/graph/ontology-parents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Walk the is_a/part_of hierarchy upward 1–5 levels, or unbounded.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/api/graph/ontology-children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 the full is_a subtree beneath a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/api/graph/shortest-path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All-pairs shortest path among up to 10 selected nodes, 1–15 hops — restricted relation types, intermediate node types, and node/relation property filters, driven by the same Explore configuration dialog as the batch relationship queries in Section 3.9.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/api/graph/lint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EXPLAIN-based Cypher syntax check; returns line/column of errors.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/api/graph/count-query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Pre-execution edge-count gate; splits UNION branches and counts each independently.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/api/curation/calculate-relation-id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Deterministic MD5-based RelationID hash; checks Neo4j for an existing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/api/curation/write-relation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a curated relation into Neo4j and its references into PostgreSQL in one transaction. Restricted to the user role.</w:t>
            </w:r>
          </w:p>
        </w:tc>
      </w:tr>
    </w:tbl>
    <w:p>
      <w:pPr>
        <w:pStyle w:val="Heading2"/>
      </w:pPr>
      <w:r>
        <w:t xml:space="preserve">3.4 Ontology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/api/ontology/roots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SemanticConcept nodes.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/api/ontology/direct-children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 children of a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/api/ontology/batch-counts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each ontology term, count matching descendants in the current node 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/api/ontology/descendants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descendant set of a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/api/ontology/subtree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Root-to-entity hierarchy path for the ontology tree copy feature.</w:t>
            </w:r>
          </w:p>
        </w:tc>
      </w:tr>
    </w:tbl>
    <w:p>
      <w:pPr>
        <w:pStyle w:val="Heading2"/>
      </w:pPr>
      <w:r>
        <w:t xml:space="preserve">3.5 References and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/api/references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rows for a single edge tooltip.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/api/references/batch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Grouped reference rows for table view, optionally joined to Scopus citation metrics.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/api/references/update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a reference's curation flag.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/api/schema/columns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Reference/Scopus/node-property columns for the Columns dialog.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/api/sql-query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Admin-only, read-only (SELECT/WITH-only) ad-hoc SQL runner.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/api/nodes/medscan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MedScan ID lookup by NodeID.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/api/nodes/property-names, /load-properties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Node-property discovery/loading for pathway nodes.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/api/nodes/connectivity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Degree and distinct-neighbor count for a node.</w:t>
            </w:r>
          </w:p>
        </w:tc>
      </w:tr>
    </w:tbl>
    <w:p>
      <w:pPr>
        <w:pStyle w:val="Heading2"/>
      </w:pPr>
      <w:r>
        <w:t xml:space="preserve">3.6 Import / Export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/api/convert/rnef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Accepts raw RNEF XML (up to 500 MB) and shells out to rnef_to_json.py.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/api/cypher/history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Append-only NDJSON query history.</w:t>
            </w:r>
          </w:p>
        </w:tc>
      </w:tr>
    </w:tbl>
    <w:p>
      <w:pPr>
        <w:pStyle w:val="Heading2"/>
      </w:pPr>
      <w:r>
        <w:t xml:space="preserve">3.7 AI Agent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/api/agent/*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Reverse-proxies to the Python agent service on 127.0.0.1:AGENT_PORT, stamping a trusted x-ge-username header.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/api/agent/llm-config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Intercepted to persist LLM configuration before falling through to the proxy.</w:t>
            </w:r>
          </w:p>
        </w:tc>
      </w:tr>
    </w:tbl>
    <w:p>
      <w:pPr>
        <w:pStyle w:val="Heading2"/>
      </w:pPr>
      <w:r>
        <w:t xml:space="preserve">3.8 Pathway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/api/settings/pathway-collection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default pathway-collection root directory (admin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/api/settings/my-pathway-collection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Caller's own directory override; GET also returns collection-wide Statistics counters (node/relation type counts, total unique entities/references, total supporting sentences) computed during the last index.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/api/settings/my-pathway-collection/index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Kick off an asynchronous re-index of the configured directory (rnef_index.py), extracting lightweight per-pathway metadata.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/api/settings/my-pathway-collection/index-progress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live indexing progress (files processed/remaining, pathways found so far).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/api/settings/my-pathway-collection/browse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list of every indexed pathway (name, subfolder, sourceFile, anatomy, Pathway Alias fields) — the frontend derives the folder tree, recursive pathway counts, Alphabetical Index, and Anatomy Index groupings from this one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/api/settings/my-pathway-collection/annotation-fields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distinct &lt;properties&gt; field name already used in the collection, for the annotation editor’s field-name suggestions.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/api/pathways/search/text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pathway name and properties.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/api/pathways/search/entity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Search — pathways containing any of a set of selected node URNs, ranked by a Fisher exact test against the collection-wide background population.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/api/pathways/search/combined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Combined Search — entity overlap and text relevance scored together.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one named pathway from a given source file (a batch RNEF file can contain several).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/api/pathways/annotation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edits to a pathway’s &lt;properties&gt; annotation.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/api/pathways/save-graph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back to its own source file in place.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/api/pathways/save-graph-as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as a new file (full copy), optionally into a different folder.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/api/pathways/save-alias-as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a Pathway Alias — a lightweight pointer to the currently open pathway’s own urn, resolved against every real pathway’s urn already in the index — into a chosen folder, without duplicating its content.</w:t>
            </w:r>
          </w:p>
        </w:tc>
      </w:tr>
    </w:tbl>
    <w:p>
      <w:pPr>
        <w:pStyle w:val="Heading2"/>
      </w:pPr>
      <w:r>
        <w:t xml:space="preserve">3.9 Explore / Batch Relationship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/api/graph/explore-relations-report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backend for Find relations between Selected/Unselected, Connect Selected Nodes, and Expand Selected Nodes’s "All relations" path — node/relation type checkboxes plus arbitrary node/relation property filters, returning grouped rows for the Connectivity Report.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/api/graph/common-neighbors-report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Grouped common-neighbor rows (direction: any / regulators / targets), same filter shape as explore-relations-report.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/api/graph/find-drugs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Drugs upstream of a selection, with relation-type and Effect filters; merges directly into the graph.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/api/graph/find-drugs-report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query as find-drugs, returning Connectivity Report rows instead — used automatically once a selection exceeds 2 nodes.</w:t>
            </w:r>
          </w:p>
        </w:tc>
      </w:tr>
    </w:tbl>
    <w:p>
      <w:r>
        <w:br w:type="page"/>
      </w:r>
    </w:p>
    <w:p>
      <w:pPr>
        <w:pStyle w:val="Heading1"/>
      </w:pPr>
      <w:r>
        <w:t xml:space="preserve">4. API Reference — agent_service.py</w:t>
      </w:r>
    </w:p>
    <w:p>
      <w:pPr>
        <w:spacing w:after="160"/>
      </w:pPr>
      <w:r>
        <w:t xml:space="preserve">The agent service exposes its own route set, reached only via server.js's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/health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Liveness check polled by server.js after spawning the process.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/schema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Receives Neo4j/Postgres/LLM configuration and schema text pushed by server.js.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/chat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agentic chat loop — up to 8 tool-use turns per user 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/ping-llm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Connectivity test for a given LLM provider/API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/list-models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available models for a given 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/highlights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Sentence-mining keyword search used to pre-load edge tooltip references.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GET/POST/PUT/DELETE /library[/{id}]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Saved chat/workflow snapshots.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/workflow/execute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 configured multi-step pipeline (text2cypher / write_back / postgres / llm steps).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GET/POST /vocabulary, PUT /vocabulary/confirm, DELETE /vocabulary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User-term → Neo4j-concept mapping store.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/batch-write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Applies a user-approved subset of a batch_update proposal via a parameterized, allow-listed property 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GET/PUT /examples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cypher_examples.json curated few-shot library, editable from the UI.</w:t>
            </w:r>
          </w:p>
        </w:tc>
      </w:tr>
    </w:tbl>
    <w:p>
      <w:pPr>
        <w:pStyle w:val="Heading1"/>
      </w:pPr>
      <w:r>
        <w:t xml:space="preserve">5. AI Agent Functional Requirements</w:t>
      </w:r>
    </w:p>
    <w:p>
      <w:pPr>
        <w:spacing w:after="160"/>
      </w:pPr>
      <w:r>
        <w:t xml:space="preserve">The agent runs an agentic loop (up to 8 tool-use turns per user message) in which the LLM emits a structured JSON action block. Eight action types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cypher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Cypher against Neo4j (25-second server-side timeout via neo4j.Query). Returns a row sample, the exact total row count, and a neighbor/label breakdown — the model is never asked to estimate from a truncated sample.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read-only SQL (SELECT/WITH enforced) against the reference and scopus_data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ontology_lookup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alias_search (fuzzy Name/Alias match, auto-updates vocabulary), broaden (walk up is_a/part_of), narrow (walk 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pubmed_search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NCBI E-utilities query; results can flow directly into a write_relation references array.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visualization instruction passed to the frontend: graph, sankey, relations_table, references_table, or an Excel/CSV export, with optional layout/mode/new_tab.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write_relation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Computes the RelationID server-side and returns a confirmation payload — nothing is written until the user approves it in the frontend modal.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batch_update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Proposes a list of property updates (e.g. inferred Effect sign) plus a conflicts list. The agent never writes directly; the user-approved subset is applied via POST /batch-write.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save_vocabulary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Persists a user-term → Neo4j-concept mapping, as either a single named entity or a whole label/category union.</w:t>
            </w:r>
          </w:p>
        </w:tc>
      </w:tr>
    </w:tbl>
    <w:p>
      <w:pPr>
        <w:pStyle w:val="Heading2"/>
      </w:pPr>
      <w:r>
        <w:t xml:space="preserve">5.1 User Vocabulary</w:t>
      </w:r>
    </w:p>
    <w:p>
      <w:pPr>
        <w:spacing w:after="160"/>
      </w:pPr>
      <w:r>
        <w:t xml:space="preserve">agent_library/user_vocabulary.json persists a flat list of {user_term, neo4j_name, neo4j_label, use_count, confirmed, last_used} records, injected into every system prompt (sorted by use count) so the agent resolves a user's own terminology deterministically instead of re-discovering it every session. Two mapping shapes exist: an entity mapping (one specific named node — neo4j_label is a single real label) and a category mapping (a whole node type — neo4j_name holds one or more pipe-separated labels and neo4j_label is deliberately left blank). Vocabulary grows automatically from ontology alias-search hits and from explicit save_vocabulary actions, and is editable from the Vocabulary manager in the chat panel.</w:t>
      </w:r>
    </w:p>
    <w:p>
      <w:pPr>
        <w:pStyle w:val="Heading2"/>
      </w:pPr>
      <w:r>
        <w:t xml:space="preserve">5.2 Cypher Example Library</w:t>
      </w:r>
    </w:p>
    <w:p>
      <w:pPr>
        <w:spacing w:after="160"/>
      </w:pPr>
      <w:r>
        <w:t xml:space="preserve">cypher_examples.json is a curated, ever-growing array of {question, cypher, notes, tags} objects capturing this graph's Cypher idioms and pitfalls — label unions (Protein|FunctionalClass|Complex), coalesce() usage on optional properties, WITH DISTINCT after ontology-hierarchy joins, RelationID-as-string-or-list handling, shortestPath() vs. allShortestPaths() semantics, and ontology-breadth-based node exclusion, among others. On every chat turn, a lexical relevance scorer (question/notes/cypher/tag overlap, with light stemming) selects roughly the top eight matching examples to inject into the system prompt, keeping prompt size bounded as the library grows. The library is editable in-app (Cypher Examples browser) with no service restart required — the system prompt is rebuilt fresh on every request.</w:t>
      </w:r>
    </w:p>
    <w:p>
      <w:pPr>
        <w:pStyle w:val="Heading2"/>
      </w:pPr>
      <w:r>
        <w:t xml:space="preserve">5.3 Supported LLM Providers</w:t>
      </w:r>
    </w:p>
    <w:p>
      <w:pPr>
        <w:pStyle w:val="ListParagraph"/>
        <w:numPr>
          <w:ilvl w:val="0"/>
          <w:numId w:val="2"/>
        </w:numPr>
        <w:spacing w:after="80"/>
      </w:pPr>
      <w:r>
        <w:t xml:space="preserve">Anthropic Claude — native SDK integration.</w:t>
      </w:r>
    </w:p>
    <w:p>
      <w:pPr>
        <w:pStyle w:val="ListParagraph"/>
        <w:numPr>
          <w:ilvl w:val="0"/>
          <w:numId w:val="2"/>
        </w:numPr>
        <w:spacing w:after="80"/>
      </w:pPr>
      <w:r>
        <w:t xml:space="preserve">Google Gemini — routed through the OpenAI-compatible SDK against Gemini's OpenAI-compatible endpoint.</w:t>
      </w:r>
    </w:p>
    <w:p>
      <w:pPr>
        <w:pStyle w:val="ListParagraph"/>
        <w:numPr>
          <w:ilvl w:val="0"/>
          <w:numId w:val="2"/>
        </w:numPr>
        <w:spacing w:after="80"/>
      </w:pPr>
      <w:r>
        <w:t xml:space="preserve">Any other OpenAI-compatible endpoint — same OpenAI-SDK code path with a custom base URL.</w:t>
      </w:r>
    </w:p>
    <w:p>
      <w:pPr>
        <w:spacing w:after="160"/>
      </w:pPr>
      <w:r>
        <w:t xml:space="preserve">Each user's provider, model, temperature, top_p, and API key are configured independently and merged over the server-pushed defaults on every request.</w:t>
      </w:r>
    </w:p>
    <w:p>
      <w:pPr>
        <w:pStyle w:val="Heading2"/>
      </w:pPr>
      <w:r>
        <w:t xml:space="preserve">5.4 Query Execution Safety</w:t>
      </w:r>
    </w:p>
    <w:p>
      <w:pPr>
        <w:pStyle w:val="ListParagraph"/>
        <w:numPr>
          <w:ilvl w:val="0"/>
          <w:numId w:val="2"/>
        </w:numPr>
        <w:spacing w:after="80"/>
      </w:pPr>
      <w:r>
        <w:t xml:space="preserve">Every agent-issued Cypher query runs with a 25-second server-side timeout (neo4j.Query(..., timeout=25)), converting a runaway query into a clean, catchable error instead of an indefinite hang.</w:t>
      </w:r>
    </w:p>
    <w:p>
      <w:pPr>
        <w:pStyle w:val="ListParagraph"/>
        <w:numPr>
          <w:ilvl w:val="0"/>
          <w:numId w:val="2"/>
        </w:numPr>
        <w:spacing w:after="80"/>
      </w:pPr>
      <w:r>
        <w:t xml:space="preserve">On any Cypher or PostgreSQL execution failure, the exact failing query text is returned to the chat so the user can see and adjust it, rather than a generic error with no way to diagnose the cause.</w:t>
      </w:r>
    </w:p>
    <w:p>
      <w:pPr>
        <w:pStyle w:val="ListParagraph"/>
        <w:numPr>
          <w:ilvl w:val="0"/>
          <w:numId w:val="2"/>
        </w:numPr>
        <w:spacing w:after="80"/>
      </w:pPr>
      <w:r>
        <w:t xml:space="preserve">Path-typed query results are compacted server-side into plain node-name/relationship-type lists before being shown to the model, and duplicate logical paths (same node/relationship-type sequence from a different underlying relationship record) are suppressed — this is enforced in code, independent of how the model phrases its own RETURN clause.</w:t>
      </w:r>
    </w:p>
    <w:p>
      <w:pPr>
        <w:pStyle w:val="ListParagraph"/>
        <w:numPr>
          <w:ilvl w:val="0"/>
          <w:numId w:val="2"/>
        </w:numPr>
        <w:spacing w:after="80"/>
      </w:pPr>
      <w:r>
        <w:t xml:space="preserve">PostgreSQL queries issued by the agent are restricted to SELECT/WITH only.</w:t>
      </w:r>
    </w:p>
    <w:p>
      <w:pPr>
        <w:pStyle w:val="ListParagraph"/>
        <w:numPr>
          <w:ilvl w:val="0"/>
          <w:numId w:val="2"/>
        </w:numPr>
        <w:spacing w:after="80"/>
      </w:pPr>
      <w:r>
        <w:t xml:space="preserve">The free-form cypher action currently has no equivalent code-level restriction against write clauses (CREATE/MERGE/SET/DELETE); it relies on a system-prompt instruction asking the model to confirm with the user first. See Section 8, Security Considerations.</w:t>
      </w:r>
    </w:p>
    <w:p>
      <w:r>
        <w:br w:type="page"/>
      </w:r>
    </w:p>
    <w:p>
      <w:pPr>
        <w:pStyle w:val="Heading1"/>
      </w:pPr>
      <w:r>
        <w:t xml:space="preserve">6. Frontend Functional Requirements</w:t>
      </w:r>
    </w:p>
    <w:p>
      <w:pPr>
        <w:pStyle w:val="Heading2"/>
      </w:pPr>
      <w:r>
        <w:t xml:space="preserve">6.1 Graph View</w:t>
      </w:r>
    </w:p>
    <w:p>
      <w:pPr>
        <w:spacing w:after="160"/>
      </w:pPr>
      <w:r>
        <w:t xml:space="preserve">Cytoscape.js canvas with tooltips, neighborhood highlighting, drag-to-reposition (each drag is independently undoable), box-select, a right-click context menu (Edit Properties, Clone node, Remove clone, Merge selected clones), a tabbed multi-graph workspace, and five layouts (CoSE/force-directed default, Dagre/hierarchical, Circle, Concentric, Grid).</w:t>
      </w:r>
    </w:p>
    <w:p>
      <w:pPr>
        <w:pStyle w:val="Heading2"/>
      </w:pPr>
      <w:r>
        <w:t xml:space="preserve">6.2 Table Views</w:t>
      </w:r>
    </w:p>
    <w:p>
      <w:pPr>
        <w:spacing w:after="160"/>
      </w:pPr>
      <w:r>
        <w:t xml:space="preserve">Three interchangeable table modes accessible from the View menu: Nodes, Relations (Neo4j edge properties only), and References (edges joined to PostgreSQL literature, with optional Scopus citation-metric columns). Each is independently sortable and filterable with a configurable, reorderable column set.</w:t>
      </w:r>
    </w:p>
    <w:p>
      <w:pPr>
        <w:pStyle w:val="Heading2"/>
      </w:pPr>
      <w:r>
        <w:t xml:space="preserve">6.3 Sankey Diagram</w:t>
      </w:r>
    </w:p>
    <w:p>
      <w:pPr>
        <w:spacing w:after="160"/>
      </w:pPr>
      <w:r>
        <w:t xml:space="preserve">A hub-and-spoke flow view (Database → Neo4j Cypher → Sankey diagram) aggregating all returned edges by entity label × relation type × effect sign, with its own Cypher editor (autocomplete and lint), a configurable link-width value property (default RelationNumberOfReferences), SVG export, and the ability to round-trip a selection back into the Graph view.</w:t>
      </w:r>
    </w:p>
    <w:p>
      <w:pPr>
        <w:pStyle w:val="Heading2"/>
      </w:pPr>
      <w:r>
        <w:t xml:space="preserve">6.4 Ontology Analysis</w:t>
      </w:r>
    </w:p>
    <w:p>
      <w:pPr>
        <w:spacing w:after="160"/>
      </w:pPr>
      <w:r>
        <w:t xml:space="preserve">A standalone modal rooted at SemanticConcept nodes, with Hierarchical and Orthogonal (Klay) layouts, per-term entity counts scoped to the current graph, a “hide empty branches” toggle (branches with zero matching descendants anywhere in their subtree), and clipboard export of a term or its full ontology path.</w:t>
      </w:r>
    </w:p>
    <w:p>
      <w:pPr>
        <w:pStyle w:val="Heading2"/>
      </w:pPr>
      <w:r>
        <w:t xml:space="preserve">6.5 Cypher History</w:t>
      </w:r>
    </w:p>
    <w:p>
      <w:pPr>
        <w:spacing w:after="160"/>
      </w:pPr>
      <w:r>
        <w:t xml:space="preserve">An append-only, searchable/sortable log of every query executed, with date-range filters, a “latest of each query only” dedupe option, and one-click reload into the query editor of choice.</w:t>
      </w:r>
    </w:p>
    <w:p>
      <w:pPr>
        <w:pStyle w:val="Heading2"/>
      </w:pPr>
      <w:r>
        <w:t xml:space="preserve">6.6 Explore Menu</w:t>
      </w:r>
    </w:p>
    <w:p>
      <w:pPr>
        <w:spacing w:after="160"/>
      </w:pPr>
      <w:r>
        <w:t xml:space="preserve">Find relations between Selected/Unselected, Connect Selected Nodes, Expand Selected Nodes, Find Common Neighbors, and Shortest Path (1–15 hops among up to 10 selected nodes) all share one configuration dialog: per-node-type and per-relation-type checkboxes grouped into subsections, plus arbitrary "+ Add filter" property filters on either node or relationship properties. The last-used type selections and filter rows are remembered per subsection across sessions (localStorage), so a user does not have to reconstruct a query’s exact scope from memory to reproduce it later. Menu items that require at least two selected nodes are visually dimmed — but remain clickable, surfacing the same validation message — whenever fewer are selected.</w:t>
      </w:r>
    </w:p>
    <w:p>
      <w:pPr>
        <w:pStyle w:val="Heading2"/>
      </w:pPr>
      <w:r>
        <w:t xml:space="preserve">6.7 Curation</w:t>
      </w:r>
    </w:p>
    <w:p>
      <w:pPr>
        <w:spacing w:after="160"/>
      </w:pPr>
      <w:r>
        <w:t xml:space="preserve">Create/Edit Relation dialogs (a general multi-node editor and a streamlined two-node “pair” dialog shown automatically when exactly two nodes are selected) with a relation-type dropdown, a key/value property editor, a paginated references panel, a live RelationID preview, and a save action restricted to the user role.</w:t>
      </w:r>
    </w:p>
    <w:p>
      <w:pPr>
        <w:pStyle w:val="Heading2"/>
      </w:pPr>
      <w:r>
        <w:t xml:space="preserve">6.8 Import / Export</w:t>
      </w:r>
    </w:p>
    <w:p>
      <w:pPr>
        <w:spacing w:after="160"/>
      </w:pPr>
      <w:r>
        <w:t xml:space="preserve">RNEF pathway import (single or multi-pathway, one tab per pathway), JSON subgraph save/load, Excel and CSV export with automatic file-splitting for very large result sets, and Sankey SVG export.</w:t>
      </w:r>
    </w:p>
    <w:p>
      <w:pPr>
        <w:pStyle w:val="Heading2"/>
      </w:pPr>
      <w:r>
        <w:t xml:space="preserve">6.9 Pathway Collection</w:t>
      </w:r>
    </w:p>
    <w:p>
      <w:pPr>
        <w:spacing w:after="160"/>
      </w:pPr>
      <w:r>
        <w:t xml:space="preserve">Configured under ⚙ Settings → Pathway Collection (a directory path, indexed via rnef_index.py). Browse presents a drill-down folder tree with a recursive pathway count per folder; Pathway Alias entries — lightweight references to a pathway that physically lives in a different folder, avoiding duplicating curated content across multiple disease/process categories — are shown inline with a 🔗 icon and open the real pathway when clicked. Text Search, Entity Search (URN-overlap ranked via a Fisher exact test), and Combined Search each open a dedicated results dialog; Alphabetical Index and Anatomy Index group the same indexed pathway list by name and by anatomical annotation fields (Organ, Organ System, Organelle, Tissue, CellType) respectively; Statistics reports collection-wide node/relation type counts and reference/sentence totals. A pathway can be saved back with Pathways → Save (in place) or Save As — either a full copy into a chosen folder, or a Pathway Alias pointing at the currently open pathway without duplicating it.</w:t>
      </w:r>
    </w:p>
    <w:p>
      <w:pPr>
        <w:pStyle w:val="Heading2"/>
      </w:pPr>
      <w:r>
        <w:t xml:space="preserve">6.10 Connectivity Report</w:t>
      </w:r>
    </w:p>
    <w:p>
      <w:pPr>
        <w:spacing w:after="160"/>
      </w:pPr>
      <w:r>
        <w:t xml:space="preserve">The shared results dialog for Find Drugs, and for the Explore menu’s Find relations between / Connect Selected / Expand / Find Common Neighbors actions once a query returns candidate rows to choose from rather than a single result to merge directly. Rows are sortable by name, node type, target count, and reference/snippet count; a node-type and relation-type breakdown above the table summarizes the whole result set at a glance. Rows are individually selectable, including shift-click range selection, and the selection can be added to the current graph or opened in a new tab. The dialog only closes via its own × button or Cancel — an accidental click outside it no longer discards results the user may have waited a long time for.</w:t>
      </w:r>
    </w:p>
    <w:p>
      <w:r>
        <w:br w:type="page"/>
      </w:r>
    </w:p>
    <w:p>
      <w:pPr>
        <w:pStyle w:val="Heading1"/>
      </w:pPr>
      <w:r>
        <w:t xml:space="preserve">7. Data Model Conventions</w:t>
      </w:r>
    </w:p>
    <w:p>
      <w:pPr>
        <w:pStyle w:val="ListParagraph"/>
        <w:numPr>
          <w:ilvl w:val="0"/>
          <w:numId w:val="2"/>
        </w:numPr>
        <w:spacing w:after="80"/>
      </w:pPr>
      <w:r>
        <w:t xml:space="preserve">Node and relationship names are always stored in a Name property (capitalized); string comparisons use toLower() on both sides throughout the codebase and the agent's generated Cypher.</w:t>
      </w:r>
    </w:p>
    <w:p>
      <w:pPr>
        <w:pStyle w:val="ListParagraph"/>
        <w:numPr>
          <w:ilvl w:val="0"/>
          <w:numId w:val="2"/>
        </w:numPr>
        <w:spacing w:after="80"/>
      </w:pPr>
      <w:r>
        <w:t xml:space="preserve">Proteins are conventionally matched as the label union Protein|FunctionalClass|Complex unless a request explicitly restricts to Protein nodes only — FunctionalClass covers protein families/enzyme classes and Complex covers multi-protein assemblies.</w:t>
      </w:r>
    </w:p>
    <w:p>
      <w:pPr>
        <w:pStyle w:val="ListParagraph"/>
        <w:numPr>
          <w:ilvl w:val="0"/>
          <w:numId w:val="2"/>
        </w:numPr>
        <w:spacing w:after="80"/>
      </w:pPr>
      <w:r>
        <w:t xml:space="preserve">Ontology hierarchy is expressed via is_a and part_of relationships; RelationNumberOfReferences on a relationship (wrapped in coalesce() since it can be absent) is the literature-support count driving Sankey link width and “most-cited path” ranking.</w:t>
      </w:r>
    </w:p>
    <w:p>
      <w:pPr>
        <w:pStyle w:val="ListParagraph"/>
        <w:numPr>
          <w:ilvl w:val="0"/>
          <w:numId w:val="2"/>
        </w:numPr>
        <w:spacing w:after="80"/>
      </w:pPr>
      <w:r>
        <w:t xml:space="preserve">RelationID is a string (or list of strings) in Neo4j and an integer in PostgreSQL's reference table — handled via apoc.convert.toList()-based normalization where the two must be compared.</w:t>
      </w:r>
    </w:p>
    <w:p>
      <w:pPr>
        <w:pStyle w:val="ListParagraph"/>
        <w:numPr>
          <w:ilvl w:val="0"/>
          <w:numId w:val="2"/>
        </w:numPr>
        <w:spacing w:after="80"/>
      </w:pPr>
      <w:r>
        <w:t xml:space="preserve">PostgreSQL literature lives in a reference table (per-schema), joined to Neo4j relations by RelationID, with optional citation-metric columns from a companion scopus_data table.</w:t>
      </w:r>
    </w:p>
    <w:p>
      <w:pPr>
        <w:pStyle w:val="ListParagraph"/>
        <w:numPr>
          <w:ilvl w:val="0"/>
          <w:numId w:val="2"/>
        </w:numPr>
        <w:spacing w:after="80"/>
      </w:pPr>
      <w:r>
        <w:t xml:space="preserve">A Pathway Alias is an index entry with resnetType ‘Alias’ and isAlias: true, carrying an aliasTargetUrn resolved (by matching urn) against every real pathway’s own pathwayUrn — never a copy of that pathway’s nodes/relations. It originates either from a curated “&lt;FolderName&gt;_symlinks.rnef” manifest (a nameless resnet whose MemberOf controls carry a Relationship="symlink" attribute) or from an app-created “&lt;name&gt;.alias.json” sidecar (Pathways → Save As → Alias); both resolve to the same shape in the index.</w:t>
      </w:r>
    </w:p>
    <w:p>
      <w:pPr>
        <w:pStyle w:val="Heading1"/>
      </w:pPr>
      <w:r>
        <w:t xml:space="preserve">8. Security Considerations</w:t>
      </w:r>
    </w:p>
    <w:p>
      <w:pPr>
        <w:spacing w:after="160"/>
      </w:pPr>
      <w:r>
        <w:t xml:space="preserve">The following reflects the current, verified security posture as of this document's date, including fixes applied for this release:</w:t>
      </w:r>
    </w:p>
    <w:p>
      <w:pPr>
        <w:pStyle w:val="ListParagraph"/>
        <w:numPr>
          <w:ilvl w:val="0"/>
          <w:numId w:val="2"/>
        </w:numPr>
        <w:spacing w:after="80"/>
      </w:pPr>
      <w:r>
        <w:t xml:space="preserve">The agent service binds to 127.0.0.1 only and is reachable exclusively through server.js's own proxy, which stamps a trusted username header the browser cannot forge.</w:t>
      </w:r>
    </w:p>
    <w:p>
      <w:pPr>
        <w:pStyle w:val="ListParagraph"/>
        <w:numPr>
          <w:ilvl w:val="0"/>
          <w:numId w:val="2"/>
        </w:numPr>
        <w:spacing w:after="80"/>
      </w:pPr>
      <w:r>
        <w:t xml:space="preserve">CORS on the agent service is restricted to localhost origins with credentials disabled (previously a wildcard-with-credentials policy, corrected for this release).</w:t>
      </w:r>
    </w:p>
    <w:p>
      <w:pPr>
        <w:pStyle w:val="ListParagraph"/>
        <w:numPr>
          <w:ilvl w:val="0"/>
          <w:numId w:val="2"/>
        </w:numPr>
        <w:spacing w:after="80"/>
      </w:pPr>
      <w:r>
        <w:t xml:space="preserve">PostgreSQL access from both the admin SQL runner and the agent's postgres action is restricted to SELECT/WITH statements.</w:t>
      </w:r>
    </w:p>
    <w:p>
      <w:pPr>
        <w:pStyle w:val="ListParagraph"/>
        <w:numPr>
          <w:ilvl w:val="0"/>
          <w:numId w:val="2"/>
        </w:numPr>
        <w:spacing w:after="80"/>
      </w:pPr>
      <w:r>
        <w:t xml:space="preserve">The agent's free-form cypher action has no code-level write restriction — only a system-prompt instruction asking the model to confirm destructive operations with the user first. Structured writes (write_relation, batch_update) always require an explicit UI confirmation step regardless of this gap. Adding a code-level read-only enforcement to the cypher action (mirroring the postgres action) is a recommended follow-up.</w:t>
      </w:r>
    </w:p>
    <w:p>
      <w:pPr>
        <w:pStyle w:val="ListParagraph"/>
        <w:numPr>
          <w:ilvl w:val="0"/>
          <w:numId w:val="2"/>
        </w:numPr>
        <w:spacing w:after="80"/>
      </w:pPr>
      <w:r>
        <w:t xml:space="preserve">Neither the Neo4j nor the PostgreSQL credentials used by the agent are currently scoped to a least-privilege, read-only database role; the same credentials serve both analytical queries and the reviewed write paths. Introducing a dedicated read-only role for the cypher/postgres actions is a recommended follow-up.</w:t>
      </w:r>
    </w:p>
    <w:p>
      <w:pPr>
        <w:pStyle w:val="ListParagraph"/>
        <w:numPr>
          <w:ilvl w:val="0"/>
          <w:numId w:val="2"/>
        </w:numPr>
        <w:spacing w:after="80"/>
      </w:pPr>
      <w:r>
        <w:t xml:space="preserve">Saved agent workflow snapshots (agent_library/*.json) can embed a live LLM API key in their stored configuration; this directory must never be committed to source control and is excluded via .gitignore.</w:t>
      </w:r>
    </w:p>
    <w:p>
      <w:pPr>
        <w:pStyle w:val="ListParagraph"/>
        <w:numPr>
          <w:ilvl w:val="0"/>
          <w:numId w:val="2"/>
        </w:numPr>
        <w:spacing w:after="80"/>
      </w:pPr>
      <w:r>
        <w:t xml:space="preserve">RNEF XML import uses Python's standard xml.etree.ElementTree; a defusedxml-based parser is recommended as a follow-up hardening step against entity-expansion denial-of-service on untrusted uploads.</w:t>
      </w:r>
    </w:p>
    <w:p>
      <w:pPr>
        <w:pStyle w:val="ListParagraph"/>
        <w:numPr>
          <w:ilvl w:val="0"/>
          <w:numId w:val="2"/>
        </w:numPr>
        <w:spacing w:after="80"/>
      </w:pPr>
      <w:r>
        <w:t xml:space="preserve">Default credentials (admin/admin123) are created automatically on first run and must be changed immediately in any real deployment.</w:t>
      </w:r>
    </w:p>
    <w:p>
      <w:pPr>
        <w:pStyle w:val="Heading1"/>
      </w:pPr>
      <w:r>
        <w:t xml:space="preserve">9. Non-Functional Requirements</w:t>
      </w:r>
    </w:p>
    <w:p>
      <w:pPr>
        <w:pStyle w:val="ListParagraph"/>
        <w:numPr>
          <w:ilvl w:val="0"/>
          <w:numId w:val="2"/>
        </w:numPr>
        <w:spacing w:after="80"/>
      </w:pPr>
      <w:r>
        <w:t xml:space="preserve">Login attempts are rate-limited; general API calls are rate-limited to 200/minute per client, bulk export endpoints to 5000/minute.</w:t>
      </w:r>
    </w:p>
    <w:p>
      <w:pPr>
        <w:pStyle w:val="ListParagraph"/>
        <w:numPr>
          <w:ilvl w:val="0"/>
          <w:numId w:val="2"/>
        </w:numPr>
        <w:spacing w:after="80"/>
      </w:pPr>
      <w:r>
        <w:t xml:space="preserve">Cypher/SQL query results exceeding roughly 1,000 edges are flagged for the graph view; larger sets are steered toward Sankey, table views, or Excel/CSV export instead.</w:t>
      </w:r>
    </w:p>
    <w:p>
      <w:pPr>
        <w:pStyle w:val="ListParagraph"/>
        <w:numPr>
          <w:ilvl w:val="0"/>
          <w:numId w:val="2"/>
        </w:numPr>
        <w:spacing w:after="80"/>
      </w:pPr>
      <w:r>
        <w:t xml:space="preserve">Agent Cypher execution is capped at a 25-second server-side timeout; the chat agentic loop is capped at 8 tool-use turns per user message.</w:t>
      </w:r>
    </w:p>
    <w:p>
      <w:pPr>
        <w:pStyle w:val="ListParagraph"/>
        <w:numPr>
          <w:ilvl w:val="0"/>
          <w:numId w:val="2"/>
        </w:numPr>
        <w:spacing w:after="80"/>
      </w:pPr>
      <w:r>
        <w:t xml:space="preserve">HTTP security headers (CSP, HSTS, X-Frame-Options, etc.) are applied via helmet; internal error messages are never forwarded to the client.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Graph Explorer — Functional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2026-07-06T23:28:53.290Z</dcterms:created>
  <dcterms:modified xsi:type="dcterms:W3CDTF">2026-07-06T23:28:53.290Z</dcterms:modified>
</cp:coreProperties>
</file>

<file path=docProps/custom.xml><?xml version="1.0" encoding="utf-8"?>
<Properties xmlns="http://schemas.openxmlformats.org/officeDocument/2006/custom-properties" xmlns:vt="http://schemas.openxmlformats.org/officeDocument/2006/docPropsVTypes"/>
</file>