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r>
        <w:t xml:space="preserve"/>
      </w:r>
    </w:p>
    <w:p>
      <w:pPr>
        <w:spacing w:after="240"/>
        <w:jc w:val="center"/>
      </w:pPr>
      <w:r>
        <w:rPr>
          <w:b/>
          <w:bCs/>
          <w:color w:val="1F3864"/>
          <w:sz w:val="72"/>
          <w:szCs w:val="72"/>
        </w:rPr>
        <w:t xml:space="preserve">Graph Explorer</w:t>
      </w:r>
    </w:p>
    <w:p>
      <w:pPr>
        <w:spacing w:after="480"/>
        <w:jc w:val="center"/>
      </w:pPr>
      <w:r>
        <w:rPr>
          <w:color w:val="2E4A8A"/>
          <w:sz w:val="44"/>
          <w:szCs w:val="44"/>
        </w:rPr>
        <w:t xml:space="preserve">User Manual</w:t>
      </w:r>
    </w:p>
    <w:p>
      <w:pPr>
        <w:spacing w:after="240"/>
        <w:jc w:val="center"/>
      </w:pPr>
      <w:r>
        <w:rPr>
          <w:color w:val="666666"/>
          <w:sz w:val="24"/>
          <w:szCs w:val="24"/>
        </w:rPr>
        <w:t xml:space="preserve">Version 1.0  ·  June 2026</w:t>
      </w:r>
    </w:p>
    <w:p>
      <w:pPr>
        <w:spacing w:after="3000"/>
        <w:jc w:val="center"/>
      </w:pPr>
      <w:r>
        <w:rPr>
          <w:color w:val="888888"/>
          <w:sz w:val="22"/>
          <w:szCs w:val="22"/>
        </w:rPr>
        <w:t xml:space="preserve">Biological Process Group  ·  Elsevier</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7200"/>
      </w:tblGrid>
      <w:tr>
        <w:tc>
          <w:tcPr>
            <w:tcW w:type="dxa" w:w="7200"/>
            <w:tcBorders>
              <w:top w:val="single" w:color="CCCCCC" w:sz="1"/>
              <w:left w:val="single" w:color="CCCCCC" w:sz="1"/>
              <w:bottom w:val="single" w:color="CCCCCC" w:sz="1"/>
              <w:right w:val="single" w:color="CCCCCC" w:sz="1"/>
            </w:tcBorders>
            <w:shd w:fill="EBF0FA" w:val="clear"/>
            <w:tcMar>
              <w:top w:type="dxa" w:w="200"/>
              <w:left w:type="dxa" w:w="240"/>
              <w:bottom w:type="dxa" w:w="200"/>
              <w:right w:type="dxa" w:w="240"/>
            </w:tcMar>
          </w:tcPr>
          <w:p>
            <w:pPr>
              <w:spacing w:after="80"/>
            </w:pPr>
            <w:r>
              <w:rPr>
                <w:b/>
                <w:bCs/>
                <w:color w:val="1F3864"/>
                <w:sz w:val="22"/>
                <w:szCs w:val="22"/>
              </w:rPr>
              <w:t xml:space="preserve">About this manual</w:t>
            </w:r>
          </w:p>
          <w:p>
            <w:pPr>
              <w:spacing w:after="0"/>
            </w:pPr>
            <w:r>
              <w:rPr>
                <w:color w:val="333333"/>
                <w:sz w:val="20"/>
                <w:szCs w:val="20"/>
              </w:rPr>
              <w:t xml:space="preserve">This manual explains how to use every feature of Graph Explorer — a web application for exploring biological knowledge graphs, loading pathway files, examining literature evidence, and curating graph data.</w:t>
            </w:r>
          </w:p>
        </w:tc>
      </w:tr>
    </w:tbl>
    <w:p>
      <w:r>
        <w:br w:type="page"/>
      </w:r>
    </w:p>
    <w:p>
      <w:pPr>
        <w:pStyle w:val="Heading1"/>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Getting Started</w:t>
      </w:r>
    </w:p>
    <w:p>
      <w:pPr>
        <w:pStyle w:val="Heading2"/>
      </w:pPr>
      <w:r>
        <w:t xml:space="preserve">1.1 Opening the Application</w:t>
      </w:r>
    </w:p>
    <w:p>
      <w:pPr>
        <w:spacing w:after="120"/>
      </w:pPr>
      <w:r>
        <w:t xml:space="preserve">Graph Explorer runs in your web browser. Open the URL provided by your system administrator. You do not need to install any software.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FFF8E1" w:val="clear"/>
            <w:tcMar>
              <w:top w:type="dxa" w:w="80"/>
              <w:left w:type="dxa" w:w="100"/>
              <w:bottom w:type="dxa" w:w="80"/>
              <w:right w:type="dxa" w:w="100"/>
            </w:tcMar>
          </w:tcPr>
          <w:p>
            <w:r>
              <w:rPr>
                <w:sz w:val="22"/>
                <w:szCs w:val="22"/>
              </w:rPr>
              <w:t xml:space="preserve">💡</w:t>
            </w:r>
          </w:p>
        </w:tc>
        <w:tc>
          <w:tcPr>
            <w:tcW w:type="dxa" w:w="876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i/>
                <w:iCs/>
                <w:color w:val="5C4A00"/>
                <w:sz w:val="20"/>
                <w:szCs w:val="20"/>
              </w:rPr>
              <w:t xml:space="preserve">Use a modern desktop browser — Chrome, Firefox, or Edge work best.</w:t>
            </w:r>
          </w:p>
        </w:tc>
      </w:tr>
    </w:tbl>
    <w:p>
      <w:pPr>
        <w:spacing w:after="80"/>
      </w:pPr>
      <w:r>
        <w:t xml:space="preserve"/>
      </w:r>
    </w:p>
    <w:p>
      <w:pPr>
        <w:pStyle w:val="Heading2"/>
      </w:pPr>
      <w:r>
        <w:t xml:space="preserve">1.2 Logging In</w:t>
      </w:r>
    </w:p>
    <w:p>
      <w:pPr>
        <w:spacing w:after="120"/>
      </w:pPr>
      <w:r>
        <w:t xml:space="preserve">The login screen asks for your username and password. Enter the credentials provided by your administrator and click Login. A successful login takes you straight to the main application.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8F4FD" w:val="clear"/>
            <w:tcMar>
              <w:top w:type="dxa" w:w="80"/>
              <w:left w:type="dxa" w:w="100"/>
              <w:bottom w:type="dxa" w:w="80"/>
              <w:right w:type="dxa" w:w="100"/>
            </w:tcMar>
          </w:tcPr>
          <w:p>
            <w:r>
              <w:rPr>
                <w:sz w:val="22"/>
                <w:szCs w:val="22"/>
              </w:rPr>
              <w:t xml:space="preserve">📌</w:t>
            </w:r>
          </w:p>
        </w:tc>
        <w:tc>
          <w:tcPr>
            <w:tcW w:type="dxa" w:w="87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color w:val="0A3D5C"/>
                <w:sz w:val="20"/>
                <w:szCs w:val="20"/>
              </w:rPr>
              <w:t xml:space="preserve">After 10 failed login attempts in 15 minutes your account is temporarily locked as a security measure.</w:t>
            </w:r>
          </w:p>
        </w:tc>
      </w:tr>
    </w:tbl>
    <w:p>
      <w:pPr>
        <w:spacing w:after="80"/>
      </w:pPr>
      <w:r>
        <w:t xml:space="preserve"/>
      </w:r>
    </w:p>
    <w:p>
      <w:pPr>
        <w:pStyle w:val="Heading2"/>
      </w:pPr>
      <w:r>
        <w:t xml:space="preserve">1.3 Changing Your Password</w:t>
      </w:r>
    </w:p>
    <w:p>
      <w:pPr>
        <w:spacing w:after="120"/>
      </w:pPr>
      <w:r>
        <w:t xml:space="preserve">Click Change Password in the top-right header at any time. A dialog asks for your current password, a new password (minimum 6 characters), and a confirmation. Click Submit to save — you will see a green confirmation message and the dialog will close automatically.</w:t>
      </w:r>
    </w:p>
    <w:p>
      <w:pPr>
        <w:pStyle w:val="Heading2"/>
      </w:pPr>
      <w:r>
        <w:t xml:space="preserve">1.4 Signing Out</w:t>
      </w:r>
    </w:p>
    <w:p>
      <w:pPr>
        <w:spacing w:after="120"/>
      </w:pPr>
      <w:r>
        <w:t xml:space="preserve">Click Sign Out in the top-right header. You are returned to the login screen and your session is cleared.</w:t>
      </w:r>
    </w:p>
    <w:p>
      <w:r>
        <w:br w:type="page"/>
      </w:r>
    </w:p>
    <w:p>
      <w:pPr>
        <w:pStyle w:val="Heading1"/>
      </w:pPr>
      <w:r>
        <w:t xml:space="preserve">2. Interface Overview</w:t>
      </w:r>
    </w:p>
    <w:p>
      <w:pPr>
        <w:spacing w:after="120"/>
      </w:pPr>
      <w:r>
        <w:t xml:space="preserve">The application is divided into five horizontal zones from top to bottom:</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Header bar</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Application title, graph statistics, zoom controls, and user account buttons</w:t>
            </w:r>
          </w:p>
        </w:tc>
      </w:tr>
      <w:tr>
        <w:tc>
          <w:tcPr>
            <w:tcW w:type="dxa" w:w="300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b/>
                <w:bCs/>
                <w:sz w:val="20"/>
                <w:szCs w:val="20"/>
              </w:rPr>
              <w:t xml:space="preserve">Menu bar</w:t>
            </w:r>
          </w:p>
        </w:tc>
        <w:tc>
          <w:tcPr>
            <w:tcW w:type="dxa" w:w="636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sz w:val="20"/>
                <w:szCs w:val="20"/>
              </w:rPr>
              <w:t xml:space="preserve">File, Database, View, Select, and Edit dropdown menus</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Tab bar</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One tab per open graph session; + button creates a new tab</w:t>
            </w:r>
          </w:p>
        </w:tc>
      </w:tr>
      <w:tr>
        <w:tc>
          <w:tcPr>
            <w:tcW w:type="dxa" w:w="300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b/>
                <w:bCs/>
                <w:sz w:val="20"/>
                <w:szCs w:val="20"/>
              </w:rPr>
              <w:t xml:space="preserve">Query bar</w:t>
            </w:r>
          </w:p>
        </w:tc>
        <w:tc>
          <w:tcPr>
            <w:tcW w:type="dxa" w:w="636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sz w:val="20"/>
                <w:szCs w:val="20"/>
              </w:rPr>
              <w:t xml:space="preserve">Cypher query textarea and Run/Clear buttons (hidden by default)</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Content area</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The Graph view (visual canvas) or Table view, depending on your selection</w:t>
            </w:r>
          </w:p>
        </w:tc>
      </w:tr>
    </w:tbl>
    <w:p>
      <w:pPr>
        <w:spacing w:after="80"/>
      </w:pPr>
      <w:r>
        <w:t xml:space="preserve"/>
      </w:r>
    </w:p>
    <w:p>
      <w:pPr>
        <w:pStyle w:val="Heading2"/>
      </w:pPr>
      <w:r>
        <w:t xml:space="preserve">2.1 Header Bar</w:t>
      </w:r>
    </w:p>
    <w:p>
      <w:pPr>
        <w:spacing w:after="120"/>
      </w:pPr>
      <w:r>
        <w:t xml:space="preserve">The header bar shows (from left to right):</w:t>
      </w:r>
    </w:p>
    <w:p>
      <w:pPr>
        <w:pStyle w:val="ListParagraph"/>
        <w:numPr>
          <w:ilvl w:val="0"/>
          <w:numId w:val="2"/>
        </w:numPr>
        <w:spacing w:after="80"/>
      </w:pPr>
      <w:r>
        <w:t xml:space="preserve">The application logo and title</w:t>
      </w:r>
    </w:p>
    <w:p>
      <w:pPr>
        <w:pStyle w:val="ListParagraph"/>
        <w:numPr>
          <w:ilvl w:val="0"/>
          <w:numId w:val="2"/>
        </w:numPr>
        <w:spacing w:after="80"/>
      </w:pPr>
      <w:r>
        <w:t xml:space="preserve">Graph statistics — the name of the current graph, plus node and edge counts. Transient messages (such as 'Loading matching data from database…') also appear here.</w:t>
      </w:r>
    </w:p>
    <w:p>
      <w:pPr>
        <w:pStyle w:val="ListParagraph"/>
        <w:numPr>
          <w:ilvl w:val="0"/>
          <w:numId w:val="2"/>
        </w:numPr>
        <w:spacing w:after="80"/>
      </w:pPr>
      <w:r>
        <w:t xml:space="preserve">Zoom controls — minus (–), Fit, and plus (+) buttons, plus a percentage label showing the current zoom level</w:t>
      </w:r>
    </w:p>
    <w:p>
      <w:pPr>
        <w:pStyle w:val="ListParagraph"/>
        <w:numPr>
          <w:ilvl w:val="0"/>
          <w:numId w:val="2"/>
        </w:numPr>
        <w:spacing w:after="80"/>
      </w:pPr>
      <w:r>
        <w:t xml:space="preserve">Your username</w:t>
      </w:r>
    </w:p>
    <w:p>
      <w:pPr>
        <w:pStyle w:val="ListParagraph"/>
        <w:numPr>
          <w:ilvl w:val="0"/>
          <w:numId w:val="2"/>
        </w:numPr>
        <w:spacing w:after="80"/>
      </w:pPr>
      <w:r>
        <w:t xml:space="preserve">Change Password button</w:t>
      </w:r>
    </w:p>
    <w:p>
      <w:pPr>
        <w:pStyle w:val="ListParagraph"/>
        <w:numPr>
          <w:ilvl w:val="0"/>
          <w:numId w:val="2"/>
        </w:numPr>
        <w:spacing w:after="80"/>
      </w:pPr>
      <w:r>
        <w:t xml:space="preserve">Users button (visible only to administrators)</w:t>
      </w:r>
    </w:p>
    <w:p>
      <w:pPr>
        <w:pStyle w:val="ListParagraph"/>
        <w:numPr>
          <w:ilvl w:val="0"/>
          <w:numId w:val="2"/>
        </w:numPr>
        <w:spacing w:after="80"/>
      </w:pPr>
      <w:r>
        <w:t xml:space="preserve">Sign Out button</w:t>
      </w:r>
    </w:p>
    <w:p>
      <w:pPr>
        <w:spacing w:after="80"/>
      </w:pPr>
      <w:r>
        <w:t xml:space="preserve"/>
      </w:r>
    </w:p>
    <w:p>
      <w:pPr>
        <w:pStyle w:val="Heading2"/>
      </w:pPr>
      <w:r>
        <w:t xml:space="preserve">2.2 Menu Bar</w:t>
      </w:r>
    </w:p>
    <w:p>
      <w:pPr>
        <w:spacing w:after="120"/>
      </w:pPr>
      <w:r>
        <w:t xml:space="preserve">Click any menu name to open its dropdown. Click an item to run it, or click anywhere outside the menu to close it. Moving the mouse to another menu while one is open switches menus automatically.</w:t>
      </w:r>
    </w:p>
    <w:p>
      <w:pPr>
        <w:spacing w:after="80"/>
      </w:pPr>
      <w:r>
        <w:t xml:space="preserve"/>
      </w:r>
    </w:p>
    <w:p>
      <w:pPr>
        <w:pStyle w:val="Heading2"/>
      </w:pPr>
      <w:r>
        <w:t xml:space="preserve">2.3 Tab Bar</w:t>
      </w:r>
    </w:p>
    <w:p>
      <w:pPr>
        <w:spacing w:after="120"/>
      </w:pPr>
      <w:r>
        <w:t xml:space="preserve">Each tab is an independent workspace. Click a tab to switch to it. Click the × on a tab to close it (at least one tab must remain open). Click + to create a new empty tab. The active tab is highlighted.</w:t>
      </w:r>
    </w:p>
    <w:p>
      <w:r>
        <w:br w:type="page"/>
      </w:r>
    </w:p>
    <w:p>
      <w:pPr>
        <w:pStyle w:val="Heading1"/>
      </w:pPr>
      <w:r>
        <w:t xml:space="preserve">3. Loading Graph Data</w:t>
      </w:r>
    </w:p>
    <w:p>
      <w:pPr>
        <w:spacing w:after="120"/>
      </w:pPr>
      <w:r>
        <w:t xml:space="preserve">There are three ways to populate the graph canvas: running a Cypher query, opening a saved JSON file, or opening an RNEF pathway file.</w:t>
      </w:r>
    </w:p>
    <w:p>
      <w:pPr>
        <w:pStyle w:val="Heading2"/>
      </w:pPr>
      <w:r>
        <w:t xml:space="preserve">3.1 Cypher Query</w:t>
      </w:r>
    </w:p>
    <w:p>
      <w:pPr>
        <w:spacing w:after="120"/>
      </w:pPr>
      <w:r>
        <w:t xml:space="preserve">Open the query bar via Database → Cypher Query (the bar toggles on each click). Type or paste a Cypher query in the text area, then click Run or press Ctrl+Enter (Cmd+Enter on Mac). The graph is cleared and replaced with the query results.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FFF8E1" w:val="clear"/>
            <w:tcMar>
              <w:top w:type="dxa" w:w="80"/>
              <w:left w:type="dxa" w:w="100"/>
              <w:bottom w:type="dxa" w:w="80"/>
              <w:right w:type="dxa" w:w="100"/>
            </w:tcMar>
          </w:tcPr>
          <w:p>
            <w:r>
              <w:rPr>
                <w:sz w:val="22"/>
                <w:szCs w:val="22"/>
              </w:rPr>
              <w:t xml:space="preserve">💡</w:t>
            </w:r>
          </w:p>
        </w:tc>
        <w:tc>
          <w:tcPr>
            <w:tcW w:type="dxa" w:w="876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i/>
                <w:iCs/>
                <w:color w:val="5C4A00"/>
                <w:sz w:val="20"/>
                <w:szCs w:val="20"/>
              </w:rPr>
              <w:t xml:space="preserve">The query bar remembers your last query. It is also restored when you switch back to a tab.</w:t>
            </w:r>
          </w:p>
        </w:tc>
      </w:tr>
    </w:tbl>
    <w:p>
      <w:pPr>
        <w:spacing w:after="80"/>
      </w:pPr>
      <w:r>
        <w:t xml:space="preserve"/>
      </w:r>
    </w:p>
    <w:p>
      <w:pPr>
        <w:spacing w:after="120"/>
      </w:pPr>
      <w:r>
        <w:t xml:space="preserve">The Clear button (or File → Clear) removes all elements from the canvas and resets the current tab.</w:t>
      </w:r>
    </w:p>
    <w:p>
      <w:pPr>
        <w:pStyle w:val="Heading2"/>
      </w:pPr>
      <w:r>
        <w:t xml:space="preserve">3.2 Opening a Saved Subgraph (JSON)</w:t>
      </w:r>
    </w:p>
    <w:p>
      <w:pPr>
        <w:spacing w:after="120"/>
      </w:pPr>
      <w:r>
        <w:t xml:space="preserve">Go to File → Open… and select a .json file you saved previously from Graph Explorer. The graph is loaded with all node positions and the original Cypher query restored. Node data is silently enriched from Neo4j in the background.</w:t>
      </w:r>
    </w:p>
    <w:p>
      <w:pPr>
        <w:pStyle w:val="Heading2"/>
      </w:pPr>
      <w:r>
        <w:t xml:space="preserve">3.3 Opening an RNEF Pathway File</w:t>
      </w:r>
    </w:p>
    <w:p>
      <w:pPr>
        <w:spacing w:after="120"/>
      </w:pPr>
      <w:r>
        <w:t xml:space="preserve">Go to File → Open… and select a .rnef file (Pathway Studio export). The file is sent to the server for conversion.</w:t>
      </w:r>
    </w:p>
    <w:p>
      <w:pPr>
        <w:pStyle w:val="ListParagraph"/>
        <w:numPr>
          <w:ilvl w:val="0"/>
          <w:numId w:val="2"/>
        </w:numPr>
        <w:spacing w:after="80"/>
      </w:pPr>
      <w:r>
        <w:t xml:space="preserve">If the file contains a single pathway, it opens immediately in the current tab.</w:t>
      </w:r>
    </w:p>
    <w:p>
      <w:pPr>
        <w:pStyle w:val="ListParagraph"/>
        <w:numPr>
          <w:ilvl w:val="0"/>
          <w:numId w:val="2"/>
        </w:numPr>
        <w:spacing w:after="80"/>
      </w:pPr>
      <w:r>
        <w:t xml:space="preserve">If the file contains multiple pathways, a selection dialog appears with a checklist. Tick one or more pathways and click Open Selected.</w:t>
      </w:r>
    </w:p>
    <w:p>
      <w:pPr>
        <w:pStyle w:val="ListParagraph"/>
        <w:numPr>
          <w:ilvl w:val="0"/>
          <w:numId w:val="2"/>
        </w:numPr>
        <w:spacing w:after="80"/>
      </w:pPr>
      <w:r>
        <w:t xml:space="preserve">The first checked pathway opens in the current tab. Each additional pathway opens in its own new tab.</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FFF8E1" w:val="clear"/>
            <w:tcMar>
              <w:top w:type="dxa" w:w="80"/>
              <w:left w:type="dxa" w:w="100"/>
              <w:bottom w:type="dxa" w:w="80"/>
              <w:right w:type="dxa" w:w="100"/>
            </w:tcMar>
          </w:tcPr>
          <w:p>
            <w:r>
              <w:rPr>
                <w:sz w:val="22"/>
                <w:szCs w:val="22"/>
              </w:rPr>
              <w:t xml:space="preserve">💡</w:t>
            </w:r>
          </w:p>
        </w:tc>
        <w:tc>
          <w:tcPr>
            <w:tcW w:type="dxa" w:w="876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i/>
                <w:iCs/>
                <w:color w:val="5C4A00"/>
                <w:sz w:val="20"/>
                <w:szCs w:val="20"/>
              </w:rPr>
              <w:t xml:space="preserve">Node positions from the original RNEF layout are preserved. Nodes that appear more than once in the pathway are shown as clones (see Section 8).</w:t>
            </w:r>
          </w:p>
        </w:tc>
      </w:tr>
    </w:tbl>
    <w:p>
      <w:pPr>
        <w:spacing w:after="80"/>
      </w:pPr>
      <w:r>
        <w:t xml:space="preserve"/>
      </w:r>
    </w:p>
    <w:p>
      <w:pPr>
        <w:pStyle w:val="Heading2"/>
      </w:pPr>
      <w:r>
        <w:t xml:space="preserve">3.4 What Happens After Loading</w:t>
      </w:r>
    </w:p>
    <w:p>
      <w:pPr>
        <w:spacing w:after="120"/>
      </w:pPr>
      <w:r>
        <w:t xml:space="preserve">After any graph is loaded, the application silently contacts Neo4j to enrich nodes with current database data. A brief 'Loading matching data from database…' message appears in the header bar. When enrichment is complete the node labels, colors, and properties are updated, and a '(+N enriched from Neo4j)' note appears for three seconds.</w:t>
      </w:r>
    </w:p>
    <w:p>
      <w:r>
        <w:br w:type="page"/>
      </w:r>
    </w:p>
    <w:p>
      <w:pPr>
        <w:pStyle w:val="Heading1"/>
      </w:pPr>
      <w:r>
        <w:t xml:space="preserve">4. Working in the Graph View</w:t>
      </w:r>
    </w:p>
    <w:p>
      <w:pPr>
        <w:pStyle w:val="Heading2"/>
      </w:pPr>
      <w:r>
        <w:t xml:space="preserve">4.1 Navigating the Canvas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Zoom in / out</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Scroll the mouse wheel, or use the – and + buttons in the header</w:t>
            </w:r>
          </w:p>
        </w:tc>
      </w:tr>
      <w:tr>
        <w:tc>
          <w:tcPr>
            <w:tcW w:type="dxa" w:w="300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b/>
                <w:bCs/>
                <w:sz w:val="20"/>
                <w:szCs w:val="20"/>
              </w:rPr>
              <w:t xml:space="preserve">Fit all elements</w:t>
            </w:r>
          </w:p>
        </w:tc>
        <w:tc>
          <w:tcPr>
            <w:tcW w:type="dxa" w:w="636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sz w:val="20"/>
                <w:szCs w:val="20"/>
              </w:rPr>
              <w:t xml:space="preserve">Click the Fit button in the header, or use View → Layout → any layout</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Pan (move canvas)</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Enable Move Mode via Select → Move Mode, then drag; or hold the middle mouse button</w:t>
            </w:r>
          </w:p>
        </w:tc>
      </w:tr>
      <w:tr>
        <w:tc>
          <w:tcPr>
            <w:tcW w:type="dxa" w:w="300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b/>
                <w:bCs/>
                <w:sz w:val="20"/>
                <w:szCs w:val="20"/>
              </w:rPr>
              <w:t xml:space="preserve">Box-select</w:t>
            </w:r>
          </w:p>
        </w:tc>
        <w:tc>
          <w:tcPr>
            <w:tcW w:type="dxa" w:w="636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sz w:val="20"/>
                <w:szCs w:val="20"/>
              </w:rPr>
              <w:t xml:space="preserve">Default drag behavior — drag on empty canvas to draw a selection rectangle</w:t>
            </w:r>
          </w:p>
        </w:tc>
      </w:tr>
    </w:tbl>
    <w:p>
      <w:pPr>
        <w:spacing w:after="80"/>
      </w:pPr>
      <w:r>
        <w:t xml:space="preserve"/>
      </w:r>
    </w:p>
    <w:p>
      <w:pPr>
        <w:pStyle w:val="Heading2"/>
      </w:pPr>
      <w:r>
        <w:t xml:space="preserve">4.2 Interacting with Nodes</w:t>
      </w:r>
    </w:p>
    <w:p>
      <w:pPr>
        <w:pStyle w:val="ListParagraph"/>
        <w:numPr>
          <w:ilvl w:val="0"/>
          <w:numId w:val="2"/>
        </w:numPr>
        <w:spacing w:after="80"/>
      </w:pPr>
      <w:r>
        <w:rPr>
          <w:b/>
          <w:bCs/>
        </w:rPr>
        <w:t xml:space="preserve">Click a node — </w:t>
      </w:r>
      <w:r>
        <w:t xml:space="preserve">Highlights that node and its direct connections; all other elements fade. Click the canvas background to clear the highlight.</w:t>
      </w:r>
    </w:p>
    <w:p>
      <w:pPr>
        <w:pStyle w:val="ListParagraph"/>
        <w:numPr>
          <w:ilvl w:val="0"/>
          <w:numId w:val="2"/>
        </w:numPr>
        <w:spacing w:after="80"/>
      </w:pPr>
      <w:r>
        <w:rPr>
          <w:b/>
          <w:bCs/>
        </w:rPr>
        <w:t xml:space="preserve">Drag a node — </w:t>
      </w:r>
      <w:r>
        <w:t xml:space="preserve">Moves it to a new position. The layout switches to Manual mode so positions are preserved.</w:t>
      </w:r>
    </w:p>
    <w:p>
      <w:pPr>
        <w:pStyle w:val="ListParagraph"/>
        <w:numPr>
          <w:ilvl w:val="0"/>
          <w:numId w:val="2"/>
        </w:numPr>
        <w:spacing w:after="80"/>
      </w:pPr>
      <w:r>
        <w:rPr>
          <w:b/>
          <w:bCs/>
        </w:rPr>
        <w:t xml:space="preserve">Hover over a node — </w:t>
      </w:r>
      <w:r>
        <w:t xml:space="preserve">After half a second a tooltip appears showing the node's name, type, description, URN, and any additional properties from Neo4j.</w:t>
      </w:r>
    </w:p>
    <w:p>
      <w:pPr>
        <w:pStyle w:val="ListParagraph"/>
        <w:numPr>
          <w:ilvl w:val="0"/>
          <w:numId w:val="2"/>
        </w:numPr>
        <w:spacing w:after="80"/>
      </w:pPr>
      <w:r>
        <w:rPr>
          <w:b/>
          <w:bCs/>
        </w:rPr>
        <w:t xml:space="preserve">Right-click a node — </w:t>
      </w:r>
      <w:r>
        <w:t xml:space="preserve">Opens a context menu with options to Edit Properties, Clone Node, or Remove Clone.</w:t>
      </w:r>
    </w:p>
    <w:p>
      <w:pPr>
        <w:spacing w:after="80"/>
      </w:pPr>
      <w:r>
        <w:t xml:space="preserve"/>
      </w:r>
    </w:p>
    <w:p>
      <w:pPr>
        <w:pStyle w:val="Heading2"/>
      </w:pPr>
      <w:r>
        <w:t xml:space="preserve">4.3 Interacting with Edges</w:t>
      </w:r>
    </w:p>
    <w:p>
      <w:pPr>
        <w:pStyle w:val="ListParagraph"/>
        <w:numPr>
          <w:ilvl w:val="0"/>
          <w:numId w:val="2"/>
        </w:numPr>
        <w:spacing w:after="80"/>
      </w:pPr>
      <w:r>
        <w:rPr>
          <w:b/>
          <w:bCs/>
        </w:rPr>
        <w:t xml:space="preserve">Hover over an edge — </w:t>
      </w:r>
      <w:r>
        <w:t xml:space="preserve">After half a second a tooltip appears showing the relation type, source and target names, evidence details (effect, mechanism, confidence), and up to three supporting references (year, journal, sentence).</w:t>
      </w:r>
    </w:p>
    <w:p>
      <w:pPr>
        <w:pStyle w:val="ListParagraph"/>
        <w:numPr>
          <w:ilvl w:val="0"/>
          <w:numId w:val="2"/>
        </w:numPr>
        <w:spacing w:after="80"/>
      </w:pPr>
      <w:r>
        <w:rPr>
          <w:b/>
          <w:bCs/>
        </w:rPr>
        <w:t xml:space="preserve">Right-click an edge — </w:t>
      </w:r>
      <w:r>
        <w:t xml:space="preserve">Opens a context menu with Edit Properties.</w:t>
      </w:r>
    </w:p>
    <w:p>
      <w:pPr>
        <w:spacing w:after="80"/>
      </w:pPr>
      <w:r>
        <w:t xml:space="preserve"/>
      </w:r>
    </w:p>
    <w:p>
      <w:pPr>
        <w:pStyle w:val="Heading2"/>
      </w:pPr>
      <w:r>
        <w:t xml:space="preserve">4.4 Node and Edge Visual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Node color</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Indicates biological type (e.g. blue = Protein, green = SmallMol, red = Disease). Unknown types get assigned colors automatically.</w:t>
            </w:r>
          </w:p>
        </w:tc>
      </w:tr>
      <w:tr>
        <w:tc>
          <w:tcPr>
            <w:tcW w:type="dxa" w:w="300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b/>
                <w:bCs/>
                <w:sz w:val="20"/>
                <w:szCs w:val="20"/>
              </w:rPr>
              <w:t xml:space="preserve">Edge color</w:t>
            </w:r>
          </w:p>
        </w:tc>
        <w:tc>
          <w:tcPr>
            <w:tcW w:type="dxa" w:w="636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sz w:val="20"/>
                <w:szCs w:val="20"/>
              </w:rPr>
              <w:t xml:space="preserve">Indicates relation type (e.g. green = Positive, red = Negative, blue = Binding).</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Solid edge</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Direct relation between source and target.</w:t>
            </w:r>
          </w:p>
        </w:tc>
      </w:tr>
      <w:tr>
        <w:tc>
          <w:tcPr>
            <w:tcW w:type="dxa" w:w="300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b/>
                <w:bCs/>
                <w:sz w:val="20"/>
                <w:szCs w:val="20"/>
              </w:rPr>
              <w:t xml:space="preserve">Dashed edge</w:t>
            </w:r>
          </w:p>
        </w:tc>
        <w:tc>
          <w:tcPr>
            <w:tcW w:type="dxa" w:w="636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sz w:val="20"/>
                <w:szCs w:val="20"/>
              </w:rPr>
              <w:t xml:space="preserve">Indirect relation.</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Thicker edge</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More supporting references. The thickest edges have 3 or more references.</w:t>
            </w:r>
          </w:p>
        </w:tc>
      </w:tr>
      <w:tr>
        <w:tc>
          <w:tcPr>
            <w:tcW w:type="dxa" w:w="300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b/>
                <w:bCs/>
                <w:sz w:val="20"/>
                <w:szCs w:val="20"/>
              </w:rPr>
              <w:t xml:space="preserve">Gold double-border node</w:t>
            </w:r>
          </w:p>
        </w:tc>
        <w:tc>
          <w:tcPr>
            <w:tcW w:type="dxa" w:w="636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sz w:val="20"/>
                <w:szCs w:val="20"/>
              </w:rPr>
              <w:t xml:space="preserve">A clone — the same biological entity appearing in two or more positions (common in RNEF pathways).</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Small gray square</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A reaction node — an intermediate that connects substrates, products, and cofactors.</w:t>
            </w:r>
          </w:p>
        </w:tc>
      </w:tr>
    </w:tbl>
    <w:p>
      <w:pPr>
        <w:spacing w:after="80"/>
      </w:pPr>
      <w:r>
        <w:t xml:space="preserve"/>
      </w:r>
    </w:p>
    <w:p>
      <w:pPr>
        <w:pStyle w:val="Heading2"/>
      </w:pPr>
      <w:r>
        <w:t xml:space="preserve">4.5 Legend</w:t>
      </w:r>
    </w:p>
    <w:p>
      <w:pPr>
        <w:spacing w:after="120"/>
      </w:pPr>
      <w:r>
        <w:t xml:space="preserve">The legend panel in the lower-left corner of the canvas lists all relation types present in the current graph, each with its color. Direct types use solid edges; indirect types use dashed edges.</w:t>
      </w:r>
    </w:p>
    <w:p>
      <w:pPr>
        <w:pStyle w:val="Heading2"/>
      </w:pPr>
      <w:r>
        <w:t xml:space="preserve">4.6 Zoom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 button</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Zoom out by 20%</w:t>
            </w:r>
          </w:p>
        </w:tc>
      </w:tr>
      <w:tr>
        <w:tc>
          <w:tcPr>
            <w:tcW w:type="dxa" w:w="300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b/>
                <w:bCs/>
                <w:sz w:val="20"/>
                <w:szCs w:val="20"/>
              </w:rPr>
              <w:t xml:space="preserve">Fit button</w:t>
            </w:r>
          </w:p>
        </w:tc>
        <w:tc>
          <w:tcPr>
            <w:tcW w:type="dxa" w:w="636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sz w:val="20"/>
                <w:szCs w:val="20"/>
              </w:rPr>
              <w:t xml:space="preserve">Fit the entire graph to the canvas with a small margin</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 button</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Zoom in by 25%</w:t>
            </w:r>
          </w:p>
        </w:tc>
      </w:tr>
      <w:tr>
        <w:tc>
          <w:tcPr>
            <w:tcW w:type="dxa" w:w="300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b/>
                <w:bCs/>
                <w:sz w:val="20"/>
                <w:szCs w:val="20"/>
              </w:rPr>
              <w:t xml:space="preserve">Percentage label</w:t>
            </w:r>
          </w:p>
        </w:tc>
        <w:tc>
          <w:tcPr>
            <w:tcW w:type="dxa" w:w="636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sz w:val="20"/>
                <w:szCs w:val="20"/>
              </w:rPr>
              <w:t xml:space="preserve">Shows the current zoom level</w:t>
            </w:r>
          </w:p>
        </w:tc>
      </w:tr>
    </w:tbl>
    <w:p>
      <w:pPr>
        <w:pStyle w:val="Heading2"/>
      </w:pPr>
      <w:r>
        <w:t xml:space="preserve">4.7 Layouts</w:t>
      </w:r>
    </w:p>
    <w:p>
      <w:pPr>
        <w:spacing w:after="120"/>
      </w:pPr>
      <w:r>
        <w:t xml:space="preserve">Choose an automatic layout from the View menu. The active layout is marked with a ✓. Available layouts:</w:t>
      </w:r>
    </w:p>
    <w:p>
      <w:pPr>
        <w:pStyle w:val="ListParagraph"/>
        <w:numPr>
          <w:ilvl w:val="0"/>
          <w:numId w:val="2"/>
        </w:numPr>
        <w:spacing w:after="80"/>
      </w:pPr>
      <w:r>
        <w:rPr>
          <w:b/>
          <w:bCs/>
        </w:rPr>
        <w:t xml:space="preserve">CoSE (default) — </w:t>
      </w:r>
      <w:r>
        <w:t xml:space="preserve">Spring-embedder algorithm — good general-purpose layout that spreads nodes while respecting edge lengths</w:t>
      </w:r>
    </w:p>
    <w:p>
      <w:pPr>
        <w:pStyle w:val="ListParagraph"/>
        <w:numPr>
          <w:ilvl w:val="0"/>
          <w:numId w:val="2"/>
        </w:numPr>
        <w:spacing w:after="80"/>
      </w:pPr>
      <w:r>
        <w:rPr>
          <w:b/>
          <w:bCs/>
        </w:rPr>
        <w:t xml:space="preserve">Dagre — </w:t>
      </w:r>
      <w:r>
        <w:t xml:space="preserve">Hierarchical top-to-bottom layout — good for showing regulatory cascades</w:t>
      </w:r>
    </w:p>
    <w:p>
      <w:pPr>
        <w:pStyle w:val="ListParagraph"/>
        <w:numPr>
          <w:ilvl w:val="0"/>
          <w:numId w:val="2"/>
        </w:numPr>
        <w:spacing w:after="80"/>
      </w:pPr>
      <w:r>
        <w:rPr>
          <w:b/>
          <w:bCs/>
        </w:rPr>
        <w:t xml:space="preserve">Circle — </w:t>
      </w:r>
      <w:r>
        <w:t xml:space="preserve">Nodes arranged in a single circle</w:t>
      </w:r>
    </w:p>
    <w:p>
      <w:pPr>
        <w:pStyle w:val="ListParagraph"/>
        <w:numPr>
          <w:ilvl w:val="0"/>
          <w:numId w:val="2"/>
        </w:numPr>
        <w:spacing w:after="80"/>
      </w:pPr>
      <w:r>
        <w:rPr>
          <w:b/>
          <w:bCs/>
        </w:rPr>
        <w:t xml:space="preserve">Concentric — </w:t>
      </w:r>
      <w:r>
        <w:t xml:space="preserve">Nodes arranged on concentric rings</w:t>
      </w:r>
    </w:p>
    <w:p>
      <w:pPr>
        <w:pStyle w:val="ListParagraph"/>
        <w:numPr>
          <w:ilvl w:val="0"/>
          <w:numId w:val="2"/>
        </w:numPr>
        <w:spacing w:after="80"/>
      </w:pPr>
      <w:r>
        <w:rPr>
          <w:b/>
          <w:bCs/>
        </w:rPr>
        <w:t xml:space="preserve">Grid — </w:t>
      </w:r>
      <w:r>
        <w:t xml:space="preserve">Nodes arranged in a regular grid</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FFF8E1" w:val="clear"/>
            <w:tcMar>
              <w:top w:type="dxa" w:w="80"/>
              <w:left w:type="dxa" w:w="100"/>
              <w:bottom w:type="dxa" w:w="80"/>
              <w:right w:type="dxa" w:w="100"/>
            </w:tcMar>
          </w:tcPr>
          <w:p>
            <w:r>
              <w:rPr>
                <w:sz w:val="22"/>
                <w:szCs w:val="22"/>
              </w:rPr>
              <w:t xml:space="preserve">💡</w:t>
            </w:r>
          </w:p>
        </w:tc>
        <w:tc>
          <w:tcPr>
            <w:tcW w:type="dxa" w:w="876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i/>
                <w:iCs/>
                <w:color w:val="5C4A00"/>
                <w:sz w:val="20"/>
                <w:szCs w:val="20"/>
              </w:rPr>
              <w:t xml:space="preserve">After opening a file with saved positions the layout is 'Preset' and positions are locked. Apply a new layout from the View menu to re-arrange them.</w:t>
            </w:r>
          </w:p>
        </w:tc>
      </w:tr>
    </w:tbl>
    <w:p>
      <w:r>
        <w:br w:type="page"/>
      </w:r>
    </w:p>
    <w:p>
      <w:pPr>
        <w:pStyle w:val="Heading1"/>
      </w:pPr>
      <w:r>
        <w:t xml:space="preserve">5. Working in the Table View</w:t>
      </w:r>
    </w:p>
    <w:p>
      <w:pPr>
        <w:spacing w:after="120"/>
      </w:pPr>
      <w:r>
        <w:t xml:space="preserve">The Table view presents the graph's data in a spreadsheet-like table. Switch to it via View → Relations Table or View → References Table.</w:t>
      </w:r>
    </w:p>
    <w:p>
      <w:pPr>
        <w:pStyle w:val="Heading2"/>
      </w:pPr>
      <w:r>
        <w:t xml:space="preserve">5.1 References Table Mode</w:t>
      </w:r>
    </w:p>
    <w:p>
      <w:pPr>
        <w:spacing w:after="120"/>
      </w:pPr>
      <w:r>
        <w:t xml:space="preserve">Shows one row per supporting reference per edge. If an edge has three references it appears as three rows. Columns include Regulator, Target, Relation Type, Effect, Reference Count, Year, PMID, DOI, Title, and Sentence. PMID and DOI are clickable links that open the publication in a new browser tab.</w:t>
      </w:r>
    </w:p>
    <w:p>
      <w:pPr>
        <w:pStyle w:val="Heading2"/>
      </w:pPr>
      <w:r>
        <w:t xml:space="preserve">5.2 Relations Table Mode</w:t>
      </w:r>
    </w:p>
    <w:p>
      <w:pPr>
        <w:spacing w:after="120"/>
      </w:pPr>
      <w:r>
        <w:t xml:space="preserve">Shows one row per edge (regardless of reference count). This mode can also display additional Neo4j edge properties such as Confidence, Citation Score, and Mechanism. Enable these via View → Columns….</w:t>
      </w:r>
    </w:p>
    <w:p>
      <w:pPr>
        <w:pStyle w:val="Heading2"/>
      </w:pPr>
      <w:r>
        <w:t xml:space="preserve">5.3 Adding or Removing Columns</w:t>
      </w:r>
    </w:p>
    <w:p>
      <w:pPr>
        <w:spacing w:after="120"/>
      </w:pPr>
      <w:r>
        <w:t xml:space="preserve">Go to View → Columns… to open the column management dialog. Check or uncheck any column, then click Apply. The table reloads with your selection. Changes are remembered for the session.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FFF8E1" w:val="clear"/>
            <w:tcMar>
              <w:top w:type="dxa" w:w="80"/>
              <w:left w:type="dxa" w:w="100"/>
              <w:bottom w:type="dxa" w:w="80"/>
              <w:right w:type="dxa" w:w="100"/>
            </w:tcMar>
          </w:tcPr>
          <w:p>
            <w:r>
              <w:rPr>
                <w:sz w:val="22"/>
                <w:szCs w:val="22"/>
              </w:rPr>
              <w:t xml:space="preserve">💡</w:t>
            </w:r>
          </w:p>
        </w:tc>
        <w:tc>
          <w:tcPr>
            <w:tcW w:type="dxa" w:w="876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i/>
                <w:iCs/>
                <w:color w:val="5C4A00"/>
                <w:sz w:val="20"/>
                <w:szCs w:val="20"/>
              </w:rPr>
              <w:t xml:space="preserve">In Relations Table mode you see Neo4j edge property columns. In References Table mode you see reference and Scopus columns. Switch modes first if a column group is missing.</w:t>
            </w:r>
          </w:p>
        </w:tc>
      </w:tr>
    </w:tbl>
    <w:p>
      <w:pPr>
        <w:spacing w:after="80"/>
      </w:pPr>
      <w:r>
        <w:t xml:space="preserve"/>
      </w:r>
    </w:p>
    <w:p>
      <w:pPr>
        <w:pStyle w:val="Heading2"/>
      </w:pPr>
      <w:r>
        <w:t xml:space="preserve">5.4 Reordering Columns</w:t>
      </w:r>
    </w:p>
    <w:p>
      <w:pPr>
        <w:spacing w:after="120"/>
      </w:pPr>
      <w:r>
        <w:t xml:space="preserve">Drag any column header left or right and drop it in the desired position. The order is preserved until you reload the page.</w:t>
      </w:r>
    </w:p>
    <w:p>
      <w:pPr>
        <w:pStyle w:val="Heading2"/>
      </w:pPr>
      <w:r>
        <w:t xml:space="preserve">5.5 Resizing Columns</w:t>
      </w:r>
    </w:p>
    <w:p>
      <w:pPr>
        <w:spacing w:after="120"/>
      </w:pPr>
      <w:r>
        <w:t xml:space="preserve">Drag the thin resize handle on the right edge of any column header to make it wider or narrower.</w:t>
      </w:r>
    </w:p>
    <w:p>
      <w:pPr>
        <w:pStyle w:val="Heading2"/>
      </w:pPr>
      <w:r>
        <w:t xml:space="preserve">5.6 Sorting</w:t>
      </w:r>
    </w:p>
    <w:p>
      <w:pPr>
        <w:spacing w:after="120"/>
      </w:pPr>
      <w:r>
        <w:t xml:space="preserve">Click the header of any graph column (Regulator, Regulator Type, Target, Target Type, Relation Type, Effect) to sort by that column ascending. Click again to reverse the sort order.</w:t>
      </w:r>
    </w:p>
    <w:p>
      <w:pPr>
        <w:pStyle w:val="Heading2"/>
      </w:pPr>
      <w:r>
        <w:t xml:space="preserve">5.7 Filtering Rows</w:t>
      </w:r>
    </w:p>
    <w:p>
      <w:pPr>
        <w:spacing w:after="120"/>
      </w:pPr>
      <w:r>
        <w:t xml:space="preserve">Go to View → Filter Rows to show a search bar above the table. Type any text to filter rows — any row containing that text in any visible column is kept. Clear the search bar to restore all rows.</w:t>
      </w:r>
    </w:p>
    <w:p>
      <w:pPr>
        <w:pStyle w:val="Heading2"/>
      </w:pPr>
      <w:r>
        <w:t xml:space="preserve">5.8 Sentence Coloring</w:t>
      </w:r>
    </w:p>
    <w:p>
      <w:pPr>
        <w:spacing w:after="120"/>
      </w:pPr>
      <w:r>
        <w:t xml:space="preserve">Go to View → Color Sentences to highlight biological entity mentions in the Sentence column. After the command runs:</w:t>
      </w:r>
    </w:p>
    <w:p>
      <w:pPr>
        <w:pStyle w:val="ListParagraph"/>
        <w:numPr>
          <w:ilvl w:val="0"/>
          <w:numId w:val="2"/>
        </w:numPr>
        <w:spacing w:after="80"/>
      </w:pPr>
      <w:r>
        <w:t xml:space="preserve">The entity that acts as Regulator in a given row is highlighted in red.</w:t>
      </w:r>
    </w:p>
    <w:p>
      <w:pPr>
        <w:pStyle w:val="ListParagraph"/>
        <w:numPr>
          <w:ilvl w:val="0"/>
          <w:numId w:val="2"/>
        </w:numPr>
        <w:spacing w:after="80"/>
      </w:pPr>
      <w:r>
        <w:t xml:space="preserve">The entity that acts as Target is highlighted in green.</w:t>
      </w:r>
    </w:p>
    <w:p>
      <w:pPr>
        <w:pStyle w:val="ListParagraph"/>
        <w:numPr>
          <w:ilvl w:val="0"/>
          <w:numId w:val="2"/>
        </w:numPr>
        <w:spacing w:after="80"/>
      </w:pPr>
      <w:r>
        <w:t xml:space="preserve">Other entity mentions remain as plain text.</w:t>
      </w:r>
    </w:p>
    <w:p>
      <w:pPr>
        <w:spacing w:after="80"/>
      </w:pPr>
      <w:r>
        <w:t xml:space="preserve"/>
      </w:r>
    </w:p>
    <w:p>
      <w:pPr>
        <w:spacing w:after="120"/>
      </w:pPr>
      <w:r>
        <w:t xml:space="preserve">The same coloring is applied when you export to Excel.</w:t>
      </w:r>
    </w:p>
    <w:p>
      <w:r>
        <w:br w:type="page"/>
      </w:r>
    </w:p>
    <w:p>
      <w:pPr>
        <w:pStyle w:val="Heading1"/>
      </w:pPr>
      <w:r>
        <w:t xml:space="preserve">6. Saving and Exporting</w:t>
      </w:r>
    </w:p>
    <w:p>
      <w:pPr>
        <w:pStyle w:val="Heading2"/>
      </w:pPr>
      <w:r>
        <w:t xml:space="preserve">6.1 Save Subgraph</w:t>
      </w:r>
    </w:p>
    <w:p>
      <w:pPr>
        <w:spacing w:after="120"/>
      </w:pPr>
      <w:r>
        <w:t xml:space="preserve">Go to File → Save Subgraph. A dialog asks for a name. Click Save — your browser downloads a .json file containing the current graph, all node positions, and the original query. You can reload this file later via File → Open to restore the exact same view.</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FFF8E1" w:val="clear"/>
            <w:tcMar>
              <w:top w:type="dxa" w:w="80"/>
              <w:left w:type="dxa" w:w="100"/>
              <w:bottom w:type="dxa" w:w="80"/>
              <w:right w:type="dxa" w:w="100"/>
            </w:tcMar>
          </w:tcPr>
          <w:p>
            <w:r>
              <w:rPr>
                <w:sz w:val="22"/>
                <w:szCs w:val="22"/>
              </w:rPr>
              <w:t xml:space="preserve">💡</w:t>
            </w:r>
          </w:p>
        </w:tc>
        <w:tc>
          <w:tcPr>
            <w:tcW w:type="dxa" w:w="876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i/>
                <w:iCs/>
                <w:color w:val="5C4A00"/>
                <w:sz w:val="20"/>
                <w:szCs w:val="20"/>
              </w:rPr>
              <w:t xml:space="preserve">Give your subgraphs descriptive names so you can identify them later (e.g. 'Alkalosis_2026-06').</w:t>
            </w:r>
          </w:p>
        </w:tc>
      </w:tr>
    </w:tbl>
    <w:p>
      <w:pPr>
        <w:spacing w:after="80"/>
      </w:pPr>
      <w:r>
        <w:t xml:space="preserve"/>
      </w:r>
    </w:p>
    <w:p>
      <w:pPr>
        <w:pStyle w:val="Heading2"/>
      </w:pPr>
      <w:r>
        <w:t xml:space="preserve">6.2 Export CSV</w:t>
      </w:r>
    </w:p>
    <w:p>
      <w:pPr>
        <w:spacing w:after="120"/>
      </w:pPr>
      <w:r>
        <w:t xml:space="preserve">Go to File → Export CSV. Your browser downloads graph-data.csv containing all rows currently shown in the table, for all visible columns. You can open this file in Excel, R, or any text editor.</w:t>
      </w:r>
    </w:p>
    <w:p>
      <w:pPr>
        <w:pStyle w:val="Heading2"/>
      </w:pPr>
      <w:r>
        <w:t xml:space="preserve">6.3 Export Excel</w:t>
      </w:r>
    </w:p>
    <w:p>
      <w:pPr>
        <w:spacing w:after="120"/>
      </w:pPr>
      <w:r>
        <w:t xml:space="preserve">Go to File → Export Excel. Your browser downloads graph-data.xlsx with:</w:t>
      </w:r>
    </w:p>
    <w:p>
      <w:pPr>
        <w:pStyle w:val="ListParagraph"/>
        <w:numPr>
          <w:ilvl w:val="0"/>
          <w:numId w:val="2"/>
        </w:numPr>
        <w:spacing w:after="80"/>
      </w:pPr>
      <w:r>
        <w:t xml:space="preserve">Bold, shaded header row</w:t>
      </w:r>
    </w:p>
    <w:p>
      <w:pPr>
        <w:pStyle w:val="ListParagraph"/>
        <w:numPr>
          <w:ilvl w:val="0"/>
          <w:numId w:val="2"/>
        </w:numPr>
        <w:spacing w:after="80"/>
      </w:pPr>
      <w:r>
        <w:t xml:space="preserve">Clickable PMID and DOI hyperlinks</w:t>
      </w:r>
    </w:p>
    <w:p>
      <w:pPr>
        <w:pStyle w:val="ListParagraph"/>
        <w:numPr>
          <w:ilvl w:val="0"/>
          <w:numId w:val="2"/>
        </w:numPr>
        <w:spacing w:after="80"/>
      </w:pPr>
      <w:r>
        <w:t xml:space="preserve">Sentence cells with entity markup colored red (regulator) and green (target)</w:t>
      </w:r>
    </w:p>
    <w:p>
      <w:pPr>
        <w:pStyle w:val="ListParagraph"/>
        <w:numPr>
          <w:ilvl w:val="0"/>
          <w:numId w:val="2"/>
        </w:numPr>
        <w:spacing w:after="80"/>
      </w:pPr>
      <w:r>
        <w:t xml:space="preserve">Node names with MedScan IDs shown below in gray (when available)</w:t>
      </w:r>
    </w:p>
    <w:p>
      <w:r>
        <w:br w:type="page"/>
      </w:r>
    </w:p>
    <w:p>
      <w:pPr>
        <w:pStyle w:val="Heading1"/>
      </w:pPr>
      <w:r>
        <w:t xml:space="preserve">7. Using Multiple Tabs</w:t>
      </w:r>
    </w:p>
    <w:p>
      <w:pPr>
        <w:spacing w:after="120"/>
      </w:pPr>
      <w:r>
        <w:t xml:space="preserve">Graph Explorer supports multiple independent graph sessions in the same browser window, each in its own tab. Each tab has its own graph, query history, table data, and layout.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Open a new tab</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Click the + button at the right end of the tab bar</w:t>
            </w:r>
          </w:p>
        </w:tc>
      </w:tr>
      <w:tr>
        <w:tc>
          <w:tcPr>
            <w:tcW w:type="dxa" w:w="300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b/>
                <w:bCs/>
                <w:sz w:val="20"/>
                <w:szCs w:val="20"/>
              </w:rPr>
              <w:t xml:space="preserve">Switch tabs</w:t>
            </w:r>
          </w:p>
        </w:tc>
        <w:tc>
          <w:tcPr>
            <w:tcW w:type="dxa" w:w="636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sz w:val="20"/>
                <w:szCs w:val="20"/>
              </w:rPr>
              <w:t xml:space="preserve">Click the tab name</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Close a tab</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Click the × on the tab (not available when only one tab is open)</w:t>
            </w:r>
          </w:p>
        </w:tc>
      </w:tr>
      <w:tr>
        <w:tc>
          <w:tcPr>
            <w:tcW w:type="dxa" w:w="300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b/>
                <w:bCs/>
                <w:sz w:val="20"/>
                <w:szCs w:val="20"/>
              </w:rPr>
              <w:t xml:space="preserve">Tab name</w:t>
            </w:r>
          </w:p>
        </w:tc>
        <w:tc>
          <w:tcPr>
            <w:tcW w:type="dxa" w:w="636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sz w:val="20"/>
                <w:szCs w:val="20"/>
              </w:rPr>
              <w:t xml:space="preserve">Set automatically from the query, pathway name, or file name; shown truncated if long</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8F4FD" w:val="clear"/>
            <w:tcMar>
              <w:top w:type="dxa" w:w="80"/>
              <w:left w:type="dxa" w:w="100"/>
              <w:bottom w:type="dxa" w:w="80"/>
              <w:right w:type="dxa" w:w="100"/>
            </w:tcMar>
          </w:tcPr>
          <w:p>
            <w:r>
              <w:rPr>
                <w:sz w:val="22"/>
                <w:szCs w:val="22"/>
              </w:rPr>
              <w:t xml:space="preserve">📌</w:t>
            </w:r>
          </w:p>
        </w:tc>
        <w:tc>
          <w:tcPr>
            <w:tcW w:type="dxa" w:w="87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color w:val="0A3D5C"/>
                <w:sz w:val="20"/>
                <w:szCs w:val="20"/>
              </w:rPr>
              <w:t xml:space="preserve">When you load an RNEF file with multiple pathways and select more than one in the checklist, each additional pathway automatically opens in its own tab.</w:t>
            </w:r>
          </w:p>
        </w:tc>
      </w:tr>
    </w:tbl>
    <w:p>
      <w:r>
        <w:br w:type="page"/>
      </w:r>
    </w:p>
    <w:p>
      <w:pPr>
        <w:pStyle w:val="Heading1"/>
      </w:pPr>
      <w:r>
        <w:t xml:space="preserve">8. Node Cloning</w:t>
      </w:r>
    </w:p>
    <w:p>
      <w:pPr>
        <w:spacing w:after="120"/>
      </w:pPr>
      <w:r>
        <w:t xml:space="preserve">A clone is a second (or third) visual copy of the same biological entity. Clones allow you to show the same molecule or gene in multiple positions in the pathway diagram — for example, a metabolite that participates in two different reactions on opposite sides of the canvas.</w:t>
      </w:r>
    </w:p>
    <w:p>
      <w:pPr>
        <w:pStyle w:val="Heading2"/>
      </w:pPr>
      <w:r>
        <w:t xml:space="preserve">8.1 Clones in RNEF Files</w:t>
      </w:r>
    </w:p>
    <w:p>
      <w:pPr>
        <w:spacing w:after="120"/>
      </w:pPr>
      <w:r>
        <w:t xml:space="preserve">When you load an RNEF pathway, nodes that appear more than once in the original Pathway Studio layout are automatically imported as clones. They are placed at the positions specified in the RNEF file.</w:t>
      </w:r>
    </w:p>
    <w:p>
      <w:pPr>
        <w:pStyle w:val="Heading2"/>
      </w:pPr>
      <w:r>
        <w:t xml:space="preserve">8.2 Creating a Clone Manually</w:t>
      </w:r>
    </w:p>
    <w:p>
      <w:pPr>
        <w:spacing w:after="120"/>
      </w:pPr>
      <w:r>
        <w:t xml:space="preserve">Right-click any non-clone node on the canvas and choose Clone node. A copy of the node appears 140 pixels to the right of the original. You can then drag it to any position and connect it to edges.</w:t>
      </w:r>
    </w:p>
    <w:p>
      <w:pPr>
        <w:pStyle w:val="Heading2"/>
      </w:pPr>
      <w:r>
        <w:t xml:space="preserve">8.3 Recognising Clones</w:t>
      </w:r>
    </w:p>
    <w:p>
      <w:pPr>
        <w:spacing w:after="120"/>
      </w:pPr>
      <w:r>
        <w:t xml:space="preserve">Clone nodes are marked with a gold double-border. The node tooltip shows a gold diamond badge: "⬦ Clone — same entity as original". Clones share the same name, color, and biological identity as the original.</w:t>
      </w:r>
    </w:p>
    <w:p>
      <w:pPr>
        <w:pStyle w:val="Heading2"/>
      </w:pPr>
      <w:r>
        <w:t xml:space="preserve">8.4 Removing a Clone</w:t>
      </w:r>
    </w:p>
    <w:p>
      <w:pPr>
        <w:spacing w:after="120"/>
      </w:pPr>
      <w:r>
        <w:t xml:space="preserve">Right-click a clone node and choose Remove clone. Only the clone is removed; the original node is unaffected. The Remove clone option appears only on clone nodes.</w:t>
      </w:r>
    </w:p>
    <w:p>
      <w:pPr>
        <w:pStyle w:val="Heading2"/>
      </w:pPr>
      <w:r>
        <w:t xml:space="preserve">8.5 Clones in Saved Files</w:t>
      </w:r>
    </w:p>
    <w:p>
      <w:pPr>
        <w:spacing w:after="120"/>
      </w:pPr>
      <w:r>
        <w:t xml:space="preserve">Clones are saved as part of the graph when you use File → Save Subgraph. When you reopen the file, all clones are restored at their saved positions.</w:t>
      </w:r>
    </w:p>
    <w:p>
      <w:r>
        <w:br w:type="page"/>
      </w:r>
    </w:p>
    <w:p>
      <w:pPr>
        <w:pStyle w:val="Heading1"/>
      </w:pPr>
      <w:r>
        <w:t xml:space="preserve">9. Selection, Copy &amp; Paste</w:t>
      </w:r>
    </w:p>
    <w:p>
      <w:pPr>
        <w:pStyle w:val="Heading2"/>
      </w:pPr>
      <w:r>
        <w:t xml:space="preserve">9.1 Selecting Elements</w:t>
      </w:r>
    </w:p>
    <w:p>
      <w:pPr>
        <w:pStyle w:val="ListParagraph"/>
        <w:numPr>
          <w:ilvl w:val="0"/>
          <w:numId w:val="2"/>
        </w:numPr>
        <w:spacing w:after="80"/>
      </w:pPr>
      <w:r>
        <w:rPr>
          <w:b/>
          <w:bCs/>
        </w:rPr>
        <w:t xml:space="preserve">Click a node or edge — </w:t>
      </w:r>
      <w:r>
        <w:t xml:space="preserve">Selects just that element (click canvas background to deselect)</w:t>
      </w:r>
    </w:p>
    <w:p>
      <w:pPr>
        <w:pStyle w:val="ListParagraph"/>
        <w:numPr>
          <w:ilvl w:val="0"/>
          <w:numId w:val="2"/>
        </w:numPr>
        <w:spacing w:after="80"/>
      </w:pPr>
      <w:r>
        <w:rPr>
          <w:b/>
          <w:bCs/>
        </w:rPr>
        <w:t xml:space="preserve">Box select (default drag) — </w:t>
      </w:r>
      <w:r>
        <w:t xml:space="preserve">Drag on empty canvas to draw a selection rectangle; all elements inside are selected</w:t>
      </w:r>
    </w:p>
    <w:p>
      <w:pPr>
        <w:pStyle w:val="ListParagraph"/>
        <w:numPr>
          <w:ilvl w:val="0"/>
          <w:numId w:val="2"/>
        </w:numPr>
        <w:spacing w:after="80"/>
      </w:pPr>
      <w:r>
        <w:rPr>
          <w:b/>
          <w:bCs/>
        </w:rPr>
        <w:t xml:space="preserve">Select → All Nodes — </w:t>
      </w:r>
      <w:r>
        <w:t xml:space="preserve">Selects every node in the graph</w:t>
      </w:r>
    </w:p>
    <w:p>
      <w:pPr>
        <w:pStyle w:val="ListParagraph"/>
        <w:numPr>
          <w:ilvl w:val="0"/>
          <w:numId w:val="2"/>
        </w:numPr>
        <w:spacing w:after="80"/>
      </w:pPr>
      <w:r>
        <w:rPr>
          <w:b/>
          <w:bCs/>
        </w:rPr>
        <w:t xml:space="preserve">Select → All Edges — </w:t>
      </w:r>
      <w:r>
        <w:t xml:space="preserve">Selects every edge</w:t>
      </w:r>
    </w:p>
    <w:p>
      <w:pPr>
        <w:pStyle w:val="ListParagraph"/>
        <w:numPr>
          <w:ilvl w:val="0"/>
          <w:numId w:val="2"/>
        </w:numPr>
        <w:spacing w:after="80"/>
      </w:pPr>
      <w:r>
        <w:rPr>
          <w:b/>
          <w:bCs/>
        </w:rPr>
        <w:t xml:space="preserve">Select → Invert Selection — </w:t>
      </w:r>
      <w:r>
        <w:t xml:space="preserve">Swaps selected and unselected elements</w:t>
      </w:r>
    </w:p>
    <w:p>
      <w:pPr>
        <w:spacing w:after="80"/>
      </w:pPr>
      <w:r>
        <w:t xml:space="preserve"/>
      </w:r>
    </w:p>
    <w:p>
      <w:pPr>
        <w:spacing w:after="120"/>
      </w:pPr>
      <w:r>
        <w:t xml:space="preserve">The header bar shows a count of selected elements ('3 nodes selected · 2 relations selected') while a selection is active.</w:t>
      </w:r>
    </w:p>
    <w:p>
      <w:pPr>
        <w:pStyle w:val="Heading2"/>
      </w:pPr>
      <w:r>
        <w:t xml:space="preserve">9.2 Move Mode vs. Box Select Mode</w:t>
      </w:r>
    </w:p>
    <w:p>
      <w:pPr>
        <w:spacing w:after="120"/>
      </w:pPr>
      <w:r>
        <w:t xml:space="preserve">By default, dragging on empty canvas performs box selection. To pan the canvas instead, enable Select → Move Mode (it shows a ✓ when active). Disable it again to return to box selection.</w:t>
      </w:r>
    </w:p>
    <w:p>
      <w:pPr>
        <w:pStyle w:val="Heading2"/>
      </w:pPr>
      <w:r>
        <w:t xml:space="preserve">9.3 Copy</w:t>
      </w:r>
    </w:p>
    <w:p>
      <w:pPr>
        <w:spacing w:after="120"/>
      </w:pPr>
      <w:r>
        <w:t xml:space="preserve">Select the nodes and/or edges you want to copy, then use Edit → Copy. When edges are copied, their endpoint nodes are included automatically. A message in the header bar confirms what was copied.</w:t>
      </w:r>
    </w:p>
    <w:p>
      <w:pPr>
        <w:pStyle w:val="Heading2"/>
      </w:pPr>
      <w:r>
        <w:t xml:space="preserve">9.4 Paste</w:t>
      </w:r>
    </w:p>
    <w:p>
      <w:pPr>
        <w:spacing w:after="120"/>
      </w:pPr>
      <w:r>
        <w:t xml:space="preserve">Use Edit → Paste (grayed out when nothing is in the clipboard). The copied elements appear in the same graph, offset by 60 pixels from their original positions, and are pre-selected so you can move them immediately.</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FFF8E1" w:val="clear"/>
            <w:tcMar>
              <w:top w:type="dxa" w:w="80"/>
              <w:left w:type="dxa" w:w="100"/>
              <w:bottom w:type="dxa" w:w="80"/>
              <w:right w:type="dxa" w:w="100"/>
            </w:tcMar>
          </w:tcPr>
          <w:p>
            <w:r>
              <w:rPr>
                <w:sz w:val="22"/>
                <w:szCs w:val="22"/>
              </w:rPr>
              <w:t xml:space="preserve">💡</w:t>
            </w:r>
          </w:p>
        </w:tc>
        <w:tc>
          <w:tcPr>
            <w:tcW w:type="dxa" w:w="876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i/>
                <w:iCs/>
                <w:color w:val="5C4A00"/>
                <w:sz w:val="20"/>
                <w:szCs w:val="20"/>
              </w:rPr>
              <w:t xml:space="preserve">You can copy elements from one tab and paste them into a different tab.</w:t>
            </w:r>
          </w:p>
        </w:tc>
      </w:tr>
    </w:tbl>
    <w:p>
      <w:pPr>
        <w:spacing w:after="80"/>
      </w:pPr>
      <w:r>
        <w:t xml:space="preserve"/>
      </w:r>
    </w:p>
    <w:p>
      <w:pPr>
        <w:pStyle w:val="Heading2"/>
      </w:pPr>
      <w:r>
        <w:t xml:space="preserve">9.5 Delete</w:t>
      </w:r>
    </w:p>
    <w:p>
      <w:pPr>
        <w:spacing w:after="120"/>
      </w:pPr>
      <w:r>
        <w:t xml:space="preserve">Select elements and use Edit → Delete to remove them from the canvas. Both nodes and edges are removed.</w:t>
      </w:r>
    </w:p>
    <w:p>
      <w:r>
        <w:br w:type="page"/>
      </w:r>
    </w:p>
    <w:p>
      <w:pPr>
        <w:pStyle w:val="Heading1"/>
      </w:pPr>
      <w:r>
        <w:t xml:space="preserve">10. Editing Properties</w:t>
      </w:r>
    </w:p>
    <w:p>
      <w:pPr>
        <w:spacing w:after="120"/>
      </w:pPr>
      <w:r>
        <w:t xml:space="preserve">Graph Explorer lets you view and update the Neo4j properties of nodes and edges directly from the interface. Changes are written to the database immediately.</w:t>
      </w:r>
    </w:p>
    <w:p>
      <w:pPr>
        <w:pStyle w:val="Heading2"/>
      </w:pPr>
      <w:r>
        <w:t xml:space="preserve">10.1 Opening the Property Editor</w:t>
      </w:r>
    </w:p>
    <w:p>
      <w:pPr>
        <w:spacing w:after="120"/>
      </w:pPr>
      <w:r>
        <w:t xml:space="preserve">Right-click any node or edge on the canvas and choose Edit Properties. You can also right-click a row in the Table view to open the property editor for that edge.</w:t>
      </w:r>
    </w:p>
    <w:p>
      <w:pPr>
        <w:pStyle w:val="Heading2"/>
      </w:pPr>
      <w:r>
        <w:t xml:space="preserve">10.2 Editing Properties</w:t>
      </w:r>
    </w:p>
    <w:p>
      <w:pPr>
        <w:spacing w:after="120"/>
      </w:pPr>
      <w:r>
        <w:t xml:space="preserve">The dialog lists all current properties as key-value pairs. You can:</w:t>
      </w:r>
    </w:p>
    <w:p>
      <w:pPr>
        <w:pStyle w:val="ListParagraph"/>
        <w:numPr>
          <w:ilvl w:val="0"/>
          <w:numId w:val="2"/>
        </w:numPr>
        <w:spacing w:after="80"/>
      </w:pPr>
      <w:r>
        <w:rPr>
          <w:b/>
          <w:bCs/>
        </w:rPr>
        <w:t xml:space="preserve">Edit a value — </w:t>
      </w:r>
      <w:r>
        <w:t xml:space="preserve">Click in the value field and type</w:t>
      </w:r>
    </w:p>
    <w:p>
      <w:pPr>
        <w:pStyle w:val="ListParagraph"/>
        <w:numPr>
          <w:ilvl w:val="0"/>
          <w:numId w:val="2"/>
        </w:numPr>
        <w:spacing w:after="80"/>
      </w:pPr>
      <w:r>
        <w:rPr>
          <w:b/>
          <w:bCs/>
        </w:rPr>
        <w:t xml:space="preserve">Edit a key — </w:t>
      </w:r>
      <w:r>
        <w:t xml:space="preserve">Click in the key field and type</w:t>
      </w:r>
    </w:p>
    <w:p>
      <w:pPr>
        <w:pStyle w:val="ListParagraph"/>
        <w:numPr>
          <w:ilvl w:val="0"/>
          <w:numId w:val="2"/>
        </w:numPr>
        <w:spacing w:after="80"/>
      </w:pPr>
      <w:r>
        <w:rPr>
          <w:b/>
          <w:bCs/>
        </w:rPr>
        <w:t xml:space="preserve">Delete a property — </w:t>
      </w:r>
      <w:r>
        <w:t xml:space="preserve">Click the ✕ button on that row</w:t>
      </w:r>
    </w:p>
    <w:p>
      <w:pPr>
        <w:pStyle w:val="ListParagraph"/>
        <w:numPr>
          <w:ilvl w:val="0"/>
          <w:numId w:val="2"/>
        </w:numPr>
        <w:spacing w:after="80"/>
      </w:pPr>
      <w:r>
        <w:rPr>
          <w:b/>
          <w:bCs/>
        </w:rPr>
        <w:t xml:space="preserve">Add a new property — </w:t>
      </w:r>
      <w:r>
        <w:t xml:space="preserve">Click the Add property button; a new blank row appears</w:t>
      </w:r>
    </w:p>
    <w:p>
      <w:pPr>
        <w:spacing w:after="80"/>
      </w:pPr>
      <w:r>
        <w:t xml:space="preserve"/>
      </w:r>
    </w:p>
    <w:p>
      <w:pPr>
        <w:pStyle w:val="Heading2"/>
      </w:pPr>
      <w:r>
        <w:t xml:space="preserve">10.3 Saving</w:t>
      </w:r>
    </w:p>
    <w:p>
      <w:pPr>
        <w:spacing w:after="120"/>
      </w:pPr>
      <w:r>
        <w:t xml:space="preserve">Click Save. The application sends the updated properties to Neo4j. A green 'Saved!' message confirms success and the dialog closes automatically. If there is an error, a red message explains what went wrong.</w:t>
      </w:r>
    </w:p>
    <w:p>
      <w:pPr>
        <w:pStyle w:val="Heading2"/>
      </w:pPr>
      <w:r>
        <w:t xml:space="preserve">10.4 References (Edges Only)</w:t>
      </w:r>
    </w:p>
    <w:p>
      <w:pPr>
        <w:spacing w:after="120"/>
      </w:pPr>
      <w:r>
        <w:t xml:space="preserve">When editing an edge, a second section below the Neo4j properties shows the PostgreSQL references linked to that relation (title, year, authors, PMID, MedScan sentence). This section is read-only.</w:t>
      </w:r>
    </w:p>
    <w:p>
      <w:r>
        <w:br w:type="page"/>
      </w:r>
    </w:p>
    <w:p>
      <w:pPr>
        <w:pStyle w:val="Heading1"/>
      </w:pPr>
      <w:r>
        <w:t xml:space="preserve">11. Administrator Features</w:t>
      </w:r>
    </w:p>
    <w:p>
      <w:pPr>
        <w:spacing w:after="120"/>
      </w:pPr>
      <w:r>
        <w:t xml:space="preserve">The following features are available only to users with the administrator role.</w:t>
      </w:r>
    </w:p>
    <w:p>
      <w:pPr>
        <w:pStyle w:val="Heading2"/>
      </w:pPr>
      <w:r>
        <w:t xml:space="preserve">11.1 User Management</w:t>
      </w:r>
    </w:p>
    <w:p>
      <w:pPr>
        <w:spacing w:after="120"/>
      </w:pPr>
      <w:r>
        <w:t xml:space="preserve">Click the Users button in the header bar. The User Management dialog shows all registered accounts with their roles. From this dialog you can:</w:t>
      </w:r>
    </w:p>
    <w:p>
      <w:pPr>
        <w:pStyle w:val="ListParagraph"/>
        <w:numPr>
          <w:ilvl w:val="0"/>
          <w:numId w:val="2"/>
        </w:numPr>
        <w:spacing w:after="80"/>
      </w:pPr>
      <w:r>
        <w:rPr>
          <w:b/>
          <w:bCs/>
        </w:rPr>
        <w:t xml:space="preserve">Add a user — </w:t>
      </w:r>
      <w:r>
        <w:t xml:space="preserve">Enter a username, password, and role (User or Admin), then click Add</w:t>
      </w:r>
    </w:p>
    <w:p>
      <w:pPr>
        <w:pStyle w:val="ListParagraph"/>
        <w:numPr>
          <w:ilvl w:val="0"/>
          <w:numId w:val="2"/>
        </w:numPr>
        <w:spacing w:after="80"/>
      </w:pPr>
      <w:r>
        <w:rPr>
          <w:b/>
          <w:bCs/>
        </w:rPr>
        <w:t xml:space="preserve">Remove a user — </w:t>
      </w:r>
      <w:r>
        <w:t xml:space="preserve">Click the Remove button next to any account (the built-in admin account cannot be deleted)</w:t>
      </w:r>
    </w:p>
    <w:p>
      <w:pPr>
        <w:spacing w:after="80"/>
      </w:pPr>
      <w:r>
        <w:t xml:space="preserve"/>
      </w:r>
    </w:p>
    <w:p>
      <w:pPr>
        <w:pStyle w:val="Heading2"/>
      </w:pPr>
      <w:r>
        <w:t xml:space="preserve">11.2 SQL Query</w:t>
      </w:r>
    </w:p>
    <w:p>
      <w:pPr>
        <w:spacing w:after="120"/>
      </w:pPr>
      <w:r>
        <w:t xml:space="preserve">Go to Database → SQL Query. A dialog lets you type a direct PostgreSQL SELECT query and see the results in a table. This is useful for diagnosing reference data or checking the PostgreSQL schema.</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8F4FD" w:val="clear"/>
            <w:tcMar>
              <w:top w:type="dxa" w:w="80"/>
              <w:left w:type="dxa" w:w="100"/>
              <w:bottom w:type="dxa" w:w="80"/>
              <w:right w:type="dxa" w:w="100"/>
            </w:tcMar>
          </w:tcPr>
          <w:p>
            <w:r>
              <w:rPr>
                <w:sz w:val="22"/>
                <w:szCs w:val="22"/>
              </w:rPr>
              <w:t xml:space="preserve">📌</w:t>
            </w:r>
          </w:p>
        </w:tc>
        <w:tc>
          <w:tcPr>
            <w:tcW w:type="dxa" w:w="87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color w:val="0A3D5C"/>
                <w:sz w:val="20"/>
                <w:szCs w:val="20"/>
              </w:rPr>
              <w:t xml:space="preserve">Only SELECT and WITH statements are permitted. Any other statement is blocked by the server.</w:t>
            </w:r>
          </w:p>
        </w:tc>
      </w:tr>
    </w:tbl>
    <w:p>
      <w:r>
        <w:br w:type="page"/>
      </w:r>
    </w:p>
    <w:p>
      <w:pPr>
        <w:pStyle w:val="Heading1"/>
      </w:pPr>
      <w:r>
        <w:t xml:space="preserve">12. Tips &amp; Troubleshooting</w:t>
      </w:r>
    </w:p>
    <w:p>
      <w:pPr>
        <w:pStyle w:val="Heading2"/>
      </w:pPr>
      <w:r>
        <w:t xml:space="preserve">12.1 Graph is Blank After Loading a File</w:t>
      </w:r>
    </w:p>
    <w:p>
      <w:pPr>
        <w:spacing w:after="120"/>
      </w:pPr>
      <w:r>
        <w:t xml:space="preserve">If you switch to a different tab immediately after opening a file, the layout may not have finished rendering. Switch back to the tab and click the Fit button to restore the view.</w:t>
      </w:r>
    </w:p>
    <w:p>
      <w:pPr>
        <w:pStyle w:val="Heading2"/>
      </w:pPr>
      <w:r>
        <w:t xml:space="preserve">12.2 Nodes Are Stacked on Top of Each Other</w:t>
      </w:r>
    </w:p>
    <w:p>
      <w:pPr>
        <w:spacing w:after="120"/>
      </w:pPr>
      <w:r>
        <w:t xml:space="preserve">This can happen when a saved JSON file is missing position data for some nodes. Apply any automatic layout from the View menu to separate them, then drag nodes to desired positions and save again.</w:t>
      </w:r>
    </w:p>
    <w:p>
      <w:pPr>
        <w:pStyle w:val="Heading2"/>
      </w:pPr>
      <w:r>
        <w:t xml:space="preserve">12.3 Enrichment Did Not Run</w:t>
      </w:r>
    </w:p>
    <w:p>
      <w:pPr>
        <w:spacing w:after="120"/>
      </w:pPr>
      <w:r>
        <w:t xml:space="preserve">'Loading matching data from database…' should appear briefly after opening a file. If it does not appear, the Neo4j connection may be unavailable. The graph still loads from the file; enrichment simply adds the latest database properties.</w:t>
      </w:r>
    </w:p>
    <w:p>
      <w:pPr>
        <w:pStyle w:val="Heading2"/>
      </w:pPr>
      <w:r>
        <w:t xml:space="preserve">12.4 References Do Not Load in Table View</w:t>
      </w:r>
    </w:p>
    <w:p>
      <w:pPr>
        <w:spacing w:after="120"/>
      </w:pPr>
      <w:r>
        <w:t xml:space="preserve">The References Table requires a connection to the PostgreSQL database. If the table shows only blank reference columns, ask your administrator to verify the database connection. You can still switch to Relations Table mode, which does not require PostgreSQL.</w:t>
      </w:r>
    </w:p>
    <w:p>
      <w:pPr>
        <w:pStyle w:val="Heading2"/>
      </w:pPr>
      <w:r>
        <w:t xml:space="preserve">12.5 Export Excel Button Does Nothing</w:t>
      </w:r>
    </w:p>
    <w:p>
      <w:pPr>
        <w:spacing w:after="120"/>
      </w:pPr>
      <w:r>
        <w:t xml:space="preserve">The Excel export requires the ExcelJS library to load from the internet. Ensure your browser has network access and is not blocking third-party scripts.</w:t>
      </w:r>
    </w:p>
    <w:p>
      <w:pPr>
        <w:pStyle w:val="Heading2"/>
      </w:pPr>
      <w:r>
        <w:t xml:space="preserve">12.6 Session Expired</w:t>
      </w:r>
    </w:p>
    <w:p>
      <w:pPr>
        <w:spacing w:after="120"/>
      </w:pPr>
      <w:r>
        <w:t xml:space="preserve">After 12 hours of inactivity the session token expires. You will be automatically returned to the login screen. Your in-memory state is lost — make sure to use File → Save Subgraph before long breaks if you want to preserve your work.</w:t>
      </w:r>
    </w:p>
    <w:p>
      <w:pPr>
        <w:pStyle w:val="Heading2"/>
      </w:pPr>
      <w:r>
        <w:t xml:space="preserve">12.7 Keyboard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Ctrl+Enter / Cmd+Enter</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Run the Cypher query (query bar must be visible and focused)</w:t>
            </w:r>
          </w:p>
        </w:tc>
      </w:tr>
    </w:tbl>
    <w:p>
      <w:r>
        <w:br w:type="page"/>
      </w:r>
    </w:p>
    <w:p>
      <w:pPr>
        <w:pStyle w:val="Heading1"/>
      </w:pPr>
      <w:r>
        <w:t xml:space="preserve">13. Quick Reference Card</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Load Cypher query</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Database → Cypher Query  →  type query  →  Run (or Ctrl+Enter)</w:t>
            </w:r>
          </w:p>
        </w:tc>
      </w:tr>
      <w:tr>
        <w:tc>
          <w:tcPr>
            <w:tcW w:type="dxa" w:w="300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b/>
                <w:bCs/>
                <w:sz w:val="20"/>
                <w:szCs w:val="20"/>
              </w:rPr>
              <w:t xml:space="preserve">Open saved file</w:t>
            </w:r>
          </w:p>
        </w:tc>
        <w:tc>
          <w:tcPr>
            <w:tcW w:type="dxa" w:w="636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sz w:val="20"/>
                <w:szCs w:val="20"/>
              </w:rPr>
              <w:t xml:space="preserve">File → Open…  →  select .json or .rnef</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Save current graph</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File → Save Subgraph  →  enter name  →  Save</w:t>
            </w:r>
          </w:p>
        </w:tc>
      </w:tr>
      <w:tr>
        <w:tc>
          <w:tcPr>
            <w:tcW w:type="dxa" w:w="300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b/>
                <w:bCs/>
                <w:sz w:val="20"/>
                <w:szCs w:val="20"/>
              </w:rPr>
              <w:t xml:space="preserve">Export data</w:t>
            </w:r>
          </w:p>
        </w:tc>
        <w:tc>
          <w:tcPr>
            <w:tcW w:type="dxa" w:w="636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sz w:val="20"/>
                <w:szCs w:val="20"/>
              </w:rPr>
              <w:t xml:space="preserve">File → Export CSV  or  File → Export Excel</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Switch view</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View → Graph  /  View → References Table  /  View → Relations Table</w:t>
            </w:r>
          </w:p>
        </w:tc>
      </w:tr>
      <w:tr>
        <w:tc>
          <w:tcPr>
            <w:tcW w:type="dxa" w:w="300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b/>
                <w:bCs/>
                <w:sz w:val="20"/>
                <w:szCs w:val="20"/>
              </w:rPr>
              <w:t xml:space="preserve">Change layout</w:t>
            </w:r>
          </w:p>
        </w:tc>
        <w:tc>
          <w:tcPr>
            <w:tcW w:type="dxa" w:w="636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sz w:val="20"/>
                <w:szCs w:val="20"/>
              </w:rPr>
              <w:t xml:space="preserve">View → Layout → CoSE / Dagre / Circle / Concentric / Grid</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Add column</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View → Columns…  →  check column  →  Apply</w:t>
            </w:r>
          </w:p>
        </w:tc>
      </w:tr>
      <w:tr>
        <w:tc>
          <w:tcPr>
            <w:tcW w:type="dxa" w:w="300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b/>
                <w:bCs/>
                <w:sz w:val="20"/>
                <w:szCs w:val="20"/>
              </w:rPr>
              <w:t xml:space="preserve">Filter table rows</w:t>
            </w:r>
          </w:p>
        </w:tc>
        <w:tc>
          <w:tcPr>
            <w:tcW w:type="dxa" w:w="636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sz w:val="20"/>
                <w:szCs w:val="20"/>
              </w:rPr>
              <w:t xml:space="preserve">View → Filter Rows  →  type in search bar</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Color sentences</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View → Color Sentences</w:t>
            </w:r>
          </w:p>
        </w:tc>
      </w:tr>
      <w:tr>
        <w:tc>
          <w:tcPr>
            <w:tcW w:type="dxa" w:w="300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b/>
                <w:bCs/>
                <w:sz w:val="20"/>
                <w:szCs w:val="20"/>
              </w:rPr>
              <w:t xml:space="preserve">New tab</w:t>
            </w:r>
          </w:p>
        </w:tc>
        <w:tc>
          <w:tcPr>
            <w:tcW w:type="dxa" w:w="636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sz w:val="20"/>
                <w:szCs w:val="20"/>
              </w:rPr>
              <w:t xml:space="preserve">Click + in the tab bar</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Select area</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Select → Select Area  →  drag on canvas</w:t>
            </w:r>
          </w:p>
        </w:tc>
      </w:tr>
      <w:tr>
        <w:tc>
          <w:tcPr>
            <w:tcW w:type="dxa" w:w="300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b/>
                <w:bCs/>
                <w:sz w:val="20"/>
                <w:szCs w:val="20"/>
              </w:rPr>
              <w:t xml:space="preserve">Copy / Paste</w:t>
            </w:r>
          </w:p>
        </w:tc>
        <w:tc>
          <w:tcPr>
            <w:tcW w:type="dxa" w:w="636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sz w:val="20"/>
                <w:szCs w:val="20"/>
              </w:rPr>
              <w:t xml:space="preserve">Edit → Copy  →  Edit → Paste</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Delete selection</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Edit → Delete</w:t>
            </w:r>
          </w:p>
        </w:tc>
      </w:tr>
      <w:tr>
        <w:tc>
          <w:tcPr>
            <w:tcW w:type="dxa" w:w="300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b/>
                <w:bCs/>
                <w:sz w:val="20"/>
                <w:szCs w:val="20"/>
              </w:rPr>
              <w:t xml:space="preserve">Clone a node</w:t>
            </w:r>
          </w:p>
        </w:tc>
        <w:tc>
          <w:tcPr>
            <w:tcW w:type="dxa" w:w="636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sz w:val="20"/>
                <w:szCs w:val="20"/>
              </w:rPr>
              <w:t xml:space="preserve">Right-click node  →  Clone node</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Remove clone</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Right-click clone  →  Remove clone</w:t>
            </w:r>
          </w:p>
        </w:tc>
      </w:tr>
      <w:tr>
        <w:tc>
          <w:tcPr>
            <w:tcW w:type="dxa" w:w="300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b/>
                <w:bCs/>
                <w:sz w:val="20"/>
                <w:szCs w:val="20"/>
              </w:rPr>
              <w:t xml:space="preserve">Edit properties</w:t>
            </w:r>
          </w:p>
        </w:tc>
        <w:tc>
          <w:tcPr>
            <w:tcW w:type="dxa" w:w="636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sz w:val="20"/>
                <w:szCs w:val="20"/>
              </w:rPr>
              <w:t xml:space="preserve">Right-click node or edge  →  Edit Properties</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Change password</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Click Change Password in header</w:t>
            </w:r>
          </w:p>
        </w:tc>
      </w:tr>
      <w:tr>
        <w:tc>
          <w:tcPr>
            <w:tcW w:type="dxa" w:w="300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b/>
                <w:bCs/>
                <w:sz w:val="20"/>
                <w:szCs w:val="20"/>
              </w:rPr>
              <w:t xml:space="preserve">Manage users (admin)</w:t>
            </w:r>
          </w:p>
        </w:tc>
        <w:tc>
          <w:tcPr>
            <w:tcW w:type="dxa" w:w="6360"/>
            <w:tcBorders>
              <w:top w:val="single" w:color="CCCCCC" w:sz="1"/>
              <w:left w:val="single" w:color="CCCCCC" w:sz="1"/>
              <w:bottom w:val="single" w:color="CCCCCC" w:sz="1"/>
              <w:right w:val="single" w:color="CCCCCC" w:sz="1"/>
            </w:tcBorders>
            <w:shd w:fill="FAFBFF" w:val="clear"/>
            <w:tcMar>
              <w:top w:type="dxa" w:w="80"/>
              <w:left w:type="dxa" w:w="120"/>
              <w:bottom w:type="dxa" w:w="80"/>
              <w:right w:type="dxa" w:w="120"/>
            </w:tcMar>
          </w:tcPr>
          <w:p>
            <w:r>
              <w:rPr>
                <w:sz w:val="20"/>
                <w:szCs w:val="20"/>
              </w:rPr>
              <w:t xml:space="preserve">Click Users in header</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b/>
                <w:bCs/>
                <w:sz w:val="20"/>
                <w:szCs w:val="20"/>
              </w:rPr>
              <w:t xml:space="preserve">SQL query (admin)</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sz w:val="20"/>
                <w:szCs w:val="20"/>
              </w:rPr>
              <w:t xml:space="preserve">Database → SQL Query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360"/>
      </w:tabs>
    </w:pPr>
    <w:r>
      <w:rPr>
        <w:color w:val="888888"/>
        <w:sz w:val="18"/>
        <w:szCs w:val="18"/>
      </w:rPr>
      <w:t xml:space="preserve">Graph Explorer — User Manual</w:t>
    </w:r>
    <w:r>
      <w:rPr>
        <w:color w:val="888888"/>
        <w:sz w:val="18"/>
        <w:szCs w:val="18"/>
      </w:rPr>
      <w:t xml:space="preserve">	Elsevier  ·  Biological Process Group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4A8A" w:sz="6" w:space="4"/>
      </w:pBdr>
      <w:spacing w:after="18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4A8A"/>
      <w:sz w:val="28"/>
      <w:szCs w:val="28"/>
    </w:rPr>
  </w:style>
  <w:style w:type="paragraph" w:styleId="Heading3">
    <w:name w:val="Heading 3"/>
    <w:basedOn w:val="Normal"/>
    <w:next w:val="Normal"/>
    <w:qFormat/>
    <w:pPr>
      <w:spacing w:after="80" w:before="2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2026-06-11T09:51:00.337Z</dcterms:created>
  <dcterms:modified xsi:type="dcterms:W3CDTF">2026-06-11T09:51:00.337Z</dcterms:modified>
</cp:coreProperties>
</file>

<file path=docProps/custom.xml><?xml version="1.0" encoding="utf-8"?>
<Properties xmlns="http://schemas.openxmlformats.org/officeDocument/2006/custom-properties" xmlns:vt="http://schemas.openxmlformats.org/officeDocument/2006/docPropsVTypes"/>
</file>