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jc w:val="center"/>
      </w:pPr>
      <w:r>
        <w:rPr>
          <w:b/>
          <w:sz w:val="44"/>
        </w:rPr>
        <w:t>Graph Explorer</w:t>
      </w:r>
    </w:p>
    <w:p>
      <w:pPr>
        <w:jc w:val="center"/>
      </w:pPr>
      <w:r>
        <w:t>User Manual</w:t>
      </w:r>
    </w:p>
    <w:p>
      <w:pPr>
        <w:jc w:val="center"/>
      </w:pPr>
      <w:r>
        <w:t>Version 2.2.0  ·  June 2026</w:t>
      </w:r>
    </w:p>
    <w:p>
      <w:pPr>
        <w:jc w:val="center"/>
      </w:pPr>
      <w:r>
        <w:t>Biological Process Group  ·  Elsevier</w:t>
      </w:r>
    </w:p>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b/>
              </w:rPr>
              <w:t>About this manual</w:t>
              <w:br/>
            </w:r>
            <w:r>
              <w:t>This manual explains how to use every feature of Graph Explorer — a web application for exploring biological knowledge graphs, loading pathway files, examining literature evidence, and curating graph data.</w:t>
            </w:r>
          </w:p>
        </w:tc>
      </w:tr>
    </w:tbl>
    <w:p/>
    <w:p>
      <w:pPr>
        <w:pStyle w:val="Heading1"/>
        <w:spacing w:before="280"/>
      </w:pPr>
      <w:r>
        <w:t>1. Getting Started</w:t>
      </w:r>
    </w:p>
    <w:p>
      <w:pPr>
        <w:pStyle w:val="Heading2"/>
        <w:spacing w:before="160"/>
      </w:pPr>
      <w:r>
        <w:t>1.1  Opening the Application</w:t>
      </w:r>
    </w:p>
    <w:p>
      <w:r>
        <w:t>Graph Explorer runs in your web browser. Open the URL provided by your system administrator. You do not need to install any software.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Use a modern desktop browser — Chrome, Firefox, or Edge work best.</w:t>
            </w:r>
          </w:p>
        </w:tc>
      </w:tr>
    </w:tbl>
    <w:p/>
    <w:p>
      <w:pPr>
        <w:pStyle w:val="Heading2"/>
        <w:spacing w:before="160"/>
      </w:pPr>
      <w:r>
        <w:t>1.2  Logging In</w:t>
      </w:r>
    </w:p>
    <w:p>
      <w:r>
        <w:t>The login screen asks for your username and password. Enter the credentials provided by your administrator and click Login.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After 10 failed login attempts in 15 minutes your account is temporarily locked as a security measure.</w:t>
            </w:r>
          </w:p>
        </w:tc>
      </w:tr>
    </w:tbl>
    <w:p/>
    <w:p>
      <w:pPr>
        <w:pStyle w:val="Heading2"/>
        <w:spacing w:before="160"/>
      </w:pPr>
      <w:r>
        <w:t>1.3  Settings and Account Actions</w:t>
      </w:r>
    </w:p>
    <w:p>
      <w:r>
        <w:t>Click the ⚙ Settings ▾ button in the top-right corner of the header bar to open the settings menu. It contains two sections:</w:t>
      </w:r>
    </w:p>
    <w:p>
      <w:pPr>
        <w:pStyle w:val="ListBullet"/>
      </w:pPr>
      <w:r>
        <w:rPr>
          <w:b/>
        </w:rPr>
        <w:t xml:space="preserve">Admin: </w:t>
      </w:r>
      <w:r>
        <w:t xml:space="preserve">  Change Password — change your own login password.</w:t>
      </w:r>
    </w:p>
    <w:p>
      <w:pPr>
        <w:pStyle w:val="ListBullet"/>
      </w:pPr>
      <w:r>
        <w:rPr>
          <w:b/>
        </w:rPr>
        <w:t xml:space="preserve">Admin: </w:t>
      </w:r>
      <w:r>
        <w:t xml:space="preserve">  Users — manage user accounts (admin role only).</w:t>
      </w:r>
    </w:p>
    <w:p>
      <w:pPr>
        <w:pStyle w:val="ListBullet"/>
      </w:pPr>
      <w:r>
        <w:rPr>
          <w:b/>
        </w:rPr>
        <w:t xml:space="preserve">Database: </w:t>
      </w:r>
      <w:r>
        <w:t xml:space="preserve">  Neo4j — configure the Neo4j database URL, database name, and credentials (admin only).</w:t>
      </w:r>
    </w:p>
    <w:p>
      <w:pPr>
        <w:pStyle w:val="ListBullet"/>
      </w:pPr>
      <w:r>
        <w:rPr>
          <w:b/>
        </w:rPr>
        <w:t xml:space="preserve">Database: </w:t>
      </w:r>
      <w:r>
        <w:t xml:space="preserve">  Postgres — configure the PostgreSQL host, port, database, schema, and credentials (admin only).</w:t>
      </w:r>
    </w:p>
    <w:p>
      <w:r>
        <w:t>Database connection changes are tested before being saved — if the connection fails the previous settings are kept.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The Database section is visible only to administrators.</w:t>
            </w:r>
          </w:p>
        </w:tc>
      </w:tr>
    </w:tbl>
    <w:p/>
    <w:p>
      <w:pPr>
        <w:pStyle w:val="Heading2"/>
        <w:spacing w:before="160"/>
      </w:pPr>
      <w:r>
        <w:t>1.4  Signing Out</w:t>
      </w:r>
    </w:p>
    <w:p>
      <w:r>
        <w:t>Open ⚙ Settings ▾ and click Sign Out. You are returned to the login screen and your session is cleared.</w:t>
      </w:r>
    </w:p>
    <w:p>
      <w:pPr>
        <w:pStyle w:val="Heading1"/>
        <w:spacing w:before="280"/>
      </w:pPr>
      <w:r>
        <w:t>2. Interface Overview</w:t>
      </w:r>
    </w:p>
    <w:p>
      <w:r>
        <w:t>The application is divided into five horizontal zones from top to bottom: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Zone</w:t>
            </w:r>
          </w:p>
        </w:tc>
        <w:tc>
          <w:tcPr>
            <w:tcW w:type="dxa" w:w="4320"/>
            <w:tcW w:w="6768" w:type="dxa"/>
            <w:shd w:val="clear" w:color="auto" w:fill="D5E8F0"/>
          </w:tcPr>
          <w:p>
            <w:r>
              <w:rPr>
                <w:b/>
              </w:rPr>
              <w:t>Purpose</w:t>
            </w:r>
          </w:p>
        </w:tc>
      </w:tr>
      <w:tr>
        <w:tc>
          <w:tcPr>
            <w:tcW w:type="dxa" w:w="4320"/>
            <w:tcW w:w="2592" w:type="dxa"/>
          </w:tcPr>
          <w:p>
            <w:r>
              <w:rPr>
                <w:b/>
              </w:rPr>
              <w:t>Header bar</w:t>
            </w:r>
          </w:p>
        </w:tc>
        <w:tc>
          <w:tcPr>
            <w:tcW w:type="dxa" w:w="4320"/>
            <w:tcW w:w="6768" w:type="dxa"/>
          </w:tcPr>
          <w:p>
            <w:r>
              <w:t>Logo, graph statistics, toolbar icons, and the ⚙ Settings button</w:t>
            </w:r>
          </w:p>
        </w:tc>
      </w:tr>
      <w:tr>
        <w:tc>
          <w:tcPr>
            <w:tcW w:type="dxa" w:w="4320"/>
            <w:tcW w:w="2592" w:type="dxa"/>
          </w:tcPr>
          <w:p>
            <w:r>
              <w:rPr>
                <w:b/>
              </w:rPr>
              <w:t>Menu bar</w:t>
            </w:r>
          </w:p>
        </w:tc>
        <w:tc>
          <w:tcPr>
            <w:tcW w:type="dxa" w:w="4320"/>
            <w:tcW w:w="6768" w:type="dxa"/>
          </w:tcPr>
          <w:p>
            <w:r>
              <w:t>File, Database, View, Select, and Edit dropdown menus</w:t>
            </w:r>
          </w:p>
        </w:tc>
      </w:tr>
      <w:tr>
        <w:tc>
          <w:tcPr>
            <w:tcW w:type="dxa" w:w="4320"/>
            <w:tcW w:w="2592" w:type="dxa"/>
          </w:tcPr>
          <w:p>
            <w:r>
              <w:rPr>
                <w:b/>
              </w:rPr>
              <w:t>Tab bar</w:t>
            </w:r>
          </w:p>
        </w:tc>
        <w:tc>
          <w:tcPr>
            <w:tcW w:type="dxa" w:w="4320"/>
            <w:tcW w:w="6768" w:type="dxa"/>
          </w:tcPr>
          <w:p>
            <w:r>
              <w:t>One tab per open graph session; + button creates a new tab</w:t>
            </w:r>
          </w:p>
        </w:tc>
      </w:tr>
      <w:tr>
        <w:tc>
          <w:tcPr>
            <w:tcW w:type="dxa" w:w="4320"/>
            <w:tcW w:w="2592" w:type="dxa"/>
          </w:tcPr>
          <w:p>
            <w:r>
              <w:rPr>
                <w:b/>
              </w:rPr>
              <w:t>Query bar</w:t>
            </w:r>
          </w:p>
        </w:tc>
        <w:tc>
          <w:tcPr>
            <w:tcW w:type="dxa" w:w="4320"/>
            <w:tcW w:w="6768" w:type="dxa"/>
          </w:tcPr>
          <w:p>
            <w:r>
              <w:t>Cypher query textarea and Run/Clear buttons (hidden by default)</w:t>
            </w:r>
          </w:p>
        </w:tc>
      </w:tr>
      <w:tr>
        <w:tc>
          <w:tcPr>
            <w:tcW w:type="dxa" w:w="4320"/>
            <w:tcW w:w="2592" w:type="dxa"/>
          </w:tcPr>
          <w:p>
            <w:r>
              <w:rPr>
                <w:b/>
              </w:rPr>
              <w:t>Content area</w:t>
            </w:r>
          </w:p>
        </w:tc>
        <w:tc>
          <w:tcPr>
            <w:tcW w:type="dxa" w:w="4320"/>
            <w:tcW w:w="6768" w:type="dxa"/>
          </w:tcPr>
          <w:p>
            <w:r>
              <w:t>The Graph view (visual canvas) or Table view</w:t>
            </w:r>
          </w:p>
        </w:tc>
      </w:tr>
    </w:tbl>
    <w:p/>
    <w:p>
      <w:pPr>
        <w:pStyle w:val="Heading2"/>
        <w:spacing w:before="160"/>
      </w:pPr>
      <w:r>
        <w:t>2.1  Header Bar</w:t>
      </w:r>
    </w:p>
    <w:p>
      <w:r>
        <w:t>The header bar contains (left to right):</w:t>
      </w:r>
    </w:p>
    <w:p>
      <w:pPr>
        <w:pStyle w:val="ListBullet"/>
      </w:pPr>
      <w:r>
        <w:t>Application logo and title</w:t>
      </w:r>
    </w:p>
    <w:p>
      <w:pPr>
        <w:pStyle w:val="ListBullet"/>
      </w:pPr>
      <w:r>
        <w:t>Graph statistics bar — shows the current pathway name, node count, and edge count; also displays transient status messages.</w:t>
      </w:r>
    </w:p>
    <w:p>
      <w:pPr>
        <w:pStyle w:val="ListBullet"/>
      </w:pPr>
      <w:r>
        <w:t>Undo (↩) — undoes the last graph modification.</w:t>
      </w:r>
    </w:p>
    <w:p>
      <w:pPr>
        <w:pStyle w:val="ListBullet"/>
      </w:pPr>
      <w:r>
        <w:t>Zoom controls — − (out), Fit, + (in), and a percentage label.</w:t>
      </w:r>
    </w:p>
    <w:p>
      <w:pPr>
        <w:pStyle w:val="ListBullet"/>
      </w:pPr>
      <w:r>
        <w:t>Align Horizontally (icon) — aligns selected nodes to the Y position of the focus node.</w:t>
      </w:r>
    </w:p>
    <w:p>
      <w:pPr>
        <w:pStyle w:val="ListBullet"/>
      </w:pPr>
      <w:r>
        <w:t>Align Vertically (icon) — aligns selected nodes to the X position of the focus node.</w:t>
      </w:r>
    </w:p>
    <w:p>
      <w:pPr>
        <w:pStyle w:val="ListBullet"/>
      </w:pPr>
      <w:r>
        <w:t>Highlight (⬤ icon) — applies a colored aura to selected nodes.</w:t>
      </w:r>
    </w:p>
    <w:p>
      <w:pPr>
        <w:pStyle w:val="ListBullet"/>
      </w:pPr>
      <w:r>
        <w:t>Node Color (triangle icon) — changes the background color of selected nodes.</w:t>
      </w:r>
    </w:p>
    <w:p>
      <w:pPr>
        <w:pStyle w:val="ListBullet"/>
      </w:pPr>
      <w:r>
        <w:t>Find (🔍) — opens a popup to search for nodes by property value.</w:t>
      </w:r>
    </w:p>
    <w:p>
      <w:pPr>
        <w:pStyle w:val="ListBullet"/>
      </w:pPr>
      <w:r>
        <w:t>Resize nodes (⊕ / ⊖) — increases or decreases size of selected nodes.</w:t>
      </w:r>
    </w:p>
    <w:p>
      <w:pPr>
        <w:pStyle w:val="ListBullet"/>
      </w:pPr>
      <w:r>
        <w:t>⚙ Settings ▾ — account and database configuration menu (see §1.3).</w:t>
      </w:r>
    </w:p>
    <w:p>
      <w:pPr>
        <w:pStyle w:val="Heading2"/>
        <w:spacing w:before="160"/>
      </w:pPr>
      <w:r>
        <w:t>2.2  Menu Bar</w:t>
      </w:r>
    </w:p>
    <w:p>
      <w:r>
        <w:t>Click any menu name to open its dropdown. Click an item to run it, or click anywhere outside the menu to close it. Moving the mouse to another menu while one is open switches menus automatically.</w:t>
      </w:r>
    </w:p>
    <w:p>
      <w:pPr>
        <w:pStyle w:val="Heading2"/>
        <w:spacing w:before="160"/>
      </w:pPr>
      <w:r>
        <w:t>2.3  Tab Bar</w:t>
      </w:r>
    </w:p>
    <w:p>
      <w:r>
        <w:t>Each tab is an independent workspace. Click a tab to switch to it. Click × to close it (at least one tab must stay open). Click + to create a new empty tab.</w:t>
      </w:r>
    </w:p>
    <w:p>
      <w:r>
        <w:t>The tab name is set automatically when you load a file or run a query. After you save a graph the tab is renamed to match the saved file name, so you do not have to retype the pathway name on subsequent saves.</w:t>
      </w:r>
    </w:p>
    <w:p>
      <w:pPr>
        <w:pStyle w:val="Heading1"/>
        <w:spacing w:before="280"/>
      </w:pPr>
      <w:r>
        <w:t>3. Loading Graph Data</w:t>
      </w:r>
    </w:p>
    <w:p>
      <w:r>
        <w:t>There are three ways to populate the graph canvas: running a Cypher query, opening a saved JSON file, or opening an RNEF pathway file.</w:t>
      </w:r>
    </w:p>
    <w:p>
      <w:pPr>
        <w:pStyle w:val="Heading2"/>
        <w:spacing w:before="160"/>
      </w:pPr>
      <w:r>
        <w:t>3.1  Cypher Query</w:t>
      </w:r>
    </w:p>
    <w:p>
      <w:r>
        <w:t>Open the query bar via Database → Neo4j Cypher (the bar toggles on each click). Type or paste a Cypher query and click Run, or press Ctrl+Enter (Cmd+Enter on Mac).</w:t>
      </w:r>
    </w:p>
    <w:p>
      <w:pPr>
        <w:pStyle w:val="Heading3"/>
        <w:spacing w:before="120"/>
      </w:pPr>
      <w:r>
        <w:t>Autocomplete</w:t>
      </w:r>
    </w:p>
    <w:p>
      <w:r>
        <w:t xml:space="preserve">As you type, a dropdown appears with suggestions for node labels, relationship types, property keys, and Cypher keywords. The suggestions are fetched from your connected Neo4j database. Click a suggestion or press Enter to insert it. Press Escape to dismiss the dropdown.</w:t>
      </w:r>
    </w:p>
    <w:p>
      <w:pPr>
        <w:pStyle w:val="Heading3"/>
        <w:spacing w:before="120"/>
      </w:pPr>
      <w:r>
        <w:t>Syntax Checking</w:t>
      </w:r>
    </w:p>
    <w:p>
      <w:r>
        <w:t xml:space="preserve">The query bar checks your Cypher as you type. A red bar below the textarea indicates a structural error (for example, a space after a dot in a property name, or unbalanced brackets). After you pause typing, the query is also validated against Neo4j via EXPLAIN. A green “✓ Syntax OK” message confirms the query is valid. A yellow warning highlights potential type errors, such as using a property reference as a boolean condition (e.g. WHERE r.Count AND … — this will fail at runtime). Fix the query before running it.</w:t>
      </w:r>
    </w:p>
    <w:p>
      <w:pPr>
        <w:pStyle w:val="Heading3"/>
        <w:spacing w:before="120"/>
      </w:pPr>
      <w:r>
        <w:t>Large Result Set Warning</w:t>
      </w:r>
    </w:p>
    <w:p>
      <w:r>
        <w:t xml:space="preserve">If a query would return more than 20 000 rows, a dialog appears showing the row count before loading the data. It warns that sentence coloring will be disabled for large graphs. Click OK to load anyway or Cancel to refine your query first.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The query bar remembers your last query. It is restored when you switch back to a tab.</w:t>
            </w:r>
          </w:p>
        </w:tc>
      </w:tr>
    </w:tbl>
    <w:p/>
    <w:p>
      <w:pPr>
        <w:pStyle w:val="Heading2"/>
        <w:spacing w:before="160"/>
      </w:pPr>
      <w:r>
        <w:t>3.2  Opening a Saved Subgraph (JSON)</w:t>
      </w:r>
    </w:p>
    <w:p>
      <w:r>
        <w:t>Go to File → Open... and select a .json file you saved previously. The graph is loaded with all node positions and the original query restored. Node data is silently enriched from Neo4j in the background.</w:t>
      </w:r>
    </w:p>
    <w:p>
      <w:pPr>
        <w:pStyle w:val="Heading2"/>
        <w:spacing w:before="160"/>
      </w:pPr>
      <w:r>
        <w:t>3.3  Opening an RNEF Pathway File</w:t>
      </w:r>
    </w:p>
    <w:p>
      <w:r>
        <w:t>Go to File → Open... and select a .rnef file (Pathway Studio export). The file is sent to the server for conversion.</w:t>
      </w:r>
    </w:p>
    <w:p>
      <w:pPr>
        <w:pStyle w:val="ListBullet"/>
      </w:pPr>
      <w:r>
        <w:t>If the file contains a single pathway, it opens immediately in the current tab.</w:t>
      </w:r>
    </w:p>
    <w:p>
      <w:pPr>
        <w:pStyle w:val="ListBullet"/>
      </w:pPr>
      <w:r>
        <w:t>If the file contains multiple pathways, a selection dialog appears. Tick one or more pathways and click Open Selected.</w:t>
      </w:r>
    </w:p>
    <w:p>
      <w:pPr>
        <w:pStyle w:val="ListBullet"/>
      </w:pPr>
      <w:r>
        <w:t>The first checked pathway opens in the current tab; each additional pathway opens in its own new tab.</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Node positions from the original RNEF layout are preserved. Nodes that appear more than once are shown as clones (see Section 9).</w:t>
            </w:r>
          </w:p>
        </w:tc>
      </w:tr>
    </w:tbl>
    <w:p/>
    <w:p>
      <w:pPr>
        <w:pStyle w:val="Heading2"/>
        <w:spacing w:before="160"/>
      </w:pPr>
      <w:r>
        <w:t>3.4  What Happens After Loading</w:t>
      </w:r>
    </w:p>
    <w:p>
      <w:r>
        <w:t>After any graph loads the application silently contacts Neo4j to enrich nodes with current database data. A brief "Loading matching data from database..." message appears. When complete a "(+N enriched from Neo4j)" note appears for three seconds.</w:t>
      </w:r>
    </w:p>
    <w:p>
      <w:pPr>
        <w:pStyle w:val="Heading1"/>
        <w:spacing w:before="280"/>
      </w:pPr>
      <w:r>
        <w:t>4. Working in the Graph View</w:t>
      </w:r>
    </w:p>
    <w:p>
      <w:pPr>
        <w:pStyle w:val="Heading2"/>
        <w:spacing w:before="160"/>
      </w:pPr>
      <w:r>
        <w:t>4.1  Navigating the Canvas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Action</w:t>
            </w:r>
          </w:p>
        </w:tc>
        <w:tc>
          <w:tcPr>
            <w:tcW w:type="dxa" w:w="4320"/>
            <w:tcW w:w="6768" w:type="dxa"/>
            <w:shd w:val="clear" w:color="auto" w:fill="D5E8F0"/>
          </w:tcPr>
          <w:p>
            <w:r>
              <w:rPr>
                <w:b/>
              </w:rPr>
              <w:t>How</w:t>
            </w:r>
          </w:p>
        </w:tc>
      </w:tr>
      <w:tr>
        <w:tc>
          <w:tcPr>
            <w:tcW w:type="dxa" w:w="4320"/>
            <w:tcW w:w="2592" w:type="dxa"/>
          </w:tcPr>
          <w:p>
            <w:r>
              <w:rPr>
                <w:b/>
              </w:rPr>
              <w:t>Zoom in / out</w:t>
            </w:r>
          </w:p>
        </w:tc>
        <w:tc>
          <w:tcPr>
            <w:tcW w:type="dxa" w:w="4320"/>
            <w:tcW w:w="6768" w:type="dxa"/>
          </w:tcPr>
          <w:p>
            <w:r>
              <w:t>Scroll the mouse wheel, or use the − and + buttons</w:t>
            </w:r>
          </w:p>
        </w:tc>
      </w:tr>
      <w:tr>
        <w:tc>
          <w:tcPr>
            <w:tcW w:type="dxa" w:w="4320"/>
            <w:tcW w:w="2592" w:type="dxa"/>
          </w:tcPr>
          <w:p>
            <w:r>
              <w:rPr>
                <w:b/>
              </w:rPr>
              <w:t>Fit all elements</w:t>
            </w:r>
          </w:p>
        </w:tc>
        <w:tc>
          <w:tcPr>
            <w:tcW w:type="dxa" w:w="4320"/>
            <w:tcW w:w="6768" w:type="dxa"/>
          </w:tcPr>
          <w:p>
            <w:r>
              <w:t>Click the Fit button in the header</w:t>
            </w:r>
          </w:p>
        </w:tc>
      </w:tr>
      <w:tr>
        <w:tc>
          <w:tcPr>
            <w:tcW w:type="dxa" w:w="4320"/>
            <w:tcW w:w="2592" w:type="dxa"/>
          </w:tcPr>
          <w:p>
            <w:r>
              <w:rPr>
                <w:b/>
              </w:rPr>
              <w:t>Pan (move canvas)</w:t>
            </w:r>
          </w:p>
        </w:tc>
        <w:tc>
          <w:tcPr>
            <w:tcW w:type="dxa" w:w="4320"/>
            <w:tcW w:w="6768" w:type="dxa"/>
          </w:tcPr>
          <w:p>
            <w:r>
              <w:t>Enable Select → Move Mode, then drag; or hold the middle mouse button</w:t>
            </w:r>
          </w:p>
        </w:tc>
      </w:tr>
      <w:tr>
        <w:tc>
          <w:tcPr>
            <w:tcW w:type="dxa" w:w="4320"/>
            <w:tcW w:w="2592" w:type="dxa"/>
          </w:tcPr>
          <w:p>
            <w:r>
              <w:rPr>
                <w:b/>
              </w:rPr>
              <w:t>Box-select</w:t>
            </w:r>
          </w:p>
        </w:tc>
        <w:tc>
          <w:tcPr>
            <w:tcW w:type="dxa" w:w="4320"/>
            <w:tcW w:w="6768" w:type="dxa"/>
          </w:tcPr>
          <w:p>
            <w:r>
              <w:t>Default drag behavior — drag on empty canvas to draw a selection rectangle</w:t>
            </w:r>
          </w:p>
        </w:tc>
      </w:tr>
    </w:tbl>
    <w:p/>
    <w:p>
      <w:pPr>
        <w:pStyle w:val="Heading2"/>
        <w:spacing w:before="160"/>
      </w:pPr>
      <w:r>
        <w:t>4.2  Interacting with Nodes</w:t>
      </w:r>
    </w:p>
    <w:p>
      <w:pPr>
        <w:pStyle w:val="ListBullet"/>
      </w:pPr>
      <w:r>
        <w:rPr>
          <w:b/>
        </w:rPr>
        <w:t>Click a node</w:t>
      </w:r>
      <w:r>
        <w:t xml:space="preserve"> — highlights that node and its neighbors; others fade. The clicked node becomes the focus node (see §4.8). Click the canvas background to clear.</w:t>
      </w:r>
    </w:p>
    <w:p>
      <w:pPr>
        <w:pStyle w:val="ListBullet"/>
      </w:pPr>
      <w:r>
        <w:rPr>
          <w:b/>
        </w:rPr>
        <w:t>Drag a node</w:t>
      </w:r>
      <w:r>
        <w:t xml:space="preserve"> — moves it; layout switches to Manual. The tooltip is dismissed immediately when you start dragging.</w:t>
      </w:r>
    </w:p>
    <w:p>
      <w:pPr>
        <w:pStyle w:val="ListBullet"/>
      </w:pPr>
      <w:r>
        <w:rPr>
          <w:b/>
        </w:rPr>
        <w:t>Hover over a node</w:t>
      </w:r>
      <w:r>
        <w:t xml:space="preserve"> — shows a tooltip after half a second with the node name, type, description, URN, and any database-loaded properties.</w:t>
      </w:r>
    </w:p>
    <w:p>
      <w:pPr>
        <w:pStyle w:val="ListBullet"/>
      </w:pPr>
      <w:r>
        <w:rPr>
          <w:b/>
        </w:rPr>
        <w:t>Right-click a node</w:t>
      </w:r>
      <w:r>
        <w:t xml:space="preserve"> — opens a context menu: Edit Properties, Clone Node, Remove Clone, Merge Selected Clones.</w:t>
      </w:r>
    </w:p>
    <w:p>
      <w:pPr>
        <w:pStyle w:val="Heading2"/>
        <w:spacing w:before="160"/>
      </w:pPr>
      <w:r>
        <w:t>4.3  Interacting with Edges</w:t>
      </w:r>
    </w:p>
    <w:p>
      <w:pPr>
        <w:pStyle w:val="ListBullet"/>
      </w:pPr>
      <w:r>
        <w:rPr>
          <w:b/>
        </w:rPr>
        <w:t>Hover over an edge</w:t>
      </w:r>
      <w:r>
        <w:t xml:space="preserve"> — shows a tooltip after half a second with relation type, source/target names, evidence details, and up to three references.</w:t>
      </w:r>
    </w:p>
    <w:p>
      <w:pPr>
        <w:pStyle w:val="ListBullet"/>
      </w:pPr>
      <w:r>
        <w:rPr>
          <w:b/>
        </w:rPr>
        <w:t>Right-click an edge</w:t>
      </w:r>
      <w:r>
        <w:t xml:space="preserve"> — opens a context menu with Edit Properties.</w:t>
      </w:r>
    </w:p>
    <w:p>
      <w:pPr>
        <w:pStyle w:val="Heading2"/>
        <w:spacing w:before="160"/>
      </w:pPr>
      <w:r>
        <w:t>4.4  Node and Edge Visual Guide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Element</w:t>
            </w:r>
          </w:p>
        </w:tc>
        <w:tc>
          <w:tcPr>
            <w:tcW w:type="dxa" w:w="4320"/>
            <w:tcW w:w="6768" w:type="dxa"/>
            <w:shd w:val="clear" w:color="auto" w:fill="D5E8F0"/>
          </w:tcPr>
          <w:p>
            <w:r>
              <w:rPr>
                <w:b/>
              </w:rPr>
              <w:t>Meaning</w:t>
            </w:r>
          </w:p>
        </w:tc>
      </w:tr>
      <w:tr>
        <w:tc>
          <w:tcPr>
            <w:tcW w:type="dxa" w:w="4320"/>
            <w:tcW w:w="2592" w:type="dxa"/>
          </w:tcPr>
          <w:p>
            <w:r>
              <w:rPr>
                <w:b/>
              </w:rPr>
              <w:t>Node color</w:t>
            </w:r>
          </w:p>
        </w:tc>
        <w:tc>
          <w:tcPr>
            <w:tcW w:type="dxa" w:w="4320"/>
            <w:tcW w:w="6768" w:type="dxa"/>
          </w:tcPr>
          <w:p>
            <w:r>
              <w:t>Biological type (blue = Protein, green = SmallMol, red = Disease, etc.)</w:t>
            </w:r>
          </w:p>
        </w:tc>
      </w:tr>
      <w:tr>
        <w:tc>
          <w:tcPr>
            <w:tcW w:type="dxa" w:w="4320"/>
            <w:tcW w:w="2592" w:type="dxa"/>
          </w:tcPr>
          <w:p>
            <w:r>
              <w:rPr>
                <w:b/>
              </w:rPr>
              <w:t>Edge color</w:t>
            </w:r>
          </w:p>
        </w:tc>
        <w:tc>
          <w:tcPr>
            <w:tcW w:type="dxa" w:w="4320"/>
            <w:tcW w:w="6768" w:type="dxa"/>
          </w:tcPr>
          <w:p>
            <w:r>
              <w:t>Relation type (green = Positive, red = Negative, blue = Binding, etc.)</w:t>
            </w:r>
          </w:p>
        </w:tc>
      </w:tr>
      <w:tr>
        <w:tc>
          <w:tcPr>
            <w:tcW w:type="dxa" w:w="4320"/>
            <w:tcW w:w="2592" w:type="dxa"/>
          </w:tcPr>
          <w:p>
            <w:r>
              <w:rPr>
                <w:b/>
              </w:rPr>
              <w:t>Solid edge</w:t>
            </w:r>
          </w:p>
        </w:tc>
        <w:tc>
          <w:tcPr>
            <w:tcW w:type="dxa" w:w="4320"/>
            <w:tcW w:w="6768" w:type="dxa"/>
          </w:tcPr>
          <w:p>
            <w:r>
              <w:t>Direct relation</w:t>
            </w:r>
          </w:p>
        </w:tc>
      </w:tr>
      <w:tr>
        <w:tc>
          <w:tcPr>
            <w:tcW w:type="dxa" w:w="4320"/>
            <w:tcW w:w="2592" w:type="dxa"/>
          </w:tcPr>
          <w:p>
            <w:r>
              <w:rPr>
                <w:b/>
              </w:rPr>
              <w:t>Dashed edge</w:t>
            </w:r>
          </w:p>
        </w:tc>
        <w:tc>
          <w:tcPr>
            <w:tcW w:type="dxa" w:w="4320"/>
            <w:tcW w:w="6768" w:type="dxa"/>
          </w:tcPr>
          <w:p>
            <w:r>
              <w:t>Indirect relation</w:t>
            </w:r>
          </w:p>
        </w:tc>
      </w:tr>
      <w:tr>
        <w:tc>
          <w:tcPr>
            <w:tcW w:type="dxa" w:w="4320"/>
            <w:tcW w:w="2592" w:type="dxa"/>
          </w:tcPr>
          <w:p>
            <w:r>
              <w:rPr>
                <w:b/>
              </w:rPr>
              <w:t>Thicker edge</w:t>
            </w:r>
          </w:p>
        </w:tc>
        <w:tc>
          <w:tcPr>
            <w:tcW w:type="dxa" w:w="4320"/>
            <w:tcW w:w="6768" w:type="dxa"/>
          </w:tcPr>
          <w:p>
            <w:r>
              <w:t>More supporting references (thickest = 3 or more)</w:t>
            </w:r>
          </w:p>
        </w:tc>
      </w:tr>
      <w:tr>
        <w:tc>
          <w:tcPr>
            <w:tcW w:type="dxa" w:w="4320"/>
            <w:tcW w:w="2592" w:type="dxa"/>
          </w:tcPr>
          <w:p>
            <w:r>
              <w:rPr>
                <w:b/>
              </w:rPr>
              <w:t>Gold double-border node</w:t>
            </w:r>
          </w:p>
        </w:tc>
        <w:tc>
          <w:tcPr>
            <w:tcW w:type="dxa" w:w="4320"/>
            <w:tcW w:w="6768" w:type="dxa"/>
          </w:tcPr>
          <w:p>
            <w:r>
              <w:t>Clone — same biological entity at multiple positions</w:t>
            </w:r>
          </w:p>
        </w:tc>
      </w:tr>
      <w:tr>
        <w:tc>
          <w:tcPr>
            <w:tcW w:type="dxa" w:w="4320"/>
            <w:tcW w:w="2592" w:type="dxa"/>
          </w:tcPr>
          <w:p>
            <w:r>
              <w:rPr>
                <w:b/>
              </w:rPr>
              <w:t>Colored outer aura</w:t>
            </w:r>
          </w:p>
        </w:tc>
        <w:tc>
          <w:tcPr>
            <w:tcW w:type="dxa" w:w="4320"/>
            <w:tcW w:w="6768" w:type="dxa"/>
          </w:tcPr>
          <w:p>
            <w:r>
              <w:t>Node has been highlighted (see §4.10)</w:t>
            </w:r>
          </w:p>
        </w:tc>
      </w:tr>
      <w:tr>
        <w:tc>
          <w:tcPr>
            <w:tcW w:type="dxa" w:w="4320"/>
            <w:tcW w:w="2592" w:type="dxa"/>
          </w:tcPr>
          <w:p>
            <w:r>
              <w:rPr>
                <w:b/>
              </w:rPr>
              <w:t>Small gray square</w:t>
            </w:r>
          </w:p>
        </w:tc>
        <w:tc>
          <w:tcPr>
            <w:tcW w:type="dxa" w:w="4320"/>
            <w:tcW w:w="6768" w:type="dxa"/>
          </w:tcPr>
          <w:p>
            <w:r>
              <w:t>Reaction node — intermediate for multi-participant reactions</w:t>
            </w:r>
          </w:p>
        </w:tc>
      </w:tr>
    </w:tbl>
    <w:p/>
    <w:p>
      <w:pPr>
        <w:pStyle w:val="Heading2"/>
        <w:spacing w:before="160"/>
      </w:pPr>
      <w:r>
        <w:t>4.5  Legend</w:t>
      </w:r>
    </w:p>
    <w:p>
      <w:r>
        <w:t>The legend panel in the lower-left corner lists all relation types present in the current graph, each with a color swatch.</w:t>
      </w:r>
    </w:p>
    <w:p>
      <w:pPr>
        <w:pStyle w:val="Heading2"/>
        <w:spacing w:before="160"/>
      </w:pPr>
      <w:r>
        <w:t>4.6  Zoom Controls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Control</w:t>
            </w:r>
          </w:p>
        </w:tc>
        <w:tc>
          <w:tcPr>
            <w:tcW w:type="dxa" w:w="4320"/>
            <w:tcW w:w="6768" w:type="dxa"/>
            <w:shd w:val="clear" w:color="auto" w:fill="D5E8F0"/>
          </w:tcPr>
          <w:p>
            <w:r>
              <w:rPr>
                <w:b/>
              </w:rPr>
              <w:t>Action</w:t>
            </w:r>
          </w:p>
        </w:tc>
      </w:tr>
      <w:tr>
        <w:tc>
          <w:tcPr>
            <w:tcW w:type="dxa" w:w="4320"/>
            <w:tcW w:w="2592" w:type="dxa"/>
          </w:tcPr>
          <w:p>
            <w:r>
              <w:rPr>
                <w:b/>
              </w:rPr>
              <w:t>− button</w:t>
            </w:r>
          </w:p>
        </w:tc>
        <w:tc>
          <w:tcPr>
            <w:tcW w:type="dxa" w:w="4320"/>
            <w:tcW w:w="6768" w:type="dxa"/>
          </w:tcPr>
          <w:p>
            <w:r>
              <w:t>Zoom out by 20 %</w:t>
            </w:r>
          </w:p>
        </w:tc>
      </w:tr>
      <w:tr>
        <w:tc>
          <w:tcPr>
            <w:tcW w:type="dxa" w:w="4320"/>
            <w:tcW w:w="2592" w:type="dxa"/>
          </w:tcPr>
          <w:p>
            <w:r>
              <w:rPr>
                <w:b/>
              </w:rPr>
              <w:t>Fit button</w:t>
            </w:r>
          </w:p>
        </w:tc>
        <w:tc>
          <w:tcPr>
            <w:tcW w:type="dxa" w:w="4320"/>
            <w:tcW w:w="6768" w:type="dxa"/>
          </w:tcPr>
          <w:p>
            <w:r>
              <w:t>Fit all elements to the canvas with a small margin</w:t>
            </w:r>
          </w:p>
        </w:tc>
      </w:tr>
      <w:tr>
        <w:tc>
          <w:tcPr>
            <w:tcW w:type="dxa" w:w="4320"/>
            <w:tcW w:w="2592" w:type="dxa"/>
          </w:tcPr>
          <w:p>
            <w:r>
              <w:rPr>
                <w:b/>
              </w:rPr>
              <w:t>+ button</w:t>
            </w:r>
          </w:p>
        </w:tc>
        <w:tc>
          <w:tcPr>
            <w:tcW w:type="dxa" w:w="4320"/>
            <w:tcW w:w="6768" w:type="dxa"/>
          </w:tcPr>
          <w:p>
            <w:r>
              <w:t>Zoom in by 25 %</w:t>
            </w:r>
          </w:p>
        </w:tc>
      </w:tr>
      <w:tr>
        <w:tc>
          <w:tcPr>
            <w:tcW w:type="dxa" w:w="4320"/>
            <w:tcW w:w="2592" w:type="dxa"/>
          </w:tcPr>
          <w:p>
            <w:r>
              <w:rPr>
                <w:b/>
              </w:rPr>
              <w:t>Percentage label</w:t>
            </w:r>
          </w:p>
        </w:tc>
        <w:tc>
          <w:tcPr>
            <w:tcW w:type="dxa" w:w="4320"/>
            <w:tcW w:w="6768" w:type="dxa"/>
          </w:tcPr>
          <w:p>
            <w:r>
              <w:t>Shows the current zoom level</w:t>
            </w:r>
          </w:p>
        </w:tc>
      </w:tr>
    </w:tbl>
    <w:p/>
    <w:p>
      <w:pPr>
        <w:pStyle w:val="Heading2"/>
        <w:spacing w:before="160"/>
      </w:pPr>
      <w:r>
        <w:t>4.7  Layouts</w:t>
      </w:r>
    </w:p>
    <w:p>
      <w:r>
        <w:t>Choose an automatic layout from View → Layout. The active layout is marked with a ✓.</w:t>
      </w:r>
    </w:p>
    <w:p>
      <w:pPr>
        <w:pStyle w:val="ListBullet"/>
      </w:pPr>
      <w:r>
        <w:rPr>
          <w:b/>
        </w:rPr>
        <w:t>CoSE</w:t>
      </w:r>
      <w:r>
        <w:t xml:space="preserve"> — spring-embedder, good general-purpose layout (default).</w:t>
      </w:r>
    </w:p>
    <w:p>
      <w:pPr>
        <w:pStyle w:val="ListBullet"/>
      </w:pPr>
      <w:r>
        <w:rPr>
          <w:b/>
        </w:rPr>
        <w:t>Dagre</w:t>
      </w:r>
      <w:r>
        <w:t xml:space="preserve"> — hierarchical top-to-bottom, good for regulatory cascades.</w:t>
      </w:r>
    </w:p>
    <w:p>
      <w:pPr>
        <w:pStyle w:val="ListBullet"/>
      </w:pPr>
      <w:r>
        <w:rPr>
          <w:b/>
        </w:rPr>
        <w:t>Circle</w:t>
      </w:r>
      <w:r>
        <w:t xml:space="preserve"> — nodes in a single circle.</w:t>
      </w:r>
    </w:p>
    <w:p>
      <w:pPr>
        <w:pStyle w:val="ListBullet"/>
      </w:pPr>
      <w:r>
        <w:rPr>
          <w:b/>
        </w:rPr>
        <w:t>Concentric</w:t>
      </w:r>
      <w:r>
        <w:t xml:space="preserve"> — nodes on concentric rings.</w:t>
      </w:r>
    </w:p>
    <w:p>
      <w:pPr>
        <w:pStyle w:val="ListBullet"/>
      </w:pPr>
      <w:r>
        <w:rPr>
          <w:b/>
        </w:rPr>
        <w:t>Grid</w:t>
      </w:r>
      <w:r>
        <w:t xml:space="preserve"> — nodes in a regular grid.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After opening a file with saved positions the layout is "Preset". Apply a new layout from View → Layout to re-arrange nodes.</w:t>
            </w:r>
          </w:p>
        </w:tc>
      </w:tr>
    </w:tbl>
    <w:p/>
    <w:p>
      <w:pPr>
        <w:pStyle w:val="Heading2"/>
        <w:spacing w:before="160"/>
      </w:pPr>
      <w:r>
        <w:t>4.8  Focus Node</w:t>
      </w:r>
    </w:p>
    <w:p>
      <w:r>
        <w:t>Clicking a node on the canvas makes it the focus node. The focus node is the reference point for the Align operations (§4.9). Click the canvas background to clear the focus.</w:t>
      </w:r>
    </w:p>
    <w:p>
      <w:pPr>
        <w:pStyle w:val="Heading2"/>
        <w:spacing w:before="160"/>
      </w:pPr>
      <w:r>
        <w:t>4.9  Aligning Nodes</w:t>
      </w:r>
    </w:p>
    <w:p>
      <w:r>
        <w:t>Align a group of selected nodes to the position of the focus node using the toolbar icons:</w:t>
      </w:r>
    </w:p>
    <w:p>
      <w:pPr>
        <w:pStyle w:val="ListBullet"/>
      </w:pPr>
      <w:r>
        <w:rPr>
          <w:b/>
        </w:rPr>
        <w:t>Align Horizontally (horizontal-line icon)</w:t>
      </w:r>
      <w:r>
        <w:t xml:space="preserve"> — moves all selected nodes to the same Y coordinate as the focus node.</w:t>
      </w:r>
    </w:p>
    <w:p>
      <w:pPr>
        <w:pStyle w:val="ListBullet"/>
      </w:pPr>
      <w:r>
        <w:rPr>
          <w:b/>
        </w:rPr>
        <w:t>Align Vertically (vertical-line icon)</w:t>
      </w:r>
      <w:r>
        <w:t xml:space="preserve"> — moves all selected nodes to the same X coordinate as the focus node.</w:t>
      </w:r>
    </w:p>
    <w:p>
      <w:r>
        <w:t>Workflow: (1) click the reference node to make it the focus, (2) Shift-click or box-select the nodes to move, (3) click the Align button.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A brief toast at the bottom of the screen confirms how many nodes were aligned.</w:t>
            </w:r>
          </w:p>
        </w:tc>
      </w:tr>
    </w:tbl>
    <w:p/>
    <w:p>
      <w:pPr>
        <w:pStyle w:val="Heading2"/>
        <w:spacing w:before="160"/>
      </w:pPr>
      <w:r>
        <w:t>4.10  Highlighting Nodes</w:t>
      </w:r>
    </w:p>
    <w:p>
      <w:r>
        <w:t>Select nodes, then click the Highlight toolbar button (concentric-circle icon). A color picker appears — pick a color to apply a colored outer aura to the selected nodes. To remove highlighting, select the nodes and choose the white/clear swatch.</w:t>
      </w:r>
    </w:p>
    <w:p>
      <w:pPr>
        <w:pStyle w:val="Heading2"/>
        <w:spacing w:before="160"/>
      </w:pPr>
      <w:r>
        <w:t>4.11  Changing Node Color</w:t>
      </w:r>
    </w:p>
    <w:p>
      <w:r>
        <w:t>Select nodes, then click the Node Color toolbar button (triangle icon). Pick a preset color or click "···" for a full color wheel. The label color adjusts automatically for contrast. The custom color is saved with the graph.</w:t>
      </w:r>
    </w:p>
    <w:p>
      <w:pPr>
        <w:pStyle w:val="Heading2"/>
        <w:spacing w:before="160"/>
      </w:pPr>
      <w:r>
        <w:t>4.12  Finding Nodes</w:t>
      </w:r>
    </w:p>
    <w:p>
      <w:r>
        <w:t>Click the Find (🔍) toolbar button. Type any text to search across all node properties. Matching nodes are highlighted; others fade. Press Escape or click outside to close the popup.</w:t>
      </w:r>
    </w:p>
    <w:p>
      <w:pPr>
        <w:pStyle w:val="Heading2"/>
        <w:spacing w:before="160"/>
      </w:pPr>
      <w:r>
        <w:t>4.13  Resizing Nodes</w:t>
      </w:r>
    </w:p>
    <w:p>
      <w:r>
        <w:t>Select nodes, then click ⊕ to increase or ⊖ to decrease their size. The change is proportional and can be repeated. Node size is saved with the graph.</w:t>
      </w:r>
    </w:p>
    <w:p>
      <w:pPr>
        <w:pStyle w:val="Heading2"/>
        <w:spacing w:before="160"/>
      </w:pPr>
      <w:r>
        <w:t>4.14  Undo</w:t>
      </w:r>
    </w:p>
    <w:p>
      <w:r>
        <w:t>Click ↩ in the header toolbar (or Ctrl+Z / Cmd+Z) to undo the last graph modification — including moves, additions, deletions, and pastes.</w:t>
      </w:r>
    </w:p>
    <w:p>
      <w:pPr>
        <w:pStyle w:val="Heading1"/>
        <w:spacing w:before="280"/>
      </w:pPr>
      <w:r>
        <w:t>5. Loading Node Properties from the Database</w:t>
      </w:r>
    </w:p>
    <w:p>
      <w:r>
        <w:t>Beyond the properties automatically enriched from Neo4j when a graph loads, you can load additional node-level properties on demand.</w:t>
      </w:r>
    </w:p>
    <w:p>
      <w:pPr>
        <w:pStyle w:val="Heading2"/>
        <w:spacing w:before="160"/>
      </w:pPr>
      <w:r>
        <w:t>5.1  Opening the Dialog</w:t>
      </w:r>
    </w:p>
    <w:p>
      <w:r>
        <w:t>Go to Database → Load node properties. A dialog appears listing all node properties available in the PostgreSQL database for the nodes currently in your graph.</w:t>
      </w:r>
    </w:p>
    <w:p>
      <w:pPr>
        <w:pStyle w:val="Heading2"/>
        <w:spacing w:before="160"/>
      </w:pPr>
      <w:r>
        <w:t>5.2  Selecting and Loading Properties</w:t>
      </w:r>
    </w:p>
    <w:p>
      <w:r>
        <w:t>Check the properties you want, then click Load. The values are fetched from PostgreSQL and attached to each node. Select All / Deselect All buttons are available for convenience.</w:t>
      </w:r>
    </w:p>
    <w:p>
      <w:pPr>
        <w:pStyle w:val="Heading2"/>
        <w:spacing w:before="160"/>
      </w:pPr>
      <w:r>
        <w:t>5.3  Viewing Loaded Properties</w:t>
      </w:r>
    </w:p>
    <w:p>
      <w:r>
        <w:t>Loaded properties appear at the top of the node tooltip under a teal "DB PROPERTIES" heading. They are also available as table columns — see the Node properties section in View → Columns... (§6.3).</w:t>
      </w:r>
    </w:p>
    <w:p>
      <w:pPr>
        <w:pStyle w:val="Heading1"/>
        <w:spacing w:before="280"/>
      </w:pPr>
      <w:r>
        <w:t>6. Working in the Table View</w:t>
      </w:r>
    </w:p>
    <w:p>
      <w:r>
        <w:t>The Table view presents graph data in a scrollable table. Switch to it via View → Relations Table or View → References Table.</w:t>
      </w:r>
    </w:p>
    <w:p>
      <w:pPr>
        <w:pStyle w:val="Heading2"/>
        <w:spacing w:before="160"/>
      </w:pPr>
      <w:r>
        <w:t>6.1  References Table Mode</w:t>
      </w:r>
    </w:p>
    <w:p>
      <w:r>
        <w:t>One row per supporting reference per edge. Columns include Regulator, Target, Relation Type, Effect, Reference Count, Year, PMID, DOI, Title, and Sentence. PMID and DOI are clickable links.</w:t>
      </w:r>
    </w:p>
    <w:p>
      <w:pPr>
        <w:pStyle w:val="Heading2"/>
        <w:spacing w:before="160"/>
      </w:pPr>
      <w:r>
        <w:t>6.2  Relations Table Mode</w:t>
      </w:r>
    </w:p>
    <w:p>
      <w:r>
        <w:t>One row per edge (regardless of reference count). Additional Neo4j edge properties can be enabled via View → Columns....</w:t>
      </w:r>
    </w:p>
    <w:p>
      <w:pPr>
        <w:pStyle w:val="Heading2"/>
        <w:spacing w:before="160"/>
      </w:pPr>
      <w:r>
        <w:t>6.3  Managing Columns</w:t>
      </w:r>
    </w:p>
    <w:p>
      <w:r>
        <w:t>Go to View → Columns... to open the column dialog. Columns are grouped by source:</w:t>
      </w:r>
    </w:p>
    <w:p>
      <w:pPr>
        <w:pStyle w:val="ListBullet"/>
      </w:pPr>
      <w:r>
        <w:rPr>
          <w:b/>
        </w:rPr>
        <w:t xml:space="preserve">Graph columns — </w:t>
      </w:r>
      <w:r>
        <w:t>Core relation and node fields; available in both modes.</w:t>
      </w:r>
    </w:p>
    <w:p>
      <w:pPr>
        <w:pStyle w:val="ListBullet"/>
      </w:pPr>
      <w:r>
        <w:rPr>
          <w:b/>
        </w:rPr>
        <w:t xml:space="preserve">Neo4j edge properties — </w:t>
      </w:r>
      <w:r>
        <w:t>Relation-level fields from Neo4j; Relations Table only.</w:t>
      </w:r>
    </w:p>
    <w:p>
      <w:pPr>
        <w:pStyle w:val="ListBullet"/>
      </w:pPr>
      <w:r>
        <w:rPr>
          <w:b/>
        </w:rPr>
        <w:t xml:space="preserve">Reference table columns — </w:t>
      </w:r>
      <w:r>
        <w:t>Year, PMID, title, sentence, etc.; References Table only.</w:t>
      </w:r>
    </w:p>
    <w:p>
      <w:pPr>
        <w:pStyle w:val="ListBullet"/>
      </w:pPr>
      <w:r>
        <w:rPr>
          <w:b/>
        </w:rPr>
        <w:t xml:space="preserve">Scopus data columns — </w:t>
      </w:r>
      <w:r>
        <w:t>Scopus-enriched fields; References Table only.</w:t>
      </w:r>
    </w:p>
    <w:p>
      <w:pPr>
        <w:pStyle w:val="ListBullet"/>
      </w:pPr>
      <w:r>
        <w:rPr>
          <w:b/>
        </w:rPr>
        <w:t xml:space="preserve">Node properties — </w:t>
      </w:r>
      <w:r>
        <w:t>Node-level properties loaded via Database → Load node properties. Checking a property adds a "Regulator [property]" column and a "Target [property]" column. Available in both modes.</w:t>
      </w:r>
    </w:p>
    <w:p>
      <w:r>
        <w:t>Click Apply to update the table. Click Reset to defaults to restore the default column set and clear any leftover columns from previous sessions.</w:t>
      </w:r>
    </w:p>
    <w:p>
      <w:pPr>
        <w:pStyle w:val="Heading2"/>
        <w:spacing w:before="160"/>
      </w:pPr>
      <w:r>
        <w:t>6.4  Reordering and Resizing Columns</w:t>
      </w:r>
    </w:p>
    <w:p>
      <w:r>
        <w:t>Drag any column header left or right to reorder. Drag the thin resize handle on the right edge of a header to resize.</w:t>
      </w:r>
    </w:p>
    <w:p>
      <w:pPr>
        <w:pStyle w:val="Heading2"/>
        <w:spacing w:before="160"/>
      </w:pPr>
      <w:r>
        <w:t>6.5  Sorting</w:t>
      </w:r>
    </w:p>
    <w:p>
      <w:r>
        <w:t>Click the header of any graph column to sort ascending; click again for descending. A ⇅ arrow indicates a sortable column.</w:t>
      </w:r>
    </w:p>
    <w:p>
      <w:pPr>
        <w:pStyle w:val="Heading2"/>
        <w:spacing w:before="160"/>
      </w:pPr>
      <w:r>
        <w:t>6.6  Filtering Rows</w:t>
      </w:r>
    </w:p>
    <w:p>
      <w:r>
        <w:t>Go to View → Filter Rows to show a search bar above the table. Type any text — rows containing that text in any visible column are kept.</w:t>
      </w:r>
    </w:p>
    <w:p>
      <w:pPr>
        <w:pStyle w:val="Heading2"/>
        <w:spacing w:before="160"/>
      </w:pPr>
      <w:r>
        <w:t>6.7  Sentence Coloring</w:t>
      </w:r>
    </w:p>
    <w:p>
      <w:r>
        <w:t>Go to View → Color Sentences to highlight entity mentions in the Sentence column: regulator mentions in red, target mentions in green. The same coloring is applied in Excel export.</w:t>
      </w:r>
    </w:p>
    <w:p>
      <w:pPr>
        <w:pStyle w:val="Heading1"/>
        <w:spacing w:before="280"/>
      </w:pPr>
      <w:r>
        <w:t>7. Saving and Exporting</w:t>
      </w:r>
    </w:p>
    <w:p>
      <w:pPr>
        <w:pStyle w:val="Heading2"/>
        <w:spacing w:before="160"/>
      </w:pPr>
      <w:r>
        <w:t>7.1  Save Subgraph</w:t>
      </w:r>
    </w:p>
    <w:p>
      <w:r>
        <w:t>Go to File → Save Subgraph. The dialog is pre-filled with the current tab name — click Save to confirm, or type a different name first. Your browser downloads a .json file.</w:t>
      </w:r>
    </w:p>
    <w:p>
      <w:r>
        <w:t>After saving, the tab is automatically renamed to match the saved name. The next time you open the Save dialog the name is already filled in — no retyping required.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Give subgraphs descriptive names so you can identify them later, e.g. "KRAS_neighbors_2026-06".</w:t>
            </w:r>
          </w:p>
        </w:tc>
      </w:tr>
    </w:tbl>
    <w:p/>
    <w:p>
      <w:pPr>
        <w:pStyle w:val="Heading2"/>
        <w:spacing w:before="160"/>
      </w:pPr>
      <w:r>
        <w:t>7.2  Export CSV</w:t>
      </w:r>
    </w:p>
    <w:p>
      <w:r>
        <w:t>Go to File → Export CSV. Downloads graph-data.csv with all currently visible table rows and columns.</w:t>
      </w:r>
    </w:p>
    <w:p>
      <w:pPr>
        <w:pStyle w:val="Heading2"/>
        <w:spacing w:before="160"/>
      </w:pPr>
      <w:r>
        <w:t>7.3  Export Excel</w:t>
      </w:r>
    </w:p>
    <w:p>
      <w:r>
        <w:t>Go to File → Export Excel. Downloads graph-data.xlsx with clickable PMID/DOI links, colored sentence markup, and MedScan ID annotations.</w:t>
      </w:r>
    </w:p>
    <w:p>
      <w:pPr>
        <w:pStyle w:val="Heading1"/>
        <w:spacing w:before="280"/>
      </w:pPr>
      <w:r>
        <w:t>8. Using Multiple Tabs</w:t>
      </w:r>
    </w:p>
    <w:p>
      <w:r>
        <w:t>Graph Explorer supports multiple independent graph sessions in the same browser window. Each tab has its own graph, query history, table data, and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Action</w:t>
            </w:r>
          </w:p>
        </w:tc>
        <w:tc>
          <w:tcPr>
            <w:tcW w:type="dxa" w:w="4320"/>
            <w:tcW w:w="6768" w:type="dxa"/>
            <w:shd w:val="clear" w:color="auto" w:fill="D5E8F0"/>
          </w:tcPr>
          <w:p>
            <w:r>
              <w:rPr>
                <w:b/>
              </w:rPr>
              <w:t>How</w:t>
            </w:r>
          </w:p>
        </w:tc>
      </w:tr>
      <w:tr>
        <w:tc>
          <w:tcPr>
            <w:tcW w:type="dxa" w:w="4320"/>
            <w:tcW w:w="2592" w:type="dxa"/>
          </w:tcPr>
          <w:p>
            <w:r>
              <w:rPr>
                <w:b/>
              </w:rPr>
              <w:t>Open a new tab</w:t>
            </w:r>
          </w:p>
        </w:tc>
        <w:tc>
          <w:tcPr>
            <w:tcW w:type="dxa" w:w="4320"/>
            <w:tcW w:w="6768" w:type="dxa"/>
          </w:tcPr>
          <w:p>
            <w:r>
              <w:t>Click the + button at the right end of the tab bar</w:t>
            </w:r>
          </w:p>
        </w:tc>
      </w:tr>
      <w:tr>
        <w:tc>
          <w:tcPr>
            <w:tcW w:type="dxa" w:w="4320"/>
            <w:tcW w:w="2592" w:type="dxa"/>
          </w:tcPr>
          <w:p>
            <w:r>
              <w:rPr>
                <w:b/>
              </w:rPr>
              <w:t>Switch tabs</w:t>
            </w:r>
          </w:p>
        </w:tc>
        <w:tc>
          <w:tcPr>
            <w:tcW w:type="dxa" w:w="4320"/>
            <w:tcW w:w="6768" w:type="dxa"/>
          </w:tcPr>
          <w:p>
            <w:r>
              <w:t>Click the tab name</w:t>
            </w:r>
          </w:p>
        </w:tc>
      </w:tr>
      <w:tr>
        <w:tc>
          <w:tcPr>
            <w:tcW w:type="dxa" w:w="4320"/>
            <w:tcW w:w="2592" w:type="dxa"/>
          </w:tcPr>
          <w:p>
            <w:r>
              <w:rPr>
                <w:b/>
              </w:rPr>
              <w:t>Close a tab</w:t>
            </w:r>
          </w:p>
        </w:tc>
        <w:tc>
          <w:tcPr>
            <w:tcW w:type="dxa" w:w="4320"/>
            <w:tcW w:w="6768" w:type="dxa"/>
          </w:tcPr>
          <w:p>
            <w:r>
              <w:t>Click the × on the tab (not allowed when only one tab is open)</w:t>
            </w:r>
          </w:p>
        </w:tc>
      </w:tr>
      <w:tr>
        <w:tc>
          <w:tcPr>
            <w:tcW w:type="dxa" w:w="4320"/>
            <w:tcW w:w="2592" w:type="dxa"/>
          </w:tcPr>
          <w:p>
            <w:r>
              <w:rPr>
                <w:b/>
              </w:rPr>
              <w:t>Tab name</w:t>
            </w:r>
          </w:p>
        </w:tc>
        <w:tc>
          <w:tcPr>
            <w:tcW w:type="dxa" w:w="4320"/>
            <w:tcW w:w="6768" w:type="dxa"/>
          </w:tcPr>
          <w:p>
            <w:r>
              <w:t>Set from file name or query; renamed automatically after saving</w:t>
            </w:r>
          </w:p>
        </w:tc>
      </w:tr>
    </w:tbl>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When you load an RNEF file with multiple pathways and select more than one, each additional pathway opens in its own tab automatically.</w:t>
            </w:r>
          </w:p>
        </w:tc>
      </w:tr>
    </w:tbl>
    <w:p/>
    <w:p>
      <w:pPr>
        <w:pStyle w:val="Heading1"/>
        <w:spacing w:before="280"/>
      </w:pPr>
      <w:r>
        <w:t>9. Node Cloning</w:t>
      </w:r>
    </w:p>
    <w:p>
      <w:r>
        <w:t>A clone is a second (or third) visual copy of the same biological entity, allowing the same molecule or gene to appear in multiple positions in the pathway diagram.</w:t>
      </w:r>
    </w:p>
    <w:p>
      <w:pPr>
        <w:pStyle w:val="Heading2"/>
        <w:spacing w:before="160"/>
      </w:pPr>
      <w:r>
        <w:t>9.1  Clones in RNEF Files</w:t>
      </w:r>
    </w:p>
    <w:p>
      <w:r>
        <w:t>When you load an RNEF pathway, nodes that appear more than once are automatically imported as clones at the positions specified in the RNEF file.</w:t>
      </w:r>
    </w:p>
    <w:p>
      <w:pPr>
        <w:pStyle w:val="Heading2"/>
        <w:spacing w:before="160"/>
      </w:pPr>
      <w:r>
        <w:t>9.2  Creating a Clone Manually</w:t>
      </w:r>
    </w:p>
    <w:p>
      <w:r>
        <w:t>Right-click any non-clone node and choose Clone node. A copy appears 140 pixels to the right of the original. Drag it to any position.</w:t>
      </w:r>
    </w:p>
    <w:p>
      <w:pPr>
        <w:pStyle w:val="Heading2"/>
        <w:spacing w:before="160"/>
      </w:pPr>
      <w:r>
        <w:t>9.3  Recognising Clones</w:t>
      </w:r>
    </w:p>
    <w:p>
      <w:r>
        <w:t>Clone nodes have a gold double-border. The tooltip shows a gold "⬦ Clone — same entity as original" badge.</w:t>
      </w:r>
    </w:p>
    <w:p>
      <w:pPr>
        <w:pStyle w:val="Heading2"/>
        <w:spacing w:before="160"/>
      </w:pPr>
      <w:r>
        <w:t>9.4  Merging Clones</w:t>
      </w:r>
    </w:p>
    <w:p>
      <w:r>
        <w:t>To collapse duplicate nodes back into one: select them all (including the original if desired) and right-click any one of them, then choose "🔀 Merge selected clones". One node is kept, all edges are redirected to it, and the duplicates are removed.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"Merge selected clones" appears only when two or more nodes sharing the same identity are selected.</w:t>
            </w:r>
          </w:p>
        </w:tc>
      </w:tr>
    </w:tbl>
    <w:p/>
    <w:p>
      <w:pPr>
        <w:pStyle w:val="Heading2"/>
        <w:spacing w:before="160"/>
      </w:pPr>
      <w:r>
        <w:t>9.5  Removing a Single Clone</w:t>
      </w:r>
    </w:p>
    <w:p>
      <w:r>
        <w:t>Right-click a clone node and choose Remove clone. Only the clone is removed; the original node is unaffected.</w:t>
      </w:r>
    </w:p>
    <w:p>
      <w:pPr>
        <w:pStyle w:val="Heading2"/>
        <w:spacing w:before="160"/>
      </w:pPr>
      <w:r>
        <w:t>9.6  Clones in Saved Files</w:t>
      </w:r>
    </w:p>
    <w:p>
      <w:r>
        <w:t>Clones are saved as part of the graph via File → Save Subgraph and are restored at their saved positions when the file is reopened.</w:t>
      </w:r>
    </w:p>
    <w:p>
      <w:pPr>
        <w:pStyle w:val="Heading1"/>
        <w:spacing w:before="280"/>
      </w:pPr>
      <w:r>
        <w:t>5. Querying the Database</w:t>
      </w:r>
    </w:p>
    <w:p>
      <w:r>
        <w:t xml:space="preserve">Graph Explorer can query Neo4j on behalf of the current graph to add new nodes and edges or find relations between existing ones. These commands are all in the Database menu.</w:t>
      </w:r>
    </w:p>
    <w:p>
      <w:pPr>
        <w:pStyle w:val="Heading2"/>
        <w:spacing w:before="160"/>
      </w:pPr>
      <w:r>
        <w:t>5.1  Find Relations Between Groups</w:t>
      </w:r>
    </w:p>
    <w:p>
      <w:r>
        <w:t xml:space="preserve">Go to Database → Find relations ▶ and choose a filter:</w:t>
      </w:r>
    </w:p>
    <w:p>
      <w:pPr>
        <w:pStyle w:val="ListBullet"/>
      </w:pPr>
      <w:r>
        <w:t xml:space="preserve">All — any relation type.</w:t>
      </w:r>
    </w:p>
    <w:p>
      <w:pPr>
        <w:pStyle w:val="ListBullet"/>
      </w:pPr>
      <w:r>
        <w:t xml:space="preserve">Direct physical interactions — direct causal relation types only.</w:t>
      </w:r>
    </w:p>
    <w:p>
      <w:pPr>
        <w:pStyle w:val="ListBullet"/>
      </w:pPr>
      <w:r>
        <w:t xml:space="preserve">Biomarker — Biomarker relation type only.</w:t>
      </w:r>
    </w:p>
    <w:p>
      <w:pPr>
        <w:pStyle w:val="ListBullet"/>
      </w:pPr>
      <w:r>
        <w:t xml:space="preserve">Indirect — indirect relation types only.</w:t>
      </w:r>
    </w:p>
    <w:p>
      <w:r>
        <w:t xml:space="preserve">The command searches Neo4j for relations that connect the selected nodes to the unselected nodes in the current graph. Select the nodes you are interested in first, then run the command. A confirmation dialog shows how many new relations were found and their breakdown by type. Click OK to add them to the graph.</w:t>
      </w:r>
    </w:p>
    <w:p>
      <w:pPr>
        <w:pStyle w:val="Heading2"/>
        <w:spacing w:before="160"/>
      </w:pPr>
      <w:r>
        <w:t>5.2  Load Similar Relations</w:t>
      </w:r>
    </w:p>
    <w:p>
      <w:r>
        <w:t xml:space="preserve">Go to Database → Find relations ▶ → Load similar relations. This command takes every edge in the current graph that does not yet have a RelationID (typically edges loaded from an RNEF file) and searches Neo4j for the closest matching relation. It fills in the RelationID for exact matches and adds new similar-relation edges for close matches. A summary dialog reports how many edges were matched and how many new edges were added. The command runs in the background — a status message appears in the header bar while it is working.</w:t>
      </w:r>
    </w:p>
    <w:p>
      <w:pPr>
        <w:pStyle w:val="Heading2"/>
        <w:spacing w:before="160"/>
      </w:pPr>
      <w:r>
        <w:t>5.3  Expand Selected Nodes</w:t>
      </w:r>
    </w:p>
    <w:p>
      <w:r>
        <w:t xml:space="preserve">Select one or more nodes, then go to Database → Expand ▶ and choose a mode:</w:t>
      </w:r>
    </w:p>
    <w:p>
      <w:pPr>
        <w:pStyle w:val="ListBullet"/>
      </w:pPr>
      <w:r>
        <w:t xml:space="preserve">Expand All — fetches all neighbours of the selected nodes from Neo4j.</w:t>
      </w:r>
    </w:p>
    <w:p>
      <w:pPr>
        <w:pStyle w:val="ListBullet"/>
      </w:pPr>
      <w:r>
        <w:t xml:space="preserve">Expand To… — opens a dialog where you choose which node types to include (e.g. only Protein and Disease neighbours).</w:t>
      </w:r>
    </w:p>
    <w:p>
      <w:pPr>
        <w:pStyle w:val="ListBullet"/>
      </w:pPr>
      <w:r>
        <w:t xml:space="preserve">Find relations between selected and unselected — same as Find relations (All) routed through the expand pipeline.</w:t>
      </w:r>
    </w:p>
    <w:p>
      <w:pPr>
        <w:pStyle w:val="ListBullet"/>
      </w:pPr>
      <w:r>
        <w:t xml:space="preserve">Expand similar — fetches neighbours connected by indirect or binding relation types.</w:t>
      </w:r>
    </w:p>
    <w:p>
      <w:pPr>
        <w:pStyle w:val="ListBullet"/>
      </w:pPr>
      <w:r>
        <w:t xml:space="preserve">Expand direct — fetches neighbours connected by direct relation types only.</w:t>
      </w:r>
    </w:p>
    <w:p>
      <w:r>
        <w:t xml:space="preserve">After the query runs, a confirmation dialog shows the count of new nodes and edges that will be added. Click Confirm to add them or Cancel to discard. The operation is undoable (Ctrl+Z).</w:t>
      </w:r>
    </w:p>
    <w:p>
      <w:pPr>
        <w:pStyle w:val="Heading2"/>
        <w:spacing w:before="160"/>
      </w:pPr>
      <w:r>
        <w:t>5.4  Export Query Data</w:t>
      </w:r>
    </w:p>
    <w:p>
      <w:r>
        <w:t xml:space="preserve">Go to Database → Export query data ▶ to run the current Cypher query and download its results directly, without loading them into the graph. Two options:</w:t>
      </w:r>
    </w:p>
    <w:p>
      <w:pPr>
        <w:pStyle w:val="ListBullet"/>
      </w:pPr>
      <w:r>
        <w:t xml:space="preserve">Export references for current query — downloads query-references.csv with one row per literature reference for each relation in the result set.</w:t>
      </w:r>
    </w:p>
    <w:p>
      <w:pPr>
        <w:pStyle w:val="ListBullet"/>
      </w:pPr>
      <w:r>
        <w:t xml:space="preserve">Export relations for current query — downloads query-relations.csv with one row per relation (Regulator, Target, Type, Effect, Mechanism, reference count, RelationID).</w:t>
      </w:r>
    </w:p>
    <w:p>
      <w:r>
        <w:t xml:space="preserve">If the query returns more than 20 000 rows a warning appears before the download begins.</w:t>
      </w:r>
    </w:p>
    <w:p>
      <w:pPr>
        <w:pStyle w:val="Heading1"/>
        <w:spacing w:before="280"/>
      </w:pPr>
      <w:r>
        <w:t>10. Selection, Copy &amp; Paste</w:t>
      </w:r>
    </w:p>
    <w:p>
      <w:pPr>
        <w:pStyle w:val="Heading2"/>
        <w:spacing w:before="160"/>
      </w:pPr>
      <w:r>
        <w:t>10.1  Selecting Elements</w:t>
      </w:r>
    </w:p>
    <w:p>
      <w:pPr>
        <w:pStyle w:val="ListBullet"/>
      </w:pPr>
      <w:r>
        <w:rPr>
          <w:b/>
        </w:rPr>
        <w:t>Click a node or edge</w:t>
      </w:r>
      <w:r>
        <w:t xml:space="preserve"> — selects that element (click background to deselect)</w:t>
      </w:r>
    </w:p>
    <w:p>
      <w:pPr>
        <w:pStyle w:val="ListBullet"/>
      </w:pPr>
      <w:r>
        <w:rPr>
          <w:b/>
        </w:rPr>
        <w:t>Box select (default drag)</w:t>
      </w:r>
      <w:r>
        <w:t xml:space="preserve"> — drag on empty canvas; all enclosed elements are selected</w:t>
      </w:r>
    </w:p>
    <w:p>
      <w:pPr>
        <w:pStyle w:val="ListBullet"/>
      </w:pPr>
      <w:r>
        <w:rPr>
          <w:b/>
        </w:rPr>
        <w:t>Select → All Nodes</w:t>
      </w:r>
      <w:r>
        <w:t xml:space="preserve"> — selects every node</w:t>
      </w:r>
    </w:p>
    <w:p>
      <w:pPr>
        <w:pStyle w:val="ListBullet"/>
      </w:pPr>
      <w:r>
        <w:rPr>
          <w:b/>
        </w:rPr>
        <w:t>Select → All Edges</w:t>
      </w:r>
      <w:r>
        <w:t xml:space="preserve"> — selects every edge</w:t>
      </w:r>
    </w:p>
    <w:p>
      <w:pPr>
        <w:pStyle w:val="ListBullet"/>
      </w:pPr>
      <w:r>
        <w:rPr>
          <w:b/>
        </w:rPr>
        <w:t>Select → Invert Selection</w:t>
      </w:r>
      <w:r>
        <w:t xml:space="preserve"> — swaps selected and unselected</w:t>
      </w:r>
    </w:p>
    <w:p>
      <w:pPr>
        <w:pStyle w:val="Heading2"/>
        <w:spacing w:before="160"/>
      </w:pPr>
      <w:r>
        <w:t>10.2  Move Mode vs. Box Select Mode</w:t>
      </w:r>
    </w:p>
    <w:p>
      <w:r>
        <w:t>By default, dragging on empty canvas performs box selection. Enable Select → Move Mode to pan the canvas instead.</w:t>
      </w:r>
    </w:p>
    <w:p>
      <w:pPr>
        <w:pStyle w:val="Heading2"/>
        <w:spacing w:before="160"/>
      </w:pPr>
      <w:r>
        <w:t>10.3  Copy</w:t>
      </w:r>
    </w:p>
    <w:p>
      <w:r>
        <w:t>Select nodes and/or edges, then Edit → Copy. When edges are copied, their endpoint nodes are included automatically.</w:t>
      </w:r>
    </w:p>
    <w:p>
      <w:pPr>
        <w:pStyle w:val="Heading2"/>
        <w:spacing w:before="160"/>
      </w:pPr>
      <w:r>
        <w:t>10.4  Paste — Smart Merge</w:t>
      </w:r>
    </w:p>
    <w:p>
      <w:r>
        <w:t>Use Edit → Paste. The clipboard contents are added to the current graph with the following smart-merge rules:</w:t>
      </w:r>
    </w:p>
    <w:p>
      <w:pPr>
        <w:pStyle w:val="ListBullet"/>
      </w:pPr>
      <w:r>
        <w:t>Any pasted node whose URN matches an existing node is merged into that node rather than creating a duplicate. The status bar reports how many nodes were merged.</w:t>
      </w:r>
    </w:p>
    <w:p>
      <w:pPr>
        <w:pStyle w:val="ListBullet"/>
      </w:pPr>
      <w:r>
        <w:t>Any pasted edge that is identical to an existing edge (same RelationID, or same direction + type + effect + mechanism) is silently skipped. The status bar reports how many duplicate edges were skipped.</w:t>
      </w:r>
    </w:p>
    <w:p>
      <w:r>
        <w:t>This makes it safe to transfer relations from one pathway into another that shares nodes — only genuinely new data is added.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You can copy elements from one tab and paste them into a different tab. Shared nodes are merged automatically.</w:t>
            </w:r>
          </w:p>
        </w:tc>
      </w:tr>
    </w:tbl>
    <w:p/>
    <w:p>
      <w:pPr>
        <w:pStyle w:val="Heading2"/>
        <w:spacing w:before="160"/>
      </w:pPr>
      <w:r>
        <w:t>10.5  Delete</w:t>
      </w:r>
    </w:p>
    <w:p>
      <w:r>
        <w:t>Select elements and use Edit → Delete to remove them from the canvas.</w:t>
      </w:r>
    </w:p>
    <w:p>
      <w:pPr>
        <w:pStyle w:val="Heading1"/>
        <w:spacing w:before="280"/>
      </w:pPr>
      <w:r>
        <w:t>11. Editing Properties</w:t>
      </w:r>
    </w:p>
    <w:p>
      <w:r>
        <w:t>Graph Explorer lets you view and update the Neo4j properties of nodes and edges directly. Changes are written to the database immediately.</w:t>
      </w:r>
    </w:p>
    <w:p>
      <w:pPr>
        <w:pStyle w:val="Heading2"/>
        <w:spacing w:before="160"/>
      </w:pPr>
      <w:r>
        <w:t>11.1  Opening the Property Editor</w:t>
      </w:r>
    </w:p>
    <w:p>
      <w:r>
        <w:t>Right-click any node or edge on the canvas and choose Edit Properties. You can also right-click a row in the Table view.</w:t>
      </w:r>
    </w:p>
    <w:p>
      <w:pPr>
        <w:pStyle w:val="Heading2"/>
        <w:spacing w:before="160"/>
      </w:pPr>
      <w:r>
        <w:t>11.2  Editing Properties</w:t>
      </w:r>
    </w:p>
    <w:p>
      <w:pPr>
        <w:pStyle w:val="ListBullet"/>
      </w:pPr>
      <w:r>
        <w:t>Click in any value field and type to edit it.</w:t>
      </w:r>
    </w:p>
    <w:p>
      <w:pPr>
        <w:pStyle w:val="ListBullet"/>
      </w:pPr>
      <w:r>
        <w:t>Click ✕ on a row to delete that property.</w:t>
      </w:r>
    </w:p>
    <w:p>
      <w:pPr>
        <w:pStyle w:val="ListBullet"/>
      </w:pPr>
      <w:r>
        <w:t>Click Add property to append a new blank row.</w:t>
      </w:r>
    </w:p>
    <w:p>
      <w:pPr>
        <w:pStyle w:val="Heading2"/>
        <w:spacing w:before="160"/>
      </w:pPr>
      <w:r>
        <w:t>11.3  Saving</w:t>
      </w:r>
    </w:p>
    <w:p>
      <w:r>
        <w:t>Click Save. A green "Saved!" message confirms success and the dialog closes after 0.9 seconds.</w:t>
      </w:r>
    </w:p>
    <w:p>
      <w:pPr>
        <w:pStyle w:val="Heading2"/>
        <w:spacing w:before="160"/>
      </w:pPr>
      <w:r>
        <w:t>11.4  References (Edges Only)</w:t>
      </w:r>
    </w:p>
    <w:p>
      <w:r>
        <w:t>When editing an edge, a second read-only section shows the PostgreSQL references linked to that relation.</w:t>
      </w:r>
    </w:p>
    <w:p>
      <w:pPr>
        <w:pStyle w:val="Heading1"/>
        <w:spacing w:before="280"/>
      </w:pPr>
      <w:r>
        <w:t>12. Administrator Features</w:t>
      </w:r>
    </w:p>
    <w:p>
      <w:r>
        <w:t>The following features are available only to users with the administrator role.</w:t>
      </w:r>
    </w:p>
    <w:p>
      <w:pPr>
        <w:pStyle w:val="Heading2"/>
        <w:spacing w:before="160"/>
      </w:pPr>
      <w:r>
        <w:t>12.1  Database Connection Settings</w:t>
      </w:r>
    </w:p>
    <w:p>
      <w:r>
        <w:t>Click ⚙ Settings ▾ → Database → Neo4j to configure the Neo4j connection (URL, database name, username, password). Click ⚙ Settings ▾ → Database → Postgres to configure PostgreSQL (host, port, database, schema, username, password).</w:t>
      </w:r>
    </w:p>
    <w:p>
      <w:r>
        <w:t>Both dialogs include a "Test &amp; Save" button. If the test fails the old settings are preserved. Saved settings persist to settings.json on the server and survive restarts.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A server restart is not required when connection settings change.</w:t>
            </w:r>
          </w:p>
        </w:tc>
      </w:tr>
    </w:tbl>
    <w:p/>
    <w:p>
      <w:pPr>
        <w:pStyle w:val="Heading2"/>
        <w:spacing w:before="160"/>
      </w:pPr>
      <w:r>
        <w:t>12.2  User Management</w:t>
      </w:r>
    </w:p>
    <w:p>
      <w:r>
        <w:t>Click ⚙ Settings ▾ → Admin → Users. From this dialog you can add users (username, password, role) and remove users. The built-in admin account cannot be deleted.</w:t>
      </w:r>
    </w:p>
    <w:p>
      <w:pPr>
        <w:pStyle w:val="Heading2"/>
        <w:spacing w:before="160"/>
      </w:pPr>
      <w:r>
        <w:t>12.3  SQL Query</w:t>
      </w:r>
    </w:p>
    <w:p>
      <w:r>
        <w:t>Go to Database → Postgres SQL. Type a direct PostgreSQL SELECT query and see the results in a table.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Only SELECT and WITH statements are permitted.</w:t>
            </w:r>
          </w:p>
        </w:tc>
      </w:tr>
    </w:tbl>
    <w:p/>
    <w:p>
      <w:pPr>
        <w:pStyle w:val="Heading1"/>
        <w:spacing w:before="280"/>
      </w:pPr>
      <w:r>
        <w:t>13. Tips &amp; Troubleshooting</w:t>
      </w:r>
    </w:p>
    <w:p>
      <w:pPr>
        <w:pStyle w:val="Heading2"/>
        <w:spacing w:before="160"/>
      </w:pPr>
      <w:r>
        <w:t>13.1  Graph is Blank After Loading a File</w:t>
      </w:r>
    </w:p>
    <w:p>
      <w:r>
        <w:t>Switch back to the tab and click Fit if the layout did not finish rendering after a tab switch.</w:t>
      </w:r>
    </w:p>
    <w:p>
      <w:pPr>
        <w:pStyle w:val="Heading2"/>
        <w:spacing w:before="160"/>
      </w:pPr>
      <w:r>
        <w:t>13.2  Nodes Are Stacked on Top of Each Other</w:t>
      </w:r>
    </w:p>
    <w:p>
      <w:r>
        <w:t>Apply any automatic layout from View → Layout, then arrange and save again.</w:t>
      </w:r>
    </w:p>
    <w:p>
      <w:pPr>
        <w:pStyle w:val="Heading2"/>
        <w:spacing w:before="160"/>
      </w:pPr>
      <w:r>
        <w:t>13.3  Enrichment Did Not Run</w:t>
      </w:r>
    </w:p>
    <w:p>
      <w:r>
        <w:t>"Loading matching data from database..." should appear briefly after loading. If it does not, the Neo4j connection may be unavailable. The graph still loads from the file.</w:t>
      </w:r>
    </w:p>
    <w:p>
      <w:pPr>
        <w:pStyle w:val="Heading2"/>
        <w:spacing w:before="160"/>
      </w:pPr>
      <w:r>
        <w:t>13.4  References Do Not Load in Table View</w:t>
      </w:r>
    </w:p>
    <w:p>
      <w:r>
        <w:t>The References Table requires PostgreSQL. An administrator can verify the connection via ⚙ Settings ▾ → Database → Postgres.</w:t>
      </w:r>
    </w:p>
    <w:p>
      <w:pPr>
        <w:pStyle w:val="Heading2"/>
        <w:spacing w:before="160"/>
      </w:pPr>
      <w:r>
        <w:t>13.5  Export Excel Button Does Nothing</w:t>
      </w:r>
    </w:p>
    <w:p>
      <w:r>
        <w:t>The Excel export requires ExcelJS to load from the internet. Ensure your browser has network access.</w:t>
      </w:r>
    </w:p>
    <w:p>
      <w:pPr>
        <w:pStyle w:val="Heading2"/>
        <w:spacing w:before="160"/>
      </w:pPr>
      <w:r>
        <w:t>13.6  Session Expired</w:t>
      </w:r>
    </w:p>
    <w:p>
      <w:r>
        <w:t>After 12 hours of inactivity the session token expires. Use File → Save Subgraph before long breaks.</w:t>
      </w:r>
    </w:p>
    <w:p>
      <w:pPr>
        <w:pStyle w:val="Heading2"/>
        <w:spacing w:before="160"/>
      </w:pPr>
      <w:r>
        <w:t>13.7  Cannot See Database Connection Settings</w:t>
      </w:r>
    </w:p>
    <w:p>
      <w:r>
        <w:t>Database connection settings are admin-only. They appear in ⚙ Settings ▾ → Database only for admin accounts.</w:t>
      </w:r>
    </w:p>
    <w:p>
      <w:pPr>
        <w:pStyle w:val="Heading2"/>
        <w:spacing w:before="160"/>
      </w:pPr>
      <w:r>
        <w:t>13.8  Keyboard Shortcuts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168" w:type="dxa"/>
            <w:shd w:val="clear" w:color="auto" w:fill="D5E8F0"/>
          </w:tcPr>
          <w:p>
            <w:r>
              <w:rPr>
                <w:b/>
              </w:rPr>
              <w:t>Shortcut</w:t>
            </w:r>
          </w:p>
        </w:tc>
        <w:tc>
          <w:tcPr>
            <w:tcW w:type="dxa" w:w="4320"/>
            <w:tcW w:w="6192" w:type="dxa"/>
            <w:shd w:val="clear" w:color="auto" w:fill="D5E8F0"/>
          </w:tcPr>
          <w:p>
            <w:r>
              <w:rPr>
                <w:b/>
              </w:rPr>
              <w:t>Action</w:t>
            </w:r>
          </w:p>
        </w:tc>
      </w:tr>
      <w:tr>
        <w:tc>
          <w:tcPr>
            <w:tcW w:type="dxa" w:w="4320"/>
            <w:tcW w:w="3168" w:type="dxa"/>
          </w:tcPr>
          <w:p>
            <w:r>
              <w:rPr>
                <w:b/>
              </w:rPr>
              <w:t>Ctrl+Enter / Cmd+Enter</w:t>
            </w:r>
          </w:p>
        </w:tc>
        <w:tc>
          <w:tcPr>
            <w:tcW w:type="dxa" w:w="4320"/>
            <w:tcW w:w="6192" w:type="dxa"/>
          </w:tcPr>
          <w:p>
            <w:r>
              <w:t>Run the Cypher query</w:t>
            </w:r>
          </w:p>
        </w:tc>
      </w:tr>
      <w:tr>
        <w:tc>
          <w:tcPr>
            <w:tcW w:type="dxa" w:w="4320"/>
            <w:tcW w:w="3168" w:type="dxa"/>
          </w:tcPr>
          <w:p>
            <w:r>
              <w:rPr>
                <w:b/>
              </w:rPr>
              <w:t>Ctrl+Z / Cmd+Z</w:t>
            </w:r>
          </w:p>
        </w:tc>
        <w:tc>
          <w:tcPr>
            <w:tcW w:type="dxa" w:w="4320"/>
            <w:tcW w:w="6192" w:type="dxa"/>
          </w:tcPr>
          <w:p>
            <w:r>
              <w:t>Undo last graph operation</w:t>
            </w:r>
          </w:p>
        </w:tc>
      </w:tr>
      <w:tr>
        <w:tc>
          <w:tcPr>
            <w:tcW w:type="dxa" w:w="4320"/>
            <w:tcW w:w="3168" w:type="dxa"/>
          </w:tcPr>
          <w:p>
            <w:r>
              <w:rPr>
                <w:b/>
              </w:rPr>
              <w:t>Escape</w:t>
            </w:r>
          </w:p>
        </w:tc>
        <w:tc>
          <w:tcPr>
            <w:tcW w:type="dxa" w:w="4320"/>
            <w:tcW w:w="6192" w:type="dxa"/>
          </w:tcPr>
          <w:p>
            <w:r>
              <w:t>Close the Find popup</w:t>
            </w:r>
          </w:p>
        </w:tc>
      </w:tr>
    </w:tbl>
    <w:p/>
    <w:p>
      <w:pPr>
        <w:pStyle w:val="Heading1"/>
        <w:spacing w:before="280"/>
      </w:pPr>
      <w:r>
        <w:t>14. Quick Reference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600" w:type="dxa"/>
            <w:shd w:val="clear" w:color="auto" w:fill="D5E8F0"/>
          </w:tcPr>
          <w:p>
            <w:r>
              <w:rPr>
                <w:b/>
              </w:rPr>
              <w:t>Task</w:t>
            </w:r>
          </w:p>
        </w:tc>
        <w:tc>
          <w:tcPr>
            <w:tcW w:type="dxa" w:w="4320"/>
            <w:tcW w:w="5760" w:type="dxa"/>
            <w:shd w:val="clear" w:color="auto" w:fill="D5E8F0"/>
          </w:tcPr>
          <w:p>
            <w:r>
              <w:rPr>
                <w:b/>
              </w:rPr>
              <w:t>How</w:t>
            </w:r>
          </w:p>
        </w:tc>
      </w:tr>
      <w:tr>
        <w:tc>
          <w:tcPr>
            <w:tcW w:type="dxa" w:w="4320"/>
            <w:tcW w:w="3600" w:type="dxa"/>
          </w:tcPr>
          <w:p>
            <w:r>
              <w:rPr>
                <w:b/>
              </w:rPr>
              <w:t>Load Cypher query</w:t>
            </w:r>
          </w:p>
        </w:tc>
        <w:tc>
          <w:tcPr>
            <w:tcW w:type="dxa" w:w="4320"/>
            <w:tcW w:w="5760" w:type="dxa"/>
          </w:tcPr>
          <w:p>
            <w:r>
              <w:t>Database → Neo4j Cypher → type query → Run</w:t>
            </w:r>
          </w:p>
        </w:tc>
      </w:tr>
      <w:tr>
        <w:tc>
          <w:tcPr>
            <w:tcW w:type="dxa" w:w="4320"/>
            <w:tcW w:w="3600" w:type="dxa"/>
          </w:tcPr>
          <w:p>
            <w:r>
              <w:rPr>
                <w:b/>
              </w:rPr>
              <w:t>Open saved file</w:t>
            </w:r>
          </w:p>
        </w:tc>
        <w:tc>
          <w:tcPr>
            <w:tcW w:type="dxa" w:w="4320"/>
            <w:tcW w:w="5760" w:type="dxa"/>
          </w:tcPr>
          <w:p>
            <w:r>
              <w:t>File → Open... → select .json or .rnef</w:t>
            </w:r>
          </w:p>
        </w:tc>
      </w:tr>
      <w:tr>
        <w:tc>
          <w:tcPr>
            <w:tcW w:type="dxa" w:w="4320"/>
            <w:tcW w:w="3600" w:type="dxa"/>
          </w:tcPr>
          <w:p>
            <w:r>
              <w:rPr>
                <w:b/>
              </w:rPr>
              <w:t>Save current graph</w:t>
            </w:r>
          </w:p>
        </w:tc>
        <w:tc>
          <w:tcPr>
            <w:tcW w:type="dxa" w:w="4320"/>
            <w:tcW w:w="5760" w:type="dxa"/>
          </w:tcPr>
          <w:p>
            <w:r>
              <w:t>File → Save Subgraph → confirm/change name → Save</w:t>
            </w:r>
          </w:p>
        </w:tc>
      </w:tr>
      <w:tr>
        <w:tc>
          <w:tcPr>
            <w:tcW w:type="dxa" w:w="4320"/>
            <w:tcW w:w="3600" w:type="dxa"/>
          </w:tcPr>
          <w:p>
            <w:r>
              <w:rPr>
                <w:b/>
              </w:rPr>
              <w:t>Export data</w:t>
            </w:r>
          </w:p>
        </w:tc>
        <w:tc>
          <w:tcPr>
            <w:tcW w:type="dxa" w:w="4320"/>
            <w:tcW w:w="5760" w:type="dxa"/>
          </w:tcPr>
          <w:p>
            <w:r>
              <w:t>File → Export CSV  or  File → Export Excel</w:t>
            </w:r>
          </w:p>
        </w:tc>
      </w:tr>
      <w:tr>
        <w:tc>
          <w:tcPr>
            <w:tcW w:type="dxa" w:w="4320"/>
            <w:tcW w:w="3600" w:type="dxa"/>
          </w:tcPr>
          <w:p>
            <w:r>
              <w:rPr>
                <w:b/>
              </w:rPr>
              <w:t>Switch view</w:t>
            </w:r>
          </w:p>
        </w:tc>
        <w:tc>
          <w:tcPr>
            <w:tcW w:type="dxa" w:w="4320"/>
            <w:tcW w:w="5760" w:type="dxa"/>
          </w:tcPr>
          <w:p>
            <w:r>
              <w:t>View → Graph / References Table / Relations Table</w:t>
            </w:r>
          </w:p>
        </w:tc>
      </w:tr>
      <w:tr>
        <w:tc>
          <w:tcPr>
            <w:tcW w:type="dxa" w:w="4320"/>
            <w:tcW w:w="3600" w:type="dxa"/>
          </w:tcPr>
          <w:p>
            <w:r>
              <w:rPr>
                <w:b/>
              </w:rPr>
              <w:t>Change layout</w:t>
            </w:r>
          </w:p>
        </w:tc>
        <w:tc>
          <w:tcPr>
            <w:tcW w:type="dxa" w:w="4320"/>
            <w:tcW w:w="5760" w:type="dxa"/>
          </w:tcPr>
          <w:p>
            <w:r>
              <w:t>View → Layout → CoSE / Dagre / Circle / Concentric / Grid</w:t>
            </w:r>
          </w:p>
        </w:tc>
      </w:tr>
      <w:tr>
        <w:tc>
          <w:tcPr>
            <w:tcW w:type="dxa" w:w="4320"/>
            <w:tcW w:w="3600" w:type="dxa"/>
          </w:tcPr>
          <w:p>
            <w:r>
              <w:rPr>
                <w:b/>
              </w:rPr>
              <w:t>Add column</w:t>
            </w:r>
          </w:p>
        </w:tc>
        <w:tc>
          <w:tcPr>
            <w:tcW w:type="dxa" w:w="4320"/>
            <w:tcW w:w="5760" w:type="dxa"/>
          </w:tcPr>
          <w:p>
            <w:r>
              <w:t>View → Columns... → check column → Apply</w:t>
            </w:r>
          </w:p>
        </w:tc>
      </w:tr>
      <w:tr>
        <w:tc>
          <w:tcPr>
            <w:tcW w:type="dxa" w:w="4320"/>
            <w:tcW w:w="3600" w:type="dxa"/>
          </w:tcPr>
          <w:p>
            <w:r>
              <w:rPr>
                <w:b/>
              </w:rPr>
              <w:t>Add node-property column</w:t>
            </w:r>
          </w:p>
        </w:tc>
        <w:tc>
          <w:tcPr>
            <w:tcW w:type="dxa" w:w="4320"/>
            <w:tcW w:w="5760" w:type="dxa"/>
          </w:tcPr>
          <w:p>
            <w:r>
              <w:t>View → Columns... → Node properties → check property → Apply</w:t>
            </w:r>
          </w:p>
        </w:tc>
      </w:tr>
      <w:tr>
        <w:tc>
          <w:tcPr>
            <w:tcW w:type="dxa" w:w="4320"/>
            <w:tcW w:w="3600" w:type="dxa"/>
          </w:tcPr>
          <w:p>
            <w:r>
              <w:rPr>
                <w:b/>
              </w:rPr>
              <w:t>Reset columns</w:t>
            </w:r>
          </w:p>
        </w:tc>
        <w:tc>
          <w:tcPr>
            <w:tcW w:type="dxa" w:w="4320"/>
            <w:tcW w:w="5760" w:type="dxa"/>
          </w:tcPr>
          <w:p>
            <w:r>
              <w:t>View → Columns... → Reset to defaults</w:t>
            </w:r>
          </w:p>
        </w:tc>
      </w:tr>
      <w:tr>
        <w:tc>
          <w:tcPr>
            <w:tcW w:type="dxa" w:w="4320"/>
            <w:tcW w:w="3600" w:type="dxa"/>
          </w:tcPr>
          <w:p>
            <w:r>
              <w:rPr>
                <w:b/>
              </w:rPr>
              <w:t>Load node properties</w:t>
            </w:r>
          </w:p>
        </w:tc>
        <w:tc>
          <w:tcPr>
            <w:tcW w:type="dxa" w:w="4320"/>
            <w:tcW w:w="5760" w:type="dxa"/>
          </w:tcPr>
          <w:p>
            <w:r>
              <w:t>Database → Load node properties → select → Load</w:t>
            </w:r>
          </w:p>
        </w:tc>
      </w:tr>
      <w:tr>
        <w:tc>
          <w:tcPr>
            <w:tcW w:type="dxa" w:w="4320"/>
            <w:tcW w:w="3600" w:type="dxa"/>
          </w:tcPr>
          <w:p>
            <w:r>
              <w:rPr>
                <w:b/>
              </w:rPr>
              <w:t>Filter table rows</w:t>
            </w:r>
          </w:p>
        </w:tc>
        <w:tc>
          <w:tcPr>
            <w:tcW w:type="dxa" w:w="4320"/>
            <w:tcW w:w="5760" w:type="dxa"/>
          </w:tcPr>
          <w:p>
            <w:r>
              <w:t>View → Filter Rows → type in search bar</w:t>
            </w:r>
          </w:p>
        </w:tc>
      </w:tr>
      <w:tr>
        <w:tc>
          <w:tcPr>
            <w:tcW w:type="dxa" w:w="4320"/>
            <w:tcW w:w="3600" w:type="dxa"/>
          </w:tcPr>
          <w:p>
            <w:r>
              <w:rPr>
                <w:b/>
              </w:rPr>
              <w:t>Color sentences</w:t>
            </w:r>
          </w:p>
        </w:tc>
        <w:tc>
          <w:tcPr>
            <w:tcW w:type="dxa" w:w="4320"/>
            <w:tcW w:w="5760" w:type="dxa"/>
          </w:tcPr>
          <w:p>
            <w:r>
              <w:t>View → Color Sentences</w:t>
            </w:r>
          </w:p>
        </w:tc>
      </w:tr>
      <w:tr>
        <w:tc>
          <w:tcPr>
            <w:tcW w:type="dxa" w:w="4320"/>
            <w:tcW w:w="3600" w:type="dxa"/>
          </w:tcPr>
          <w:p>
            <w:r>
              <w:rPr>
                <w:b/>
              </w:rPr>
              <w:t>Find a node</w:t>
            </w:r>
          </w:p>
        </w:tc>
        <w:tc>
          <w:tcPr>
            <w:tcW w:type="dxa" w:w="4320"/>
            <w:tcW w:w="5760" w:type="dxa"/>
          </w:tcPr>
          <w:p>
            <w:r>
              <w:t>Click 🔍 in toolbar → type search text</w:t>
            </w:r>
          </w:p>
        </w:tc>
      </w:tr>
      <w:tr>
        <w:tc>
          <w:tcPr>
            <w:tcW w:type="dxa" w:w="4320"/>
            <w:tcW w:w="3600" w:type="dxa"/>
          </w:tcPr>
          <w:p>
            <w:r>
              <w:rPr>
                <w:b/>
              </w:rPr>
              <w:t>Align nodes</w:t>
            </w:r>
          </w:p>
        </w:tc>
        <w:tc>
          <w:tcPr>
            <w:tcW w:type="dxa" w:w="4320"/>
            <w:tcW w:w="5760" w:type="dxa"/>
          </w:tcPr>
          <w:p>
            <w:r>
              <w:t>Click focus node → Shift-select others → Align H or V icon</w:t>
            </w:r>
          </w:p>
        </w:tc>
      </w:tr>
      <w:tr>
        <w:tc>
          <w:tcPr>
            <w:tcW w:type="dxa" w:w="4320"/>
            <w:tcW w:w="3600" w:type="dxa"/>
          </w:tcPr>
          <w:p>
            <w:r>
              <w:rPr>
                <w:b/>
              </w:rPr>
              <w:t>Highlight nodes</w:t>
            </w:r>
          </w:p>
        </w:tc>
        <w:tc>
          <w:tcPr>
            <w:tcW w:type="dxa" w:w="4320"/>
            <w:tcW w:w="5760" w:type="dxa"/>
          </w:tcPr>
          <w:p>
            <w:r>
              <w:t>Select nodes → Highlight icon → pick color</w:t>
            </w:r>
          </w:p>
        </w:tc>
      </w:tr>
      <w:tr>
        <w:tc>
          <w:tcPr>
            <w:tcW w:type="dxa" w:w="4320"/>
            <w:tcW w:w="3600" w:type="dxa"/>
          </w:tcPr>
          <w:p>
            <w:r>
              <w:rPr>
                <w:b/>
              </w:rPr>
              <w:t>Change node color</w:t>
            </w:r>
          </w:p>
        </w:tc>
        <w:tc>
          <w:tcPr>
            <w:tcW w:type="dxa" w:w="4320"/>
            <w:tcW w:w="5760" w:type="dxa"/>
          </w:tcPr>
          <w:p>
            <w:r>
              <w:t>Select nodes → Color icon → pick color</w:t>
            </w:r>
          </w:p>
        </w:tc>
      </w:tr>
      <w:tr>
        <w:tc>
          <w:tcPr>
            <w:tcW w:type="dxa" w:w="4320"/>
            <w:tcW w:w="3600" w:type="dxa"/>
          </w:tcPr>
          <w:p>
            <w:r>
              <w:rPr>
                <w:b/>
              </w:rPr>
              <w:t>Resize nodes</w:t>
            </w:r>
          </w:p>
        </w:tc>
        <w:tc>
          <w:tcPr>
            <w:tcW w:type="dxa" w:w="4320"/>
            <w:tcW w:w="5760" w:type="dxa"/>
          </w:tcPr>
          <w:p>
            <w:r>
              <w:t>Select nodes → ⊕ or ⊖ in toolbar</w:t>
            </w:r>
          </w:p>
        </w:tc>
      </w:tr>
      <w:tr>
        <w:tc>
          <w:tcPr>
            <w:tcW w:type="dxa" w:w="4320"/>
            <w:tcW w:w="3600" w:type="dxa"/>
          </w:tcPr>
          <w:p>
            <w:r>
              <w:rPr>
                <w:b/>
              </w:rPr>
              <w:t>Undo</w:t>
            </w:r>
          </w:p>
        </w:tc>
        <w:tc>
          <w:tcPr>
            <w:tcW w:type="dxa" w:w="4320"/>
            <w:tcW w:w="5760" w:type="dxa"/>
          </w:tcPr>
          <w:p>
            <w:r>
              <w:t>Click ↩  or  Ctrl+Z</w:t>
            </w:r>
          </w:p>
        </w:tc>
      </w:tr>
      <w:tr>
        <w:tc>
          <w:tcPr>
            <w:tcW w:type="dxa" w:w="4320"/>
            <w:tcW w:w="3600" w:type="dxa"/>
          </w:tcPr>
          <w:p>
            <w:r>
              <w:rPr>
                <w:b/>
              </w:rPr>
              <w:t>New tab</w:t>
            </w:r>
          </w:p>
        </w:tc>
        <w:tc>
          <w:tcPr>
            <w:tcW w:type="dxa" w:w="4320"/>
            <w:tcW w:w="5760" w:type="dxa"/>
          </w:tcPr>
          <w:p>
            <w:r>
              <w:t>Click + in tab bar</w:t>
            </w:r>
          </w:p>
        </w:tc>
      </w:tr>
      <w:tr>
        <w:tc>
          <w:tcPr>
            <w:tcW w:type="dxa" w:w="4320"/>
            <w:tcW w:w="3600" w:type="dxa"/>
          </w:tcPr>
          <w:p>
            <w:r>
              <w:rPr>
                <w:b/>
              </w:rPr>
              <w:t>Copy / Paste</w:t>
            </w:r>
          </w:p>
        </w:tc>
        <w:tc>
          <w:tcPr>
            <w:tcW w:type="dxa" w:w="4320"/>
            <w:tcW w:w="5760" w:type="dxa"/>
          </w:tcPr>
          <w:p>
            <w:r>
              <w:t>Edit → Copy → switch tab if needed → Edit → Paste</w:t>
            </w:r>
          </w:p>
        </w:tc>
      </w:tr>
      <w:tr>
        <w:tc>
          <w:tcPr>
            <w:tcW w:type="dxa" w:w="4320"/>
            <w:tcW w:w="3600" w:type="dxa"/>
          </w:tcPr>
          <w:p>
            <w:r>
              <w:rPr>
                <w:b/>
              </w:rPr>
              <w:t>Delete selection</w:t>
            </w:r>
          </w:p>
        </w:tc>
        <w:tc>
          <w:tcPr>
            <w:tcW w:type="dxa" w:w="4320"/>
            <w:tcW w:w="5760" w:type="dxa"/>
          </w:tcPr>
          <w:p>
            <w:r>
              <w:t>Edit → Delete</w:t>
            </w:r>
          </w:p>
        </w:tc>
      </w:tr>
      <w:tr>
        <w:tc>
          <w:tcPr>
            <w:tcW w:type="dxa" w:w="4320"/>
            <w:tcW w:w="3600" w:type="dxa"/>
          </w:tcPr>
          <w:p>
            <w:r>
              <w:rPr>
                <w:b/>
              </w:rPr>
              <w:t>Clone a node</w:t>
            </w:r>
          </w:p>
        </w:tc>
        <w:tc>
          <w:tcPr>
            <w:tcW w:type="dxa" w:w="4320"/>
            <w:tcW w:w="5760" w:type="dxa"/>
          </w:tcPr>
          <w:p>
            <w:r>
              <w:t>Right-click node → Clone node</w:t>
            </w:r>
          </w:p>
        </w:tc>
      </w:tr>
      <w:tr>
        <w:tc>
          <w:tcPr>
            <w:tcW w:type="dxa" w:w="4320"/>
            <w:tcW w:w="3600" w:type="dxa"/>
          </w:tcPr>
          <w:p>
            <w:r>
              <w:rPr>
                <w:b/>
              </w:rPr>
              <w:t>Merge clones</w:t>
            </w:r>
          </w:p>
        </w:tc>
        <w:tc>
          <w:tcPr>
            <w:tcW w:type="dxa" w:w="4320"/>
            <w:tcW w:w="5760" w:type="dxa"/>
          </w:tcPr>
          <w:p>
            <w:r>
              <w:t>Select clones → right-click → Merge selected clones</w:t>
            </w:r>
          </w:p>
        </w:tc>
      </w:tr>
      <w:tr>
        <w:tc>
          <w:tcPr>
            <w:tcW w:type="dxa" w:w="4320"/>
            <w:tcW w:w="3600" w:type="dxa"/>
          </w:tcPr>
          <w:p>
            <w:r>
              <w:rPr>
                <w:b/>
              </w:rPr>
              <w:t>Remove clone</w:t>
            </w:r>
          </w:p>
        </w:tc>
        <w:tc>
          <w:tcPr>
            <w:tcW w:type="dxa" w:w="4320"/>
            <w:tcW w:w="5760" w:type="dxa"/>
          </w:tcPr>
          <w:p>
            <w:r>
              <w:t>Right-click clone → Remove clone</w:t>
            </w:r>
          </w:p>
        </w:tc>
      </w:tr>
      <w:tr>
        <w:tc>
          <w:tcPr>
            <w:tcW w:type="dxa" w:w="4320"/>
            <w:tcW w:w="3600" w:type="dxa"/>
          </w:tcPr>
          <w:p>
            <w:r>
              <w:rPr>
                <w:b/>
              </w:rPr>
              <w:t>Edit properties</w:t>
            </w:r>
          </w:p>
        </w:tc>
        <w:tc>
          <w:tcPr>
            <w:tcW w:type="dxa" w:w="4320"/>
            <w:tcW w:w="5760" w:type="dxa"/>
          </w:tcPr>
          <w:p>
            <w:r>
              <w:t>Right-click node or edge → Edit Properties</w:t>
            </w:r>
          </w:p>
        </w:tc>
      </w:tr>
      <w:tr>
        <w:tc>
          <w:tcPr>
            <w:tcW w:type="dxa" w:w="4320"/>
            <w:tcW w:w="3600" w:type="dxa"/>
          </w:tcPr>
          <w:p>
            <w:r>
              <w:rPr>
                <w:b/>
              </w:rPr>
              <w:t>DB connection settings</w:t>
            </w:r>
          </w:p>
        </w:tc>
        <w:tc>
          <w:tcPr>
            <w:tcW w:type="dxa" w:w="4320"/>
            <w:tcW w:w="5760" w:type="dxa"/>
          </w:tcPr>
          <w:p>
            <w:r>
              <w:t>⚙ Settings ▾ → Database → Neo4j or Postgres  (admin)</w:t>
            </w:r>
          </w:p>
        </w:tc>
      </w:tr>
      <w:tr>
        <w:tc>
          <w:tcPr>
            <w:tcW w:type="dxa" w:w="4320"/>
            <w:tcW w:w="3600" w:type="dxa"/>
          </w:tcPr>
          <w:p>
            <w:r>
              <w:rPr>
                <w:b/>
              </w:rPr>
              <w:t>Manage users</w:t>
            </w:r>
          </w:p>
        </w:tc>
        <w:tc>
          <w:tcPr>
            <w:tcW w:type="dxa" w:w="4320"/>
            <w:tcW w:w="5760" w:type="dxa"/>
          </w:tcPr>
          <w:p>
            <w:r>
              <w:t>⚙ Settings ▾ → Admin → Users  (admin)</w:t>
            </w:r>
          </w:p>
        </w:tc>
      </w:tr>
      <w:tr>
        <w:tc>
          <w:tcPr>
            <w:tcW w:type="dxa" w:w="4320"/>
            <w:tcW w:w="3600" w:type="dxa"/>
          </w:tcPr>
          <w:p>
            <w:r>
              <w:rPr>
                <w:b/>
              </w:rPr>
              <w:t>Change password</w:t>
            </w:r>
          </w:p>
        </w:tc>
        <w:tc>
          <w:tcPr>
            <w:tcW w:type="dxa" w:w="4320"/>
            <w:tcW w:w="5760" w:type="dxa"/>
          </w:tcPr>
          <w:p>
            <w:r>
              <w:t>⚙ Settings ▾ → Admin → Change Password</w:t>
            </w:r>
          </w:p>
        </w:tc>
      </w:tr>
      <w:tr>
        <w:tc>
          <w:tcPr>
            <w:tcW w:type="dxa" w:w="4320"/>
            <w:tcW w:w="3600" w:type="dxa"/>
          </w:tcPr>
          <w:p>
            <w:r>
              <w:rPr>
                <w:b/>
              </w:rPr>
              <w:t>SQL query</w:t>
            </w:r>
          </w:p>
        </w:tc>
        <w:tc>
          <w:tcPr>
            <w:tcW w:type="dxa" w:w="4320"/>
            <w:tcW w:w="5760" w:type="dxa"/>
          </w:tcPr>
          <w:p>
            <w:r>
              <w:t>Database → Postgres SQL  (admin)</w:t>
            </w:r>
          </w:p>
        </w:tc>
      </w:tr>
      <w:tr>
        <w:tc>
          <w:tcPr>
            <w:tcW w:type="dxa" w:w="4320"/>
          </w:tcPr>
          <w:p>
            <w:r>
              <w:t>Find relations between groups</w:t>
            </w:r>
          </w:p>
        </w:tc>
        <w:tc>
          <w:tcPr>
            <w:tcW w:type="dxa" w:w="4320"/>
          </w:tcPr>
          <w:p>
            <w:r>
              <w:t xml:space="preserve">Select nodes → Database → Find relations ▶ → choose filter</w:t>
            </w:r>
          </w:p>
        </w:tc>
      </w:tr>
      <w:tr>
        <w:tc>
          <w:tcPr>
            <w:tcW w:type="dxa" w:w="4320"/>
          </w:tcPr>
          <w:p>
            <w:r>
              <w:t>Load similar relations</w:t>
            </w:r>
          </w:p>
        </w:tc>
        <w:tc>
          <w:tcPr>
            <w:tcW w:type="dxa" w:w="4320"/>
          </w:tcPr>
          <w:p>
            <w:r>
              <w:t>Database → Find relations ▶ → Load similar relations</w:t>
            </w:r>
          </w:p>
        </w:tc>
      </w:tr>
      <w:tr>
        <w:tc>
          <w:tcPr>
            <w:tcW w:type="dxa" w:w="4320"/>
          </w:tcPr>
          <w:p>
            <w:r>
              <w:t>Expand selected nodes</w:t>
            </w:r>
          </w:p>
        </w:tc>
        <w:tc>
          <w:tcPr>
            <w:tcW w:type="dxa" w:w="4320"/>
          </w:tcPr>
          <w:p>
            <w:r>
              <w:t xml:space="preserve">Select nodes → Database → Expand ▶ → choose mode → Confirm</w:t>
            </w:r>
          </w:p>
        </w:tc>
      </w:tr>
      <w:tr>
        <w:tc>
          <w:tcPr>
            <w:tcW w:type="dxa" w:w="4320"/>
          </w:tcPr>
          <w:p>
            <w:r>
              <w:t>Export query references</w:t>
            </w:r>
          </w:p>
        </w:tc>
        <w:tc>
          <w:tcPr>
            <w:tcW w:type="dxa" w:w="4320"/>
          </w:tcPr>
          <w:p>
            <w:r>
              <w:t>Database → Export query data ▶ → Export references for current query</w:t>
            </w:r>
          </w:p>
        </w:tc>
      </w:tr>
      <w:tr>
        <w:tc>
          <w:tcPr>
            <w:tcW w:type="dxa" w:w="4320"/>
          </w:tcPr>
          <w:p>
            <w:r>
              <w:t>Export query relations</w:t>
            </w:r>
          </w:p>
        </w:tc>
        <w:tc>
          <w:tcPr>
            <w:tcW w:type="dxa" w:w="4320"/>
          </w:tcPr>
          <w:p>
            <w:r>
              <w:t>Database → Export query data ▶ → Export relations for current query</w:t>
            </w:r>
          </w:p>
        </w:tc>
      </w:tr>
    </w:tbl>
    <w:p/>
    <w:p>
      <w:pPr>
        <w:pStyle w:val="Heading1"/>
        <w:spacing w:before="280"/>
      </w:pPr>
      <w:r>
        <w:t>14. Merge Similar Relations</w:t>
      </w:r>
    </w:p>
    <w:p>
      <w:r>
        <w:t xml:space="preserve">The Merge Similar Relations command collapses redundant edges between the same pair of nodes into a single consolidated edge. It is available from the Graph menu (or right-click context menu on the canvas background).</w:t>
      </w:r>
    </w:p>
    <w:p>
      <w:pPr>
        <w:pStyle w:val="Heading2"/>
        <w:spacing w:before="160"/>
      </w:pPr>
      <w:r>
        <w:t>14.1  When to Use It</w:t>
      </w:r>
    </w:p>
    <w:p>
      <w:r>
        <w:t xml:space="preserve">Use this command after loading an RNEF pathway or combining graphs from different sources. When the same biological relationship is represented by more than one edge — for example, a Regulation edge and a QuantitativeChange edge connecting the same regulator and target — Merge Similar Relations collapses them, retaining the more specific relation type and accumulating the reference counts from both.</w:t>
      </w:r>
    </w:p>
    <w:p>
      <w:pPr>
        <w:pStyle w:val="Heading2"/>
        <w:spacing w:before="160"/>
      </w:pPr>
      <w:r>
        <w:t>14.2  Relation Priority</w:t>
      </w:r>
    </w:p>
    <w:p>
      <w:r>
        <w:t xml:space="preserve">When two eligible edges are merged, the one with the higher priority score survives as the anchor. Priority from lowest to highest:</w:t>
      </w:r>
    </w:p>
    <w:tbl>
      <w:tblPr>
        <w:tblW w:type="dxa" w:w="7640"/>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5440"/>
      </w:tblGrid>
      <w:tr>
        <w:tc>
          <w:tcPr>
            <w:tcW w:type="dxa" w:w="2200"/>
            <w:shd w:val="clear" w:fill="D9E2F3"/>
          </w:tcPr>
          <w:p>
            <w:r>
              <w:rPr>
                <w:b/>
              </w:rPr>
              <w:t xml:space="preserve">Priority</w:t>
            </w:r>
          </w:p>
        </w:tc>
        <w:tc>
          <w:tcPr>
            <w:tcW w:type="dxa" w:w="5440"/>
            <w:shd w:val="clear" w:fill="D9E2F3"/>
          </w:tcPr>
          <w:p>
            <w:r>
              <w:rPr>
                <w:b/>
              </w:rPr>
              <w:t xml:space="preserve">Relation types</w:t>
            </w:r>
          </w:p>
        </w:tc>
      </w:tr>
      <w:tr>
        <w:tc>
          <w:tcPr>
            <w:tcW w:type="dxa" w:w="2200"/>
          </w:tcPr>
          <w:p>
            <w:r>
              <w:t xml:space="preserve">Lowest (-2)</w:t>
            </w:r>
          </w:p>
        </w:tc>
        <w:tc>
          <w:tcPr>
            <w:tcW w:type="dxa" w:w="5440"/>
          </w:tcPr>
          <w:p>
            <w:r>
              <w:t xml:space="preserve">FunctionalAssociation</w:t>
            </w:r>
          </w:p>
        </w:tc>
      </w:tr>
      <w:tr>
        <w:tc>
          <w:tcPr>
            <w:tcW w:type="dxa" w:w="2200"/>
          </w:tcPr>
          <w:p>
            <w:r>
              <w:t xml:space="preserve">-1</w:t>
            </w:r>
          </w:p>
        </w:tc>
        <w:tc>
          <w:tcPr>
            <w:tcW w:type="dxa" w:w="5440"/>
          </w:tcPr>
          <w:p>
            <w:r>
              <w:t xml:space="preserve">Regulation</w:t>
            </w:r>
          </w:p>
        </w:tc>
      </w:tr>
      <w:tr>
        <w:tc>
          <w:tcPr>
            <w:tcW w:type="dxa" w:w="2200"/>
          </w:tcPr>
          <w:p>
            <w:r>
              <w:t xml:space="preserve">0</w:t>
            </w:r>
          </w:p>
        </w:tc>
        <w:tc>
          <w:tcPr>
            <w:tcW w:type="dxa" w:w="5440"/>
          </w:tcPr>
          <w:p>
            <w:r>
              <w:t xml:space="preserve">QuantitativeChange, StateChange</w:t>
            </w:r>
          </w:p>
        </w:tc>
      </w:tr>
      <w:tr>
        <w:tc>
          <w:tcPr>
            <w:tcW w:type="dxa" w:w="2200"/>
          </w:tcPr>
          <w:p>
            <w:r>
              <w:t xml:space="preserve">1</w:t>
            </w:r>
          </w:p>
        </w:tc>
        <w:tc>
          <w:tcPr>
            <w:tcW w:type="dxa" w:w="5440"/>
          </w:tcPr>
          <w:p>
            <w:r>
              <w:t xml:space="preserve">MolTransport, MolSynthesis, Expression</w:t>
            </w:r>
          </w:p>
        </w:tc>
      </w:tr>
      <w:tr>
        <w:tc>
          <w:tcPr>
            <w:tcW w:type="dxa" w:w="2200"/>
          </w:tcPr>
          <w:p>
            <w:r>
              <w:t xml:space="preserve">3</w:t>
            </w:r>
          </w:p>
        </w:tc>
        <w:tc>
          <w:tcPr>
            <w:tcW w:type="dxa" w:w="5440"/>
          </w:tcPr>
          <w:p>
            <w:r>
              <w:t xml:space="preserve">Biomarker</w:t>
            </w:r>
          </w:p>
        </w:tc>
      </w:tr>
      <w:tr>
        <w:tc>
          <w:tcPr>
            <w:tcW w:type="dxa" w:w="2200"/>
          </w:tcPr>
          <w:p>
            <w:r>
              <w:t xml:space="preserve">4</w:t>
            </w:r>
          </w:p>
        </w:tc>
        <w:tc>
          <w:tcPr>
            <w:tcW w:type="dxa" w:w="5440"/>
          </w:tcPr>
          <w:p>
            <w:r>
              <w:t xml:space="preserve">Binding</w:t>
            </w:r>
          </w:p>
        </w:tc>
      </w:tr>
      <w:tr>
        <w:tc>
          <w:tcPr>
            <w:tcW w:type="dxa" w:w="2200"/>
          </w:tcPr>
          <w:p>
            <w:r>
              <w:t xml:space="preserve">5</w:t>
            </w:r>
          </w:p>
        </w:tc>
        <w:tc>
          <w:tcPr>
            <w:tcW w:type="dxa" w:w="5440"/>
          </w:tcPr>
          <w:p>
            <w:r>
              <w:t xml:space="preserve">ProtModification</w:t>
            </w:r>
          </w:p>
        </w:tc>
      </w:tr>
      <w:tr>
        <w:tc>
          <w:tcPr>
            <w:tcW w:type="dxa" w:w="2200"/>
          </w:tcPr>
          <w:p>
            <w:r>
              <w:t xml:space="preserve">Highest (6)</w:t>
            </w:r>
          </w:p>
        </w:tc>
        <w:tc>
          <w:tcPr>
            <w:tcW w:type="dxa" w:w="5440"/>
          </w:tcPr>
          <w:p>
            <w:r>
              <w:t xml:space="preserve">PromoterBinding, DirectRegulation</w:t>
            </w:r>
          </w:p>
        </w:tc>
      </w:tr>
    </w:tbl>
    <w:p>
      <w:r>
        <w:t xml:space="preserve">PromoterBinding and DirectRegulation share the same priority but are NOT merged with each other. Regulation is always merged into the higher-priority type when they connect the same two nodes in the same direction.</w:t>
      </w:r>
    </w:p>
    <w:p>
      <w:pPr>
        <w:pStyle w:val="Heading2"/>
        <w:spacing w:before="160"/>
      </w:pPr>
      <w:r>
        <w:t>14.3  What Gets Merged</w:t>
      </w:r>
    </w:p>
    <w:p>
      <w:r>
        <w:t xml:space="preserve">A confirmation dialog appears before any changes are made. It reports:</w:t>
      </w:r>
    </w:p>
    <w:p>
      <w:pPr>
        <w:pStyle w:val="ListBullet"/>
      </w:pPr>
      <w:r>
        <w:t xml:space="preserve">How many edge groups were found</w:t>
      </w:r>
    </w:p>
    <w:p>
      <w:pPr>
        <w:pStyle w:val="ListBullet"/>
      </w:pPr>
      <w:r>
        <w:t xml:space="preserve">How many edges will be removed</w:t>
      </w:r>
    </w:p>
    <w:p>
      <w:pPr>
        <w:pStyle w:val="ListBullet"/>
      </w:pPr>
      <w:r>
        <w:t xml:space="preserve">A breakdown by relation type</w:t>
      </w:r>
    </w:p>
    <w:p>
      <w:r>
        <w:t xml:space="preserve">Click OK to proceed or Cancel to leave the graph unchanged. The operation is undoable with Ctrl+Z.</w:t>
      </w:r>
    </w:p>
    <w:p>
      <w:pPr>
        <w:pStyle w:val="Heading1"/>
        <w:spacing w:before="280"/>
      </w:pPr>
      <w:r>
        <w:t>15. Create/Edit Relation Dialog</w:t>
      </w:r>
    </w:p>
    <w:p>
      <w:r>
        <w:t xml:space="preserve">Right-click any edge and choose Edit Properties to open the Create/Edit Relation dialog. This dialog shows the relation type, directionality arrow, and editable property key/value pairs.</w:t>
      </w:r>
    </w:p>
    <w:p>
      <w:pPr>
        <w:pStyle w:val="Heading2"/>
        <w:spacing w:before="160"/>
      </w:pPr>
      <w:r>
        <w:t>15.1  Relation Type Dropdown</w:t>
      </w:r>
    </w:p>
    <w:p>
      <w:r>
        <w:t xml:space="preserve">The Relation type dropdown is populated from the Neo4j schema. On first open the dropdown immediately shows the relation type of the selected edge. The directional arrow between the two node names reflects the relation type and non-directional flag — it is rendered correctly from the very first open of the dialog.</w:t>
      </w:r>
    </w:p>
    <w:p>
      <w:pPr>
        <w:pStyle w:val="Heading2"/>
        <w:spacing w:before="160"/>
      </w:pPr>
      <w:r>
        <w:t>15.2  Schema Loading Indicator</w:t>
      </w:r>
    </w:p>
    <w:p>
      <w:r>
        <w:t xml:space="preserve">If you open the dialog very quickly after logging in, before the schema has fully loaded, a "Database schema is loading…" spinner appears over the dialog. The dialog becomes interactive automatically once the schema is ready. Under normal conditions (the schema loads in the background at login) this spinner is not visible.</w:t>
      </w:r>
    </w:p>
    <w:p>
      <w:pPr>
        <w:pStyle w:val="Heading1"/>
        <w:spacing w:before="280"/>
      </w:pPr>
      <w:r>
        <w:t>16. Ontology Analysis</w:t>
      </w:r>
    </w:p>
    <w:p>
      <w:r>
        <w:t xml:space="preserve">Ontology Analysis lets you browse the ontology hierarchy used in the database and see how many nodes in your current graph fall under each term.</w:t>
      </w:r>
    </w:p>
    <w:p>
      <w:pPr>
        <w:pStyle w:val="Heading2"/>
        <w:spacing w:before="160"/>
      </w:pPr>
      <w:r>
        <w:t>16.1  Opening the Dialog</w:t>
      </w:r>
    </w:p>
    <w:p>
      <w:r>
        <w:t xml:space="preserve">Go to Database → Ontology → Ontology Analysis.</w:t>
      </w:r>
    </w:p>
    <w:p>
      <w:pPr>
        <w:pStyle w:val="Heading2"/>
        <w:spacing w:before="160"/>
      </w:pPr>
      <w:r>
        <w:t>16.2  Browsing the Tree</w:t>
      </w:r>
    </w:p>
    <w:p>
      <w:r>
        <w:t xml:space="preserve">Root-level terms are listed automatically. Click ▶ next to any term to expand it and see its children. The count in brackets next to each term shows how many nodes in the current graph are descendants of that term.</w:t>
      </w:r>
    </w:p>
    <w:p>
      <w:pPr>
        <w:pStyle w:val="Heading2"/>
        <w:spacing w:before="160"/>
      </w:pPr>
      <w:r>
        <w:t>16.3  Copying a Term</w:t>
      </w:r>
    </w:p>
    <w:p>
      <w:r>
        <w:t xml:space="preserve">Click Copy next to any term to copy its name to the clipboard. You can then paste it into a Cypher query or a property value.</w:t>
      </w:r>
    </w:p>
    <w:p>
      <w:pPr>
        <w:pStyle w:val="Heading1"/>
        <w:spacing w:before="280"/>
      </w:pPr>
      <w:r>
        <w:t>17. Additional Troubleshooting (v2.2.0)</w:t>
      </w:r>
    </w:p>
    <w:tbl>
      <w:tblPr>
        <w:tblW w:type="dxa" w:w="8640"/>
        <w:tblBorders>
          <w:top w:val="single" w:sz="4" w:color="AAAAAA"/>
          <w:left w:val="single" w:sz="4" w:color="AAAAAA"/>
          <w:bottom w:val="single" w:sz="4" w:color="AAAAAA"/>
          <w:right w:val="single" w:sz="4" w:color="AAAAAA"/>
          <w:insideH w:val="single" w:sz="4" w:color="AAAAAA"/>
          <w:insideV w:val="single" w:sz="4" w:color="AAAAAA"/>
        </w:tblBorders>
      </w:tblPr>
      <w:tblGrid>
        <w:gridCol w:w="3000"/>
        <w:gridCol w:w="5640"/>
      </w:tblGrid>
      <w:tr>
        <w:tc>
          <w:tcPr>
            <w:tcW w:type="dxa" w:w="3000"/>
            <w:shd w:val="clear" w:fill="D9E2F3"/>
          </w:tcPr>
          <w:p>
            <w:r>
              <w:rPr>
                <w:b/>
              </w:rPr>
              <w:t xml:space="preserve">Problem</w:t>
            </w:r>
          </w:p>
        </w:tc>
        <w:tc>
          <w:tcPr>
            <w:tcW w:type="dxa" w:w="5640"/>
            <w:shd w:val="clear" w:fill="D9E2F3"/>
          </w:tcPr>
          <w:p>
            <w:r>
              <w:rPr>
                <w:b/>
              </w:rPr>
              <w:t xml:space="preserve">Fix</w:t>
            </w:r>
          </w:p>
        </w:tc>
      </w:tr>
      <w:tr>
        <w:tc>
          <w:tcPr>
            <w:tcW w:type="dxa" w:w="3000"/>
          </w:tcPr>
          <w:p>
            <w:r>
              <w:t xml:space="preserve">Create/Edit Relation dialog shows "?" instead of an arrow</w:t>
            </w:r>
          </w:p>
        </w:tc>
        <w:tc>
          <w:tcPr>
            <w:tcW w:type="dxa" w:w="5640"/>
          </w:tcPr>
          <w:p>
            <w:r>
              <w:t xml:space="preserve">The schema was not yet loaded. Wait for the "Database schema is loading…" spinner to disappear, then try again. Under normal conditions this should not occur.</w:t>
            </w:r>
          </w:p>
        </w:tc>
      </w:tr>
      <w:tr>
        <w:tc>
          <w:tcPr>
            <w:tcW w:type="dxa" w:w="3000"/>
          </w:tcPr>
          <w:p>
            <w:r>
              <w:t xml:space="preserve">"Unsafe PostgreSQL schema name rejected" error on startup</w:t>
            </w:r>
          </w:p>
        </w:tc>
        <w:tc>
          <w:tcPr>
            <w:tcW w:type="dxa" w:w="5640"/>
          </w:tcPr>
          <w:p>
            <w:r>
              <w:t xml:space="preserve">Open settings.json and replace "your-pg-schema" with your actual PostgreSQL schema name, then restart the server.</w:t>
            </w:r>
          </w:p>
        </w:tc>
      </w:tr>
      <w:tr>
        <w:tc>
          <w:tcPr>
            <w:tcW w:type="dxa" w:w="3000"/>
          </w:tcPr>
          <w:p>
            <w:r>
              <w:t xml:space="preserve">Merge Similar Relations finds groups but nothing changes</w:t>
            </w:r>
          </w:p>
        </w:tc>
        <w:tc>
          <w:tcPr>
            <w:tcW w:type="dxa" w:w="5640"/>
          </w:tcPr>
          <w:p>
            <w:r>
              <w:t xml:space="preserve">This was a bug fixed in v2.2.0. Update to the latest version.</w:t>
            </w:r>
          </w:p>
        </w:tc>
      </w:tr>
      <w:tr>
        <w:tc>
          <w:tcPr>
            <w:tcW w:type="dxa" w:w="3000"/>
          </w:tcPr>
          <w:p>
            <w:r>
              <w:t xml:space="preserve">Four "Schema cache refreshed" messages in the console</w:t>
            </w:r>
          </w:p>
        </w:tc>
        <w:tc>
          <w:tcPr>
            <w:tcW w:type="dxa" w:w="5640"/>
          </w:tcPr>
          <w:p>
            <w:r>
              <w:t xml:space="preserve">Fixed in v2.2.0. The schema is now fetched exactly once at startup using in-flight promise deduplication.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