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jc w:val="center"/>
      </w:pPr>
      <w:r>
        <w:rPr>
          <w:b/>
          <w:sz w:val="44"/>
        </w:rPr>
        <w:t>Graph Explorer</w:t>
      </w:r>
    </w:p>
    <w:p>
      <w:pPr>
        <w:jc w:val="center"/>
      </w:pPr>
      <w:r>
        <w:rPr>
          <w:sz w:val="28"/>
        </w:rPr>
        <w:t>Functional Requirements Document</w:t>
      </w:r>
    </w:p>
    <w:p>
      <w:pPr>
        <w:jc w:val="center"/>
      </w:pPr>
      <w:r>
        <w:rPr>
          <w:sz w:val="22"/>
        </w:rPr>
        <w:t>Version 2.2.0  ·  June 2026</w:t>
      </w:r>
    </w:p>
    <w:p>
      <w:pPr>
        <w:jc w:val="center"/>
      </w:pPr>
      <w:r>
        <w:rPr>
          <w:sz w:val="22"/>
        </w:rPr>
        <w:t>Biological Process Group  ·  Elsevier</w:t>
      </w:r>
    </w:p>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b/>
              </w:rPr>
              <w:t>Purpose of this document</w:t>
              <w:br/>
            </w:r>
            <w:r>
              <w:t>This document provides a complete specification of the Graph Explorer web application. It is intended to allow a developer — including an AI assistant in a future session — to understand, reproduce, and extend all functionality without access to the original developers.</w:t>
            </w:r>
          </w:p>
        </w:tc>
      </w:tr>
    </w:tbl>
    <w:p/>
    <w:p>
      <w:pPr>
        <w:pStyle w:val="Heading1"/>
        <w:spacing w:before="280"/>
      </w:pPr>
      <w:r>
        <w:t>1. Overview</w:t>
      </w:r>
    </w:p>
    <w:p>
      <w:r>
        <w:t>Graph Explorer is a browser-based tool for exploring biological knowledge graphs stored in Neo4j, with supporting reference data in PostgreSQL. Users can query the graph database using Cypher, visualize results as an interactive node-edge diagram, examine literature references, load pathway files (RNEF and JSON), and curate node and edge properties directly in the Neo4j database.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880" w:type="dxa"/>
            <w:shd w:val="clear" w:color="auto" w:fill="D5E8F0"/>
          </w:tcPr>
          <w:p>
            <w:r>
              <w:rPr>
                <w:b/>
              </w:rPr>
              <w:t>Property</w:t>
            </w:r>
          </w:p>
        </w:tc>
        <w:tc>
          <w:tcPr>
            <w:tcW w:type="dxa" w:w="4320"/>
            <w:tcW w:w="6480" w:type="dxa"/>
            <w:shd w:val="clear" w:color="auto" w:fill="D5E8F0"/>
          </w:tcPr>
          <w:p>
            <w:r>
              <w:rPr>
                <w:b/>
              </w:rPr>
              <w:t>Value</w:t>
            </w:r>
          </w:p>
        </w:tc>
      </w:tr>
      <w:tr>
        <w:tc>
          <w:tcPr>
            <w:tcW w:type="dxa" w:w="4320"/>
            <w:tcW w:w="2880" w:type="dxa"/>
          </w:tcPr>
          <w:p>
            <w:r>
              <w:rPr>
                <w:b/>
              </w:rPr>
              <w:t>Technology stack</w:t>
            </w:r>
          </w:p>
        </w:tc>
        <w:tc>
          <w:tcPr>
            <w:tcW w:type="dxa" w:w="4320"/>
            <w:tcW w:w="6480" w:type="dxa"/>
          </w:tcPr>
          <w:p>
            <w:r>
              <w:t>Node.js/Express backend; Cytoscape.js 3.27.0 frontend; Neo4j (bolt+ssc); PostgreSQL (AWS RDS)</w:t>
            </w:r>
          </w:p>
        </w:tc>
      </w:tr>
      <w:tr>
        <w:tc>
          <w:tcPr>
            <w:tcW w:type="dxa" w:w="4320"/>
            <w:tcW w:w="2880" w:type="dxa"/>
          </w:tcPr>
          <w:p>
            <w:r>
              <w:rPr>
                <w:b/>
              </w:rPr>
              <w:t>Authentication</w:t>
            </w:r>
          </w:p>
        </w:tc>
        <w:tc>
          <w:tcPr>
            <w:tcW w:type="dxa" w:w="4320"/>
            <w:tcW w:w="6480" w:type="dxa"/>
          </w:tcPr>
          <w:p>
            <w:r>
              <w:t>JWT (12-hour expiry); bcrypt password hashing; users stored in users.json on the server</w:t>
            </w:r>
          </w:p>
        </w:tc>
      </w:tr>
      <w:tr>
        <w:tc>
          <w:tcPr>
            <w:tcW w:type="dxa" w:w="4320"/>
            <w:tcW w:w="2880" w:type="dxa"/>
          </w:tcPr>
          <w:p>
            <w:r>
              <w:rPr>
                <w:b/>
              </w:rPr>
              <w:t>Rate limiting</w:t>
            </w:r>
          </w:p>
        </w:tc>
        <w:tc>
          <w:tcPr>
            <w:tcW w:type="dxa" w:w="4320"/>
            <w:tcW w:w="6480" w:type="dxa"/>
          </w:tcPr>
          <w:p>
            <w:r>
              <w:t>Login: 10 attempts per 15 minutes. DB queries: 200 per minute</w:t>
            </w:r>
          </w:p>
        </w:tc>
      </w:tr>
      <w:tr>
        <w:tc>
          <w:tcPr>
            <w:tcW w:type="dxa" w:w="4320"/>
            <w:tcW w:w="2880" w:type="dxa"/>
          </w:tcPr>
          <w:p>
            <w:r>
              <w:rPr>
                <w:b/>
              </w:rPr>
              <w:t>Browser support</w:t>
            </w:r>
          </w:p>
        </w:tc>
        <w:tc>
          <w:tcPr>
            <w:tcW w:type="dxa" w:w="4320"/>
            <w:tcW w:w="6480" w:type="dxa"/>
          </w:tcPr>
          <w:p>
            <w:r>
              <w:t>Modern desktop browsers (Chrome, Firefox, Edge); JavaScript required</w:t>
            </w:r>
          </w:p>
        </w:tc>
      </w:tr>
      <w:tr>
        <w:tc>
          <w:tcPr>
            <w:tcW w:type="dxa" w:w="4320"/>
            <w:tcW w:w="2880" w:type="dxa"/>
          </w:tcPr>
          <w:p>
            <w:r>
              <w:rPr>
                <w:b/>
              </w:rPr>
              <w:t>Key files</w:t>
            </w:r>
          </w:p>
        </w:tc>
        <w:tc>
          <w:tcPr>
            <w:tcW w:type="dxa" w:w="4320"/>
            <w:tcW w:w="6480" w:type="dxa"/>
          </w:tcPr>
          <w:p>
            <w:r>
              <w:t>server.js (backend), public/app.js (frontend), public/index.html (UI), rnef_to_json.py (RNEF converter), settings.json (connection credentials, not committed to source control)</w:t>
            </w:r>
          </w:p>
        </w:tc>
      </w:tr>
    </w:tbl>
    <w:p/>
    <w:p>
      <w:pPr>
        <w:pStyle w:val="Heading1"/>
        <w:spacing w:before="280"/>
      </w:pPr>
      <w:r>
        <w:t>2. Authentication &amp; User Management</w:t>
      </w:r>
    </w:p>
    <w:p>
      <w:pPr>
        <w:pStyle w:val="Heading2"/>
        <w:spacing w:before="160"/>
      </w:pPr>
      <w:r>
        <w:t>2.1  Login Screen</w:t>
      </w:r>
    </w:p>
    <w:p>
      <w:r>
        <w:t>The application renders a full-screen login form before loading the main UI. The form contains username input, password input, Login button (calls POST /api/auth/login; on success stores the JWT in memory and shows the main app), and an error message area. On page load, if a JWT is present in memory the login screen is skipped. A 401 response from any API call triggers automatic logout.</w:t>
      </w:r>
    </w:p>
    <w:p>
      <w:pPr>
        <w:pStyle w:val="Heading2"/>
        <w:spacing w:before="160"/>
      </w:pPr>
      <w:r>
        <w:t>2.2  Settings Menu and Account Actions</w:t>
      </w:r>
    </w:p>
    <w:p>
      <w:r>
        <w:t>A ⚙ Settings ▾ button in the top-right of the header opens a dropdown menu. The menu is structured in two sections:</w:t>
      </w:r>
    </w:p>
    <w:p>
      <w:pPr>
        <w:pStyle w:val="ListBullet"/>
      </w:pPr>
      <w:r>
        <w:rPr>
          <w:b/>
        </w:rPr>
        <w:t xml:space="preserve">Admin: </w:t>
      </w:r>
      <w:r>
        <w:t xml:space="preserve">  Change Password — opens the Change Password modal (all users).</w:t>
      </w:r>
    </w:p>
    <w:p>
      <w:pPr>
        <w:pStyle w:val="ListBullet"/>
      </w:pPr>
      <w:r>
        <w:rPr>
          <w:b/>
        </w:rPr>
        <w:t xml:space="preserve">Admin: </w:t>
      </w:r>
      <w:r>
        <w:t xml:space="preserve">  Users — opens the User Management modal (admin only; hidden for non-admins).</w:t>
      </w:r>
    </w:p>
    <w:p>
      <w:pPr>
        <w:pStyle w:val="ListBullet"/>
      </w:pPr>
      <w:r>
        <w:rPr>
          <w:b/>
        </w:rPr>
        <w:t xml:space="preserve">Database: </w:t>
      </w:r>
      <w:r>
        <w:t xml:space="preserve">  Neo4j — opens the Neo4j connection settings modal (admin only).</w:t>
      </w:r>
    </w:p>
    <w:p>
      <w:pPr>
        <w:pStyle w:val="ListBullet"/>
      </w:pPr>
      <w:r>
        <w:rPr>
          <w:b/>
        </w:rPr>
        <w:t xml:space="preserve">Database: </w:t>
      </w:r>
      <w:r>
        <w:t xml:space="preserve">  Postgres — opens the Postgres connection settings modal (admin only).</w:t>
      </w:r>
    </w:p>
    <w:p>
      <w:r>
        <w:t>The Database section of the dropdown is hidden (display:none) and revealed only after login when currentRole === "admin". The Settings dropdown closes on outside click.</w:t>
      </w:r>
    </w:p>
    <w:p>
      <w:pPr>
        <w:pStyle w:val="Heading2"/>
        <w:spacing w:before="160"/>
      </w:pPr>
      <w:r>
        <w:t>2.3  Change Password</w:t>
      </w:r>
    </w:p>
    <w:p>
      <w:r>
        <w:t>Opened via ⚙ Settings ▾ → Admin → Change Password. Modal with current password field, new password field (min 6 characters), confirm new password field, and Submit button (calls POST /api/auth/change-password). On success shows green confirmation and closes after 1.5 s. Click-outside-to-close.</w:t>
      </w:r>
    </w:p>
    <w:p>
      <w:pPr>
        <w:pStyle w:val="Heading2"/>
        <w:spacing w:before="160"/>
      </w:pPr>
      <w:r>
        <w:t>2.4  User Management (Admin Only)</w:t>
      </w:r>
    </w:p>
    <w:p>
      <w:r>
        <w:t>Opened via ⚙ Settings ▾ → Admin → Users. Shows list of all users (username, role, Remove button; built-in admin cannot be deleted) and add-user form (username, password, role dropdown, Add button). Users are stored server-side in users.json.</w:t>
      </w:r>
    </w:p>
    <w:p>
      <w:pPr>
        <w:pStyle w:val="Heading2"/>
        <w:spacing w:before="160"/>
      </w:pPr>
      <w:r>
        <w:t>2.5  Sign Out</w:t>
      </w:r>
    </w:p>
    <w:p>
      <w:r>
        <w:t>Accessible via ⚙ Settings ▾ → Admin → Sign Out. Clears the JWT and all in-memory state, then shows the login screen.</w:t>
      </w:r>
    </w:p>
    <w:p>
      <w:pPr>
        <w:pStyle w:val="Heading1"/>
        <w:spacing w:before="280"/>
      </w:pPr>
      <w:r>
        <w:t>3. Application Layout</w:t>
      </w:r>
    </w:p>
    <w:p>
      <w:r>
        <w:t>When logged in, the UI is structured top-to-bottom as follows.</w:t>
      </w:r>
    </w:p>
    <w:p>
      <w:pPr>
        <w:pStyle w:val="Heading2"/>
        <w:spacing w:before="160"/>
      </w:pPr>
      <w:r>
        <w:t>3.1  Header Bar</w:t>
      </w:r>
    </w:p>
    <w:p>
      <w:r>
        <w:t>A fixed bar at the top of the page containing (left to right):</w:t>
      </w:r>
    </w:p>
    <w:p>
      <w:pPr>
        <w:pStyle w:val="ListBullet"/>
      </w:pPr>
      <w:r>
        <w:t>Application logo/icon and title "Graph Explorer"</w:t>
      </w:r>
    </w:p>
    <w:p>
      <w:pPr>
        <w:pStyle w:val="ListBullet"/>
      </w:pPr>
      <w:r>
        <w:t>Graph stats bar — current pathway name, node count, edge count, transient status messages.</w:t>
      </w:r>
    </w:p>
    <w:p>
      <w:pPr>
        <w:pStyle w:val="ListBullet"/>
      </w:pPr>
      <w:r>
        <w:t>Undo button (↩, id="undo-btn") — calls undoGraphOperation(); disabled when undo stack is empty.</w:t>
      </w:r>
    </w:p>
    <w:p>
      <w:pPr>
        <w:pStyle w:val="ListBullet"/>
      </w:pPr>
      <w:r>
        <w:t>Zoom controls: minus button (×0.8), "Fit" button (fit all with 40 px padding), plus button (×1.25), zoom percentage label.</w:t>
      </w:r>
    </w:p>
    <w:p>
      <w:pPr>
        <w:pStyle w:val="ListBullet"/>
      </w:pPr>
      <w:r>
        <w:t>Align Horizontally button — SVG icon; calls alignNodesHorizontally(); aligns all selected nodes to the Y coordinate of the focus node (focusNodeId).</w:t>
      </w:r>
    </w:p>
    <w:p>
      <w:pPr>
        <w:pStyle w:val="ListBullet"/>
      </w:pPr>
      <w:r>
        <w:t>Align Vertically button — SVG icon; calls alignNodesVertically(); aligns all selected nodes to the X coordinate of the focus node.</w:t>
      </w:r>
    </w:p>
    <w:p>
      <w:pPr>
        <w:pStyle w:val="ListBullet"/>
      </w:pPr>
      <w:r>
        <w:t>Highlight button (id="highlight-btn") — calls toggleHighlightPicker(event); opens the highlight color picker popup.</w:t>
      </w:r>
    </w:p>
    <w:p>
      <w:pPr>
        <w:pStyle w:val="ListBullet"/>
      </w:pPr>
      <w:r>
        <w:t>Node Color button (id="nodecolor-btn") — calls toggleNodeColorPicker(event); opens the node color picker popup.</w:t>
      </w:r>
    </w:p>
    <w:p>
      <w:pPr>
        <w:pStyle w:val="ListBullet"/>
      </w:pPr>
      <w:r>
        <w:t>Find button (id="find-btn") — calls toggleFindPopup(event); opens the Find Nodes popup.</w:t>
      </w:r>
    </w:p>
    <w:p>
      <w:pPr>
        <w:pStyle w:val="ListBullet"/>
      </w:pPr>
      <w:r>
        <w:t>Resize nodes: ⊕ button (calls resizeSelectedNodes(1.3)) and ⊖ button (calls resizeSelectedNodes(0.77)).</w:t>
      </w:r>
    </w:p>
    <w:p>
      <w:pPr>
        <w:pStyle w:val="ListBullet"/>
      </w:pPr>
      <w:r>
        <w:t>⚙ Settings ▾ button (id="settings-menu-wrap") — opens the Settings dropdown (see §2.2).</w:t>
      </w:r>
    </w:p>
    <w:p>
      <w:pPr>
        <w:pStyle w:val="Heading2"/>
        <w:spacing w:before="160"/>
      </w:pPr>
      <w:r>
        <w:t>3.2  Menu Bar</w:t>
      </w:r>
    </w:p>
    <w:p>
      <w:r>
        <w:t>A horizontal menu bar below the header with dropdown menus that open on click and close on outside click or item selection. Hovering over another menu while one is open switches to the hovered menu.</w:t>
      </w:r>
    </w:p>
    <w:p>
      <w:pPr>
        <w:pStyle w:val="Heading3"/>
        <w:spacing w:before="120"/>
      </w:pPr>
      <w:r>
        <w:t>3.2.1  File Menu</w:t>
      </w:r>
    </w:p>
    <w:p>
      <w:pPr>
        <w:pStyle w:val="ListBullet"/>
      </w:pPr>
      <w:r>
        <w:t>Open... — triggers a hidden file input accepting .json and .rnef files.</w:t>
      </w:r>
    </w:p>
    <w:p>
      <w:pPr>
        <w:pStyle w:val="ListBullet"/>
      </w:pPr>
      <w:r>
        <w:t>Save Subgraph — opens the Save dialog (see §8.1).</w:t>
      </w:r>
    </w:p>
    <w:p>
      <w:pPr>
        <w:pStyle w:val="ListBullet"/>
      </w:pPr>
      <w:r>
        <w:t>Export CSV — downloads graph-data.csv.</w:t>
      </w:r>
    </w:p>
    <w:p>
      <w:pPr>
        <w:pStyle w:val="ListBullet"/>
      </w:pPr>
      <w:r>
        <w:t>Export Excel — downloads graph-data.xlsx with rich-text sentence coloring.</w:t>
      </w:r>
    </w:p>
    <w:p>
      <w:pPr>
        <w:pStyle w:val="Heading3"/>
        <w:spacing w:before="120"/>
      </w:pPr>
      <w:r>
        <w:t>3.2.2  Database Menu</w:t>
      </w:r>
    </w:p>
    <w:p>
      <w:pPr>
        <w:pStyle w:val="ListBullet"/>
      </w:pPr>
      <w:r>
        <w:t>Neo4j Cypher — toggles the query bar visibility.</w:t>
      </w:r>
    </w:p>
    <w:p>
      <w:pPr>
        <w:pStyle w:val="ListBullet"/>
      </w:pPr>
      <w:r>
        <w:t>Postgres SQL — opens the SQL query dialog (admin only).</w:t>
      </w:r>
    </w:p>
    <w:p>
      <w:pPr>
        <w:pStyle w:val="ListBullet"/>
      </w:pPr>
      <w:r>
        <w:t>Load node properties — opens the Load Node Properties dialog (see §4.6).</w:t>
      </w:r>
    </w:p>
    <w:p>
      <w:pPr>
        <w:pStyle w:val="ListBullet"/>
      </w:pPr>
      <w:r>
        <w:t xml:space="preserve">Find relations ▶ sub-menu (see §19): Find relations between groups (All / Direct / Biomarker / Indirect), Load similar relations.</w:t>
      </w:r>
    </w:p>
    <w:p>
      <w:pPr>
        <w:pStyle w:val="ListBullet"/>
      </w:pPr>
      <w:r>
        <w:t xml:space="preserve">Expand ▶ sub-menu (see §20): Expand All, Expand To…, Find relations between selected and unselected, Expand similar, Expand direct.</w:t>
      </w:r>
    </w:p>
    <w:p>
      <w:pPr>
        <w:pStyle w:val="ListBullet"/>
      </w:pPr>
      <w:r>
        <w:t xml:space="preserve">Export query data ▶ sub-menu (see §21): Export references for current query, Export relations for current query.</w:t>
      </w:r>
    </w:p>
    <w:p>
      <w:pPr>
        <w:pStyle w:val="Heading3"/>
        <w:spacing w:before="120"/>
      </w:pPr>
      <w:r>
        <w:t>3.2.3  View Menu</w:t>
      </w:r>
    </w:p>
    <w:p>
      <w:pPr>
        <w:pStyle w:val="ListBullet"/>
      </w:pPr>
      <w:r>
        <w:t>Graph — switches to graph view (checkmark when active).</w:t>
      </w:r>
    </w:p>
    <w:p>
      <w:pPr>
        <w:pStyle w:val="ListBullet"/>
      </w:pPr>
      <w:r>
        <w:t>Relations Table — switches to table view in Relation mode.</w:t>
      </w:r>
    </w:p>
    <w:p>
      <w:pPr>
        <w:pStyle w:val="ListBullet"/>
      </w:pPr>
      <w:r>
        <w:t>References Table — switches to table view in Reference mode.</w:t>
      </w:r>
    </w:p>
    <w:p>
      <w:pPr>
        <w:pStyle w:val="ListBullet"/>
      </w:pPr>
      <w:r>
        <w:t>Color Sentences — fetches MedScan IDs and reloads reference table with colored entity mentions.</w:t>
      </w:r>
    </w:p>
    <w:p>
      <w:pPr>
        <w:pStyle w:val="ListBullet"/>
      </w:pPr>
      <w:r>
        <w:t>Filter Rows — toggles the table search bar.</w:t>
      </w:r>
    </w:p>
    <w:p>
      <w:pPr>
        <w:pStyle w:val="ListBullet"/>
      </w:pPr>
      <w:r>
        <w:t>Columns... — opens the column visibility/configuration dialog (see §5.3).</w:t>
      </w:r>
    </w:p>
    <w:p>
      <w:pPr>
        <w:pStyle w:val="ListBullet"/>
      </w:pPr>
      <w:r>
        <w:t>Layout sub-menu: CoSE (default), Dagre, Circle, Concentric, Grid — each with a ✓ checkmark when active.</w:t>
      </w:r>
    </w:p>
    <w:p>
      <w:pPr>
        <w:pStyle w:val="Heading3"/>
        <w:spacing w:before="120"/>
      </w:pPr>
      <w:r>
        <w:t>3.2.4  Select Menu</w:t>
      </w:r>
    </w:p>
    <w:p>
      <w:pPr>
        <w:pStyle w:val="ListBullet"/>
      </w:pPr>
      <w:r>
        <w:t>All Nodes — selects all nodes.</w:t>
      </w:r>
    </w:p>
    <w:p>
      <w:pPr>
        <w:pStyle w:val="ListBullet"/>
      </w:pPr>
      <w:r>
        <w:t>All Edges — selects all edges.</w:t>
      </w:r>
    </w:p>
    <w:p>
      <w:pPr>
        <w:pStyle w:val="ListBullet"/>
      </w:pPr>
      <w:r>
        <w:t>Invert Selection — toggles selection state of every element.</w:t>
      </w:r>
    </w:p>
    <w:p>
      <w:pPr>
        <w:pStyle w:val="ListBullet"/>
      </w:pPr>
      <w:r>
        <w:t>Select Area — toggles box-select mode.</w:t>
      </w:r>
    </w:p>
    <w:p>
      <w:pPr>
        <w:pStyle w:val="ListBullet"/>
      </w:pPr>
      <w:r>
        <w:t>Move Mode — toggles pan-on-drag mode (✓ when active).</w:t>
      </w:r>
    </w:p>
    <w:p>
      <w:pPr>
        <w:pStyle w:val="Heading3"/>
        <w:spacing w:before="120"/>
      </w:pPr>
      <w:r>
        <w:t>3.2.5  Edit Menu</w:t>
      </w:r>
    </w:p>
    <w:p>
      <w:pPr>
        <w:pStyle w:val="ListBullet"/>
      </w:pPr>
      <w:r>
        <w:t>Copy — copies current selection to graphClipboard.</w:t>
      </w:r>
    </w:p>
    <w:p>
      <w:pPr>
        <w:pStyle w:val="ListBullet"/>
      </w:pPr>
      <w:r>
        <w:t>Paste — pastes clipboard contents with smart merge (see §9.3).</w:t>
      </w:r>
    </w:p>
    <w:p>
      <w:pPr>
        <w:pStyle w:val="ListBullet"/>
      </w:pPr>
      <w:r>
        <w:t>Delete — removes all selected nodes and edges.</w:t>
      </w:r>
    </w:p>
    <w:p>
      <w:pPr>
        <w:pStyle w:val="Heading2"/>
        <w:spacing w:before="160"/>
      </w:pPr>
      <w:r>
        <w:t>3.3  Tab Bar</w:t>
      </w:r>
    </w:p>
    <w:p>
      <w:r>
        <w:t>A horizontal row of tab items below the menu bar. Each tab shows its name and (if more than one tab exists) an × close button. A + button creates a new empty tab. Clicking a tab item switches to it. Clicking × closes it (not allowed when only one tab remains).</w:t>
      </w:r>
    </w:p>
    <w:p>
      <w:r>
        <w:t>Tab names are set automatically when a query is run (first 40 characters of query), a subgraph is loaded (data.name or file.name), or an RNEF pathway is opened (pathway name). After a successful File → Save Subgraph, the active tab is renamed to match the saved name (see §8.1).</w:t>
      </w:r>
    </w:p>
    <w:p>
      <w:pPr>
        <w:pStyle w:val="Heading2"/>
        <w:spacing w:before="160"/>
      </w:pPr>
      <w:r>
        <w:t>3.4  Query Bar</w:t>
      </w:r>
    </w:p>
    <w:p>
      <w:r>
        <w:t>A collapsible bar below the tab bar (hidden by default). Contains a multi-line Cypher textarea (Ctrl+Enter / Cmd+Enter runs the query), Run button, and Clear button. Toggled via Database → Neo4j Cypher.</w:t>
      </w:r>
    </w:p>
    <w:p>
      <w:pPr>
        <w:pStyle w:val="Heading3"/>
        <w:spacing w:before="120"/>
      </w:pPr>
      <w:r>
        <w:t>3.4.1  Schema Autocomplete</w:t>
      </w:r>
    </w:p>
    <w:p>
      <w:r>
        <w:t xml:space="preserve">As the user types in the Cypher textarea, the function _acTrigger() fires on every keystroke and inspects the text before the cursor to determine context. It calls _loadSchema() to fetch (and cache) node labels, relationship types, and property keys from GET /api/graph/schema. A dropdown (#cypher-autocomplete) appears below the cursor with up to 8 matching suggestions. Context rules: a pattern like [r:W matches relationship types; (n:W matches node labels; node.W or {W matches property keys; a bare word of 2+ characters matches Cypher keywords. Clicking or pressing Enter on a suggestion inserts the completion. The dropdown closes on Escape, outside click, or when the textarea loses focus. The schema is pre-loaded on login (showApp()) so autocomplete is ready immediately.</w:t>
      </w:r>
    </w:p>
    <w:p>
      <w:pPr>
        <w:pStyle w:val="Heading3"/>
        <w:spacing w:before="120"/>
      </w:pPr>
      <w:r>
        <w:t>3.4.2  Cypher Structural and Semantic Lint</w:t>
      </w:r>
    </w:p>
    <w:p>
      <w:r>
        <w:t xml:space="preserve">After the user pauses typing (300 ms debounce), runCypherExplainLint() runs. Phase 1 — structural check: _stripCypherStrings() removes string literal contents, then cypherStructuralCheck() applies regex rules: unbalanced parentheses/brackets/braces, space after dot in property access (e.g. r. Source), consecutive dots, unknown RETURN/WHERE/WITH structure. Errors are shown in a red lint bar below the textarea; linting stops. Phase 2 — EXPLAIN: the query is prefixed with EXPLAIN and sent to POST /api/graph/query. A Neo4j parse error is shown in the lint bar. Phase 3 — semantic check: cypherSemanticWarn() scans the stripped query for bare property references used as booleans in WHERE/AND/OR clauses (e.g. WHERE r.RelationNumberOfReferences AND …) and shows a yellow warning. If all three phases pass, a green “✓ Syntax OK” message is shown.</w:t>
      </w:r>
    </w:p>
    <w:p>
      <w:pPr>
        <w:pStyle w:val="Heading2"/>
        <w:spacing w:before="160"/>
      </w:pPr>
      <w:r>
        <w:t>3.5  Content Area</w:t>
      </w:r>
    </w:p>
    <w:p>
      <w:r>
        <w:t>The main content area below the query bar. Shows either the Graph View or the Table View — never both simultaneously.</w:t>
      </w:r>
    </w:p>
    <w:p>
      <w:pPr>
        <w:pStyle w:val="Heading1"/>
        <w:spacing w:before="280"/>
      </w:pPr>
      <w:r>
        <w:t>4. Graph View</w:t>
      </w:r>
    </w:p>
    <w:p>
      <w:r>
        <w:t>The Graph View is a Cytoscape.js canvas rendering the current graph. A floating legend panel sits in the lower-left corner.</w:t>
      </w:r>
    </w:p>
    <w:p>
      <w:pPr>
        <w:pStyle w:val="Heading2"/>
        <w:spacing w:before="160"/>
      </w:pPr>
      <w:r>
        <w:t>4.1  Node Rendering</w:t>
      </w:r>
    </w:p>
    <w:p>
      <w:r>
        <w:t>Each node is rendered as a circle of diameter 44 px by default. Visual properties:</w:t>
      </w:r>
    </w:p>
    <w:p>
      <w:pPr>
        <w:pStyle w:val="ListBullet"/>
      </w:pPr>
      <w:r>
        <w:t>Background color from the first matching label in NODE_COLORS; unknown types get a color from a rotating palette.</w:t>
      </w:r>
    </w:p>
    <w:p>
      <w:pPr>
        <w:pStyle w:val="ListBullet"/>
      </w:pPr>
      <w:r>
        <w:t>Label: white text, 11 px, wraps at 60 px, 2 px text outline matching background color (for white-text nodes) or 2 px white halo (for black-text nodes on light-colored types such as SmallMol, CellProcess, CellType, MedicalProcedure, Pathogen, Virus).</w:t>
      </w:r>
    </w:p>
    <w:p>
      <w:pPr>
        <w:pStyle w:val="ListBullet"/>
      </w:pPr>
      <w:r>
        <w:t>Selection: 3 px gold (#FFD700) border.</w:t>
      </w:r>
    </w:p>
    <w:p>
      <w:pPr>
        <w:pStyle w:val="ListBullet"/>
      </w:pPr>
      <w:r>
        <w:t>Faded: opacity 0.2 when neighbor highlighting is active and this node is not in the neighborhood.</w:t>
      </w:r>
    </w:p>
    <w:p>
      <w:pPr>
        <w:pStyle w:val="ListBullet"/>
      </w:pPr>
      <w:r>
        <w:t>Clone: 3 px gold double-border at 85 % opacity.</w:t>
      </w:r>
    </w:p>
    <w:p>
      <w:pPr>
        <w:pStyle w:val="ListBullet"/>
      </w:pPr>
      <w:r>
        <w:t>Highlight aura: a colored underlay circle (overlay drawn outside the node boundary) when highlightColor data attribute is set.</w:t>
      </w:r>
    </w:p>
    <w:p>
      <w:pPr>
        <w:pStyle w:val="ListBullet"/>
      </w:pPr>
      <w:r>
        <w:t>Reaction nodes: 12×12 px gray rectangle, no label, 1.5 px border.</w:t>
      </w:r>
    </w:p>
    <w:p>
      <w:pPr>
        <w:pStyle w:val="ListBullet"/>
      </w:pPr>
      <w:r>
        <w:t>Custom color: overrides the type-based color; stored in customColor data attribute; text color recalculated for contrast.</w:t>
      </w:r>
    </w:p>
    <w:p>
      <w:pPr>
        <w:pStyle w:val="Heading2"/>
        <w:spacing w:before="160"/>
      </w:pPr>
      <w:r>
        <w:t>4.2  Edge Rendering</w:t>
      </w:r>
    </w:p>
    <w:p>
      <w:r>
        <w:t>Edges use Bezier curves:</w:t>
      </w:r>
    </w:p>
    <w:p>
      <w:pPr>
        <w:pStyle w:val="ListBullet"/>
      </w:pPr>
      <w:r>
        <w:t>Color from RELATION_COLORS map (or rotating palette for unknown types).</w:t>
      </w:r>
    </w:p>
    <w:p>
      <w:pPr>
        <w:pStyle w:val="ListBullet"/>
      </w:pPr>
      <w:r>
        <w:t>Thickness proportional to reference count: 2 px (0 refs) up to 5 px (3+ refs).</w:t>
      </w:r>
    </w:p>
    <w:p>
      <w:pPr>
        <w:pStyle w:val="ListBullet"/>
      </w:pPr>
      <w:r>
        <w:t>Line style: solid for direct types (DIRECT_TYPES set), dashed for indirect types.</w:t>
      </w:r>
    </w:p>
    <w:p>
      <w:pPr>
        <w:pStyle w:val="ListBullet"/>
      </w:pPr>
      <w:r>
        <w:t>Triangle arrowhead at target end.</w:t>
      </w:r>
    </w:p>
    <w:p>
      <w:pPr>
        <w:pStyle w:val="ListBullet"/>
      </w:pPr>
      <w:r>
        <w:t>Relation type as a rotated edge label (9 px, translucent background).</w:t>
      </w:r>
    </w:p>
    <w:p>
      <w:pPr>
        <w:pStyle w:val="Heading2"/>
        <w:spacing w:before="160"/>
      </w:pPr>
      <w:r>
        <w:t>4.3  Interaction</w:t>
      </w:r>
    </w:p>
    <w:p>
      <w:pPr>
        <w:pStyle w:val="Heading3"/>
        <w:spacing w:before="120"/>
      </w:pPr>
      <w:r>
        <w:t>4.3.1  Node Interactions</w:t>
      </w:r>
    </w:p>
    <w:p>
      <w:pPr>
        <w:pStyle w:val="ListBullet"/>
      </w:pPr>
      <w:r>
        <w:t>Left-click: sets focus node (focusNodeId = node id); highlights the clicked node and its closed neighborhood; all other elements fade. Click canvas background to clear fading and focus.</w:t>
      </w:r>
    </w:p>
    <w:p>
      <w:pPr>
        <w:pStyle w:val="ListBullet"/>
      </w:pPr>
      <w:r>
        <w:t>Right-click: opens the context menu.</w:t>
      </w:r>
    </w:p>
    <w:p>
      <w:pPr>
        <w:pStyle w:val="ListBullet"/>
      </w:pPr>
      <w:r>
        <w:t>Drag (grab event): immediately dismisses any visible tooltip (clears tooltipShowTimer and tooltipHideTimer, sets tooltip display:none); moves the node; sets layout mode to "manual".</w:t>
      </w:r>
    </w:p>
    <w:p>
      <w:pPr>
        <w:pStyle w:val="ListBullet"/>
      </w:pPr>
      <w:r>
        <w:t>Hover (500 ms delay): shows the node tooltip.</w:t>
      </w:r>
    </w:p>
    <w:p>
      <w:pPr>
        <w:pStyle w:val="Heading3"/>
        <w:spacing w:before="120"/>
      </w:pPr>
      <w:r>
        <w:t>4.3.2  Edge Interactions</w:t>
      </w:r>
    </w:p>
    <w:p>
      <w:pPr>
        <w:pStyle w:val="ListBullet"/>
      </w:pPr>
      <w:r>
        <w:t>Hover (500 ms delay): fetches references if not cached, then shows the edge tooltip.</w:t>
      </w:r>
    </w:p>
    <w:p>
      <w:pPr>
        <w:pStyle w:val="ListBullet"/>
      </w:pPr>
      <w:r>
        <w:t>Right-click: opens the context menu.</w:t>
      </w:r>
    </w:p>
    <w:p>
      <w:pPr>
        <w:pStyle w:val="Heading3"/>
        <w:spacing w:before="120"/>
      </w:pPr>
      <w:r>
        <w:t>4.3.3  Canvas Interactions</w:t>
      </w:r>
    </w:p>
    <w:p>
      <w:pPr>
        <w:pStyle w:val="ListBullet"/>
      </w:pPr>
      <w:r>
        <w:t>Left-click on empty area: clears selection fading; hides any visible tooltip; clears focusNodeId.</w:t>
      </w:r>
    </w:p>
    <w:p>
      <w:pPr>
        <w:pStyle w:val="ListBullet"/>
      </w:pPr>
      <w:r>
        <w:t>Scroll wheel: zooms in/out; zoom label updates.</w:t>
      </w:r>
    </w:p>
    <w:p>
      <w:pPr>
        <w:pStyle w:val="ListBullet"/>
      </w:pPr>
      <w:r>
        <w:t>Drag (default mode): box-select.</w:t>
      </w:r>
    </w:p>
    <w:p>
      <w:pPr>
        <w:pStyle w:val="ListBullet"/>
      </w:pPr>
      <w:r>
        <w:t>Drag (Move mode): pans the viewport.</w:t>
      </w:r>
    </w:p>
    <w:p>
      <w:pPr>
        <w:pStyle w:val="Heading2"/>
        <w:spacing w:before="160"/>
      </w:pPr>
      <w:r>
        <w:t>4.4  Tooltips</w:t>
      </w:r>
    </w:p>
    <w:p>
      <w:pPr>
        <w:pStyle w:val="Heading3"/>
        <w:spacing w:before="120"/>
      </w:pPr>
      <w:r>
        <w:t>4.4.1  Node Tooltip</w:t>
      </w:r>
    </w:p>
    <w:p>
      <w:r>
        <w:t>Shown 500 ms after mouse enters a node (suppressed when curation modal is open). Dismissed immediately when the node is grabbed for dragging. Content:</w:t>
      </w:r>
    </w:p>
    <w:p>
      <w:pPr>
        <w:pStyle w:val="ListBullet"/>
      </w:pPr>
      <w:r>
        <w:t>Section 0 — DB PROPERTIES (teal header, teal-tinted background): all properties loaded via Load Node Properties dialog, displayed with teal key labels. Shown only if any properties have been loaded (_loadedPropertyNames set).</w:t>
      </w:r>
    </w:p>
    <w:p>
      <w:pPr>
        <w:pStyle w:val="ListBullet"/>
      </w:pPr>
      <w:r>
        <w:t>Node name and type.</w:t>
      </w:r>
    </w:p>
    <w:p>
      <w:pPr>
        <w:pStyle w:val="ListBullet"/>
      </w:pPr>
      <w:r>
        <w:t>Gold "⬦ Clone — same entity as original" badge for clone nodes.</w:t>
      </w:r>
    </w:p>
    <w:p>
      <w:pPr>
        <w:pStyle w:val="ListBullet"/>
      </w:pPr>
      <w:r>
        <w:t>Description (if any).</w:t>
      </w:r>
    </w:p>
    <w:p>
      <w:pPr>
        <w:pStyle w:val="ListBullet"/>
      </w:pPr>
      <w:r>
        <w:t>Priority properties (Localization, Notes, Aliases).</w:t>
      </w:r>
    </w:p>
    <w:p>
      <w:pPr>
        <w:pStyle w:val="ListBullet"/>
      </w:pPr>
      <w:r>
        <w:t>All additional Neo4j properties (key: value), excluding service properties.</w:t>
      </w:r>
    </w:p>
    <w:p>
      <w:pPr>
        <w:pStyle w:val="ListBullet"/>
      </w:pPr>
      <w:r>
        <w:t>URN at the bottom.</w:t>
      </w:r>
    </w:p>
    <w:p>
      <w:pPr>
        <w:pStyle w:val="Heading3"/>
        <w:spacing w:before="120"/>
      </w:pPr>
      <w:r>
        <w:t>4.4.2  Edge Tooltip</w:t>
      </w:r>
    </w:p>
    <w:p>
      <w:r>
        <w:t>Shown 500 ms after mouse enters an edge. Content: relation type header, effect and mechanism, source → target names, reference count, confidence, citation score, up to 3 references (year, journal, sentence), and "+(N more)" if applicable. References are fetched from refsCache or the server on first hover.</w:t>
      </w:r>
    </w:p>
    <w:p>
      <w:pPr>
        <w:pStyle w:val="Heading2"/>
        <w:spacing w:before="160"/>
      </w:pPr>
      <w:r>
        <w:t>4.5  Focus Node and Alignment</w:t>
      </w:r>
    </w:p>
    <w:p>
      <w:r>
        <w:t>A global variable focusNodeId tracks the currently focused node. It is set when a node is clicked (cy.on("tap","node")) and cleared when the canvas background is clicked. The focus node receives a distinct CSS class ("focus-node") for visual identification.</w:t>
      </w:r>
    </w:p>
    <w:p>
      <w:r>
        <w:t>alignNodesHorizontally(): for each selected node other than the focus node, sets its Y position to match the focus node's Y. Sets currentLayout to "manual". Shows a toast message.</w:t>
      </w:r>
    </w:p>
    <w:p>
      <w:r>
        <w:t>alignNodesVertically(): same but aligns X coordinates.</w:t>
      </w:r>
    </w:p>
    <w:p>
      <w:pPr>
        <w:pStyle w:val="Heading2"/>
        <w:spacing w:before="160"/>
      </w:pPr>
      <w:r>
        <w:t>4.6  Load Node Properties Dialog</w:t>
      </w:r>
    </w:p>
    <w:p>
      <w:r>
        <w:t>Opened via Database → Load node properties. Modal with:</w:t>
      </w:r>
    </w:p>
    <w:p>
      <w:pPr>
        <w:pStyle w:val="ListBullet"/>
      </w:pPr>
      <w:r>
        <w:t>A checkbox list of all available node property names from PostgreSQL (fetched from GET /api/schema/node-properties or equivalent; the list is keyed to the nodes currently in the graph).</w:t>
      </w:r>
    </w:p>
    <w:p>
      <w:pPr>
        <w:pStyle w:val="ListBullet"/>
      </w:pPr>
      <w:r>
        <w:t>"Select All" and "Deselect All" buttons.</w:t>
      </w:r>
    </w:p>
    <w:p>
      <w:pPr>
        <w:pStyle w:val="ListBullet"/>
      </w:pPr>
      <w:r>
        <w:t>"Load" button — calls the load node properties API for the selected property names and all current node URNs.</w:t>
      </w:r>
    </w:p>
    <w:p>
      <w:r>
        <w:t>Implementation (executeLoadNodeProperties):</w:t>
      </w:r>
    </w:p>
    <w:p>
      <w:pPr>
        <w:pStyle w:val="ListBullet"/>
      </w:pPr>
      <w:r>
        <w:t>Builds a URN → cy node map (urnToCyNode) by iterating cy.nodes() and reading the URN data attribute. This is necessary because cy element IDs are the original URNs, but graphData.nodes[i].id may have been updated to the Neo4j integer ID after enrichment.</w:t>
      </w:r>
    </w:p>
    <w:p>
      <w:pPr>
        <w:pStyle w:val="ListBullet"/>
      </w:pPr>
      <w:r>
        <w:t>Calls POST /api/nodes/load-properties with {urns, properties} body.</w:t>
      </w:r>
    </w:p>
    <w:p>
      <w:pPr>
        <w:pStyle w:val="ListBullet"/>
      </w:pPr>
      <w:r>
        <w:t>For each returned node: finds the cy node via urnToCyNode lookup first, falls back to cy.getElementById(n.id). Updates cy node data with all returned properties. Updates the corresponding graphData.nodes entry.</w:t>
      </w:r>
    </w:p>
    <w:p>
      <w:pPr>
        <w:pStyle w:val="ListBullet"/>
      </w:pPr>
      <w:r>
        <w:t>Adds all successfully loaded property names to _loadedPropertyNames (a module-level Set).</w:t>
      </w:r>
    </w:p>
    <w:p>
      <w:pPr>
        <w:pStyle w:val="ListBullet"/>
      </w:pPr>
      <w:r>
        <w:t>_loadedPropertyNames drives both tooltip rendering (Section 0 DB PROPERTIES) and the Node properties section of the Columns dialog.</w:t>
      </w:r>
    </w:p>
    <w:p>
      <w:pPr>
        <w:pStyle w:val="Heading2"/>
        <w:spacing w:before="160"/>
      </w:pPr>
      <w:r>
        <w:t>4.7  Node Color Picker</w:t>
      </w:r>
    </w:p>
    <w:p>
      <w:r>
        <w:t>A floating popup (id="nodecolor-picker") with preset color swatches and a "···" button that reveals a native &lt;input type="color"&gt; color wheel. Opened via the Node Color toolbar button. Calls applyNodeColor(hex) which: sets background-color and text-outline-color on the selected cy nodes; sets customColor and customTextColor data attributes; updates graphData.nodes entries.</w:t>
      </w:r>
    </w:p>
    <w:p>
      <w:pPr>
        <w:pStyle w:val="Heading2"/>
        <w:spacing w:before="160"/>
      </w:pPr>
      <w:r>
        <w:t>4.8  Highlight Color Picker</w:t>
      </w:r>
    </w:p>
    <w:p>
      <w:r>
        <w:t>A floating popup (id="highlight-picker") with preset color swatches. Opened via the Highlight toolbar button. Calls setHighlightColor(hex) which: sets highlightColor data attribute on selected nodes, triggering the Cytoscape stylesheet rule that draws a colored underlay circle outside the node boundary. Clearing the highlight: setHighlightColor(null) removes the data attribute.</w:t>
      </w:r>
    </w:p>
    <w:p>
      <w:pPr>
        <w:pStyle w:val="Heading2"/>
        <w:spacing w:before="160"/>
      </w:pPr>
      <w:r>
        <w:t>4.9  Find Nodes Popup</w:t>
      </w:r>
    </w:p>
    <w:p>
      <w:r>
        <w:t>A floating popup (id="find-popup") with a text input. Opened via the Find toolbar button or Ctrl+F. executeNodeSearch(): searches all cy node data keys for a case-insensitive substring match; applies "faded" class to non-matching nodes; selects matching nodes. Closing the popup (Escape or outside click) calls hideFindPopup() which restores all nodes.</w:t>
      </w:r>
    </w:p>
    <w:p>
      <w:pPr>
        <w:pStyle w:val="Heading2"/>
        <w:spacing w:before="160"/>
      </w:pPr>
      <w:r>
        <w:t>4.10  Resize Nodes</w:t>
      </w:r>
    </w:p>
    <w:p>
      <w:r>
        <w:t>resizeSelectedNodes(factor): for each selected cy node, reads current width/height (or uses default 44 px), multiplies by factor, stores in nodeWidth/nodeHeight data attributes, and updates the cy style. Minimum enforced at 10 px. Changes are saved in graphData.nodes properties.</w:t>
      </w:r>
    </w:p>
    <w:p>
      <w:pPr>
        <w:pStyle w:val="Heading1"/>
        <w:spacing w:before="280"/>
      </w:pPr>
      <w:r>
        <w:t>5. Table View</w:t>
      </w:r>
    </w:p>
    <w:p>
      <w:r>
        <w:t>The Table View presents graph data in a scrollable tabular format. Two modes are available from the View menu.</w:t>
      </w:r>
    </w:p>
    <w:p>
      <w:pPr>
        <w:pStyle w:val="Heading2"/>
        <w:spacing w:before="160"/>
      </w:pPr>
      <w:r>
        <w:t>5.1  Reference Mode</w:t>
      </w:r>
    </w:p>
    <w:p>
      <w:r>
        <w:t>One row per reference per edge. For edges with no references a single row is shown with blank reference columns. Default visible columns: Regulator, Regulator Type, Target, Target Type, Relation Type, Effect, # Refs, Year, PMID, DOI, Title, Sentence. PMID and DOI render as clickable hyperlinks.</w:t>
      </w:r>
    </w:p>
    <w:p>
      <w:pPr>
        <w:pStyle w:val="Heading2"/>
        <w:spacing w:before="160"/>
      </w:pPr>
      <w:r>
        <w:t>5.2  Relation Mode</w:t>
      </w:r>
    </w:p>
    <w:p>
      <w:r>
        <w:t>One row per edge. Default visible columns are the core graph columns (same as Reference mode). Neo4j edge property columns and node property columns can be enabled; Scopus and reference columns are hidden in this mode.</w:t>
      </w:r>
    </w:p>
    <w:p>
      <w:pPr>
        <w:pStyle w:val="Heading2"/>
        <w:spacing w:before="160"/>
      </w:pPr>
      <w:r>
        <w:t>5.3  Column Management</w:t>
      </w:r>
    </w:p>
    <w:p>
      <w:pPr>
        <w:pStyle w:val="Heading3"/>
        <w:spacing w:before="120"/>
      </w:pPr>
      <w:r>
        <w:t>5.3.1  Columns Dialog</w:t>
      </w:r>
    </w:p>
    <w:p>
      <w:r>
        <w:t>Opened via View → Columns.... A modal with checkboxes grouped by source:</w:t>
      </w:r>
    </w:p>
    <w:p>
      <w:pPr>
        <w:pStyle w:val="ListBullet"/>
      </w:pPr>
      <w:r>
        <w:t>Graph columns — core relation/node fields; both modes.</w:t>
      </w:r>
    </w:p>
    <w:p>
      <w:pPr>
        <w:pStyle w:val="ListBullet"/>
      </w:pPr>
      <w:r>
        <w:t>Neo4j edge properties — Relation mode only.</w:t>
      </w:r>
    </w:p>
    <w:p>
      <w:pPr>
        <w:pStyle w:val="ListBullet"/>
      </w:pPr>
      <w:r>
        <w:t>Reference table columns — Reference mode only.</w:t>
      </w:r>
    </w:p>
    <w:p>
      <w:pPr>
        <w:pStyle w:val="ListBullet"/>
      </w:pPr>
      <w:r>
        <w:t>Scopus data columns — Reference mode only.</w:t>
      </w:r>
    </w:p>
    <w:p>
      <w:pPr>
        <w:pStyle w:val="ListBullet"/>
      </w:pPr>
      <w:r>
        <w:t>Node properties — properties loaded via Load Node Properties dialog. Checking a property name creates two column definitions: { key: "np_reg_{propName}", label: "Regulator {propName}", source: "node_prop", dbField: propName, nodeRole: "reg" } and { key: "np_tgt_{propName}", label: "Target {propName}", ..., nodeRole: "tgt" }. A single checkbox (data-node-prop attribute) controls both. Available in both modes.</w:t>
      </w:r>
    </w:p>
    <w:p>
      <w:r>
        <w:t>Clicking Apply: updates col.visible for all checked/unchecked columns (including node_prop pairs via data-node-prop handler), saves to localStorage, reloads the table.</w:t>
      </w:r>
    </w:p>
    <w:p>
      <w:r>
        <w:t>"Reset to defaults" button: removes COL_CONFIG_KEY from localStorage, resets columnDefs to a copy of DEFAULT_COLUMNS, closes the modal, reloads the table. Removes any cached columns (e.g. stale "Class" column) that accumulated across sessions.</w:t>
      </w:r>
    </w:p>
    <w:p>
      <w:pPr>
        <w:pStyle w:val="Heading3"/>
        <w:spacing w:before="120"/>
      </w:pPr>
      <w:r>
        <w:t>5.3.2  Column Reordering</w:t>
      </w:r>
    </w:p>
    <w:p>
      <w:r>
        <w:t>Column headers are draggable. Drag left or right and drop to reorder. The new order is persisted in localStorage.</w:t>
      </w:r>
    </w:p>
    <w:p>
      <w:pPr>
        <w:pStyle w:val="Heading3"/>
        <w:spacing w:before="120"/>
      </w:pPr>
      <w:r>
        <w:t>5.3.3  Column Resizing</w:t>
      </w:r>
    </w:p>
    <w:p>
      <w:r>
        <w:t>A thin resize handle on the right edge of each column header allows mouse-drag resizing. Minimum width 8 px. Widths stored in columnWidths object in memory.</w:t>
      </w:r>
    </w:p>
    <w:p>
      <w:pPr>
        <w:pStyle w:val="Heading2"/>
        <w:spacing w:before="160"/>
      </w:pPr>
      <w:r>
        <w:t>5.4  Node Property Columns in the Table</w:t>
      </w:r>
    </w:p>
    <w:p>
      <w:r>
        <w:t>When a node_prop column is visible, loadTableData() and loadRelationData() auto-fetch the required properties from /api/nodes/load-properties before building rows. The fetch uses all current node URNs and the set of dbField values from visible node_prop columns.</w:t>
      </w:r>
    </w:p>
    <w:p>
      <w:r>
        <w:t>In buildRow(): col.nodeRole === "tgt" ? tgtNode : srcNode selects which node's properties to read. The value is node.properties[col.dbField] converted to string, or empty string if absent.</w:t>
      </w:r>
    </w:p>
    <w:p>
      <w:r>
        <w:t>renderTableHeader() and renderTableRows() include source === "node_prop" in the filter for both relation and reference modes.</w:t>
      </w:r>
    </w:p>
    <w:p>
      <w:pPr>
        <w:pStyle w:val="Heading2"/>
        <w:spacing w:before="160"/>
      </w:pPr>
      <w:r>
        <w:t>5.5  Sentence Coloring (MedScan)</w:t>
      </w:r>
    </w:p>
    <w:p>
      <w:r>
        <w:t>RNEF and MedScan-enriched sentences contain entity markup in the format ID{medscanId=text}. Regulator entity markup: red (#E05560). Target entity markup: green (#4DAF4A). Other markup: plain text. Applied in both HTML table and Excel export.</w:t>
      </w:r>
    </w:p>
    <w:p>
      <w:pPr>
        <w:pStyle w:val="Heading2"/>
        <w:spacing w:before="160"/>
      </w:pPr>
      <w:r>
        <w:t>5.6  Export</w:t>
      </w:r>
    </w:p>
    <w:p>
      <w:r>
        <w:t>File → Export CSV: downloads graph-data.csv (all currently loaded tableRows, all visible columns, double-quote escaped). File → Export Excel: downloads graph-data.xlsx with rich-text sentence coloring, PMID/DOI hyperlinks, and MedScan ID annotations.</w:t>
      </w:r>
    </w:p>
    <w:p>
      <w:pPr>
        <w:pStyle w:val="Heading1"/>
        <w:spacing w:before="280"/>
      </w:pPr>
      <w:r>
        <w:t>6. Tab System</w:t>
      </w:r>
    </w:p>
    <w:p>
      <w:r>
        <w:t>The application supports multiple independent graph sessions called tabs. Each tab maintains its own complete state.</w:t>
      </w:r>
    </w:p>
    <w:p>
      <w:pPr>
        <w:pStyle w:val="Heading2"/>
        <w:spacing w:before="160"/>
      </w:pPr>
      <w:r>
        <w:t>6.1  Tab State</w:t>
      </w:r>
    </w:p>
    <w:p>
      <w:r>
        <w:t>Each tab stores: graphData, refsCache, medScanMap, tableRows, currentSubgraphName, currentLayout, currentQuery, positions, tableViewMode, columnWidths.</w:t>
      </w:r>
    </w:p>
    <w:p>
      <w:pPr>
        <w:pStyle w:val="Heading2"/>
        <w:spacing w:before="160"/>
      </w:pPr>
      <w:r>
        <w:t>6.2  Tab Lifecycle</w:t>
      </w:r>
    </w:p>
    <w:p>
      <w:pPr>
        <w:pStyle w:val="ListBullet"/>
      </w:pPr>
      <w:r>
        <w:t>Creating: captures active tab state, appends new empty tab, activates it, calls applyTabState with empty snapshot.</w:t>
      </w:r>
    </w:p>
    <w:p>
      <w:pPr>
        <w:pStyle w:val="ListBullet"/>
      </w:pPr>
      <w:r>
        <w:t>Switching: captures active tab state into its snapshot, sets activeTabIdx, re-renders tab bar, calls applyTabState for the new tab. Always switches to Graph view first.</w:t>
      </w:r>
    </w:p>
    <w:p>
      <w:pPr>
        <w:pStyle w:val="ListBullet"/>
      </w:pPr>
      <w:r>
        <w:t>Closing: removes tab from array, adjusts activeTabIdx, re-renders, applies new active tab. Closing the last tab is not allowed.</w:t>
      </w:r>
    </w:p>
    <w:p>
      <w:pPr>
        <w:pStyle w:val="Heading2"/>
        <w:spacing w:before="160"/>
      </w:pPr>
      <w:r>
        <w:t>6.3  Tab Naming After Save</w:t>
      </w:r>
    </w:p>
    <w:p>
      <w:r>
        <w:t>After a successful confirmSave(): sets currentSubgraphName = name (the user-entered save name), calls updateCurrentTabName(name) to rename the active tab, calls updateStats(). The Save dialog (promptSaveSubgraph) pre-fills the name input with tabs[activeTabIdx].name || currentSubgraphName so repeat saves require no retyping.</w:t>
      </w:r>
    </w:p>
    <w:p>
      <w:pPr>
        <w:pStyle w:val="Heading1"/>
        <w:spacing w:before="280"/>
      </w:pPr>
      <w:r>
        <w:t>7. Graph Loading</w:t>
      </w:r>
    </w:p>
    <w:p>
      <w:pPr>
        <w:pStyle w:val="Heading2"/>
        <w:spacing w:before="160"/>
      </w:pPr>
      <w:r>
        <w:t>7.1  Cypher Query</w:t>
      </w:r>
    </w:p>
    <w:p>
      <w:r>
        <w:t>POST /api/graph/query. The server calls POST to Neo4j via the neo4j-driver. The result set is processed by iterating all records and all keys: processValue(val, nodesMap, edgesMap) classifies each value by constructor name.</w:t>
      </w:r>
    </w:p>
    <w:p>
      <w:r>
        <w:t>Node values: added to nodesMap keyed by identity.toString(). Relationship values: added to edgesMap; endpoint stubs are deferred. Path values: recursively processes seg.start, seg.end, seg.relationship.</w:t>
      </w:r>
    </w:p>
    <w:p>
      <w:r>
        <w:t>Post-processing stub creation (after all records processed): for each edge in edgesMap, if edge.startNodeId or edge.endNodeId is not in nodesMap, a stub node {id, elementId, labels:[], properties:{}} is created. This ensures the client can render the edge even if the endpoint node was not returned by the query, without prematurely stubbing nodes that appear later in the same result set.</w:t>
      </w:r>
    </w:p>
    <w:p>
      <w:r>
        <w:t>The response is a graphData object: {nodes[], edges[]}. renderGraph() is called with no saved positions; layout algorithm is applied automatically.</w:t>
      </w:r>
    </w:p>
    <w:p>
      <w:pPr>
        <w:pStyle w:val="Heading2"/>
        <w:spacing w:before="160"/>
      </w:pPr>
      <w:r>
        <w:t>7.2  JSON Subgraph File</w:t>
      </w:r>
    </w:p>
    <w:p>
      <w:r>
        <w:t>Format: { name, query, savedAt, layout, positions, graphData }. On load: renderGraph() called with saved positions; clone-offset fallback runs; cy.fit() called; enrichNodesFromNeo4j() runs silently; inline references pre-populated into refsCache. Tab renamed to data.name || file.name.</w:t>
      </w:r>
    </w:p>
    <w:p>
      <w:pPr>
        <w:pStyle w:val="Heading2"/>
        <w:spacing w:before="160"/>
      </w:pPr>
      <w:r>
        <w:t>7.3  RNEF Pathway File</w:t>
      </w:r>
    </w:p>
    <w:p>
      <w:r>
        <w:t>File text is POST-ed to /api/convert/rnef as plain text to bypass the 10 MB JSON body limit. The server runs rnef_to_json.py.</w:t>
      </w:r>
    </w:p>
    <w:p>
      <w:pPr>
        <w:pStyle w:val="Heading2"/>
        <w:spacing w:before="160"/>
      </w:pPr>
      <w:r>
        <w:t>7.4  renderGraph(data, savedPositions)</w:t>
      </w:r>
    </w:p>
    <w:p>
      <w:r>
        <w:t>Central rendering function. Clears caches. Builds Cytoscape node and edge specs. Calls cy.elements().remove() then cy.add(allElements). With savedPositions: applies positions explicitly in a loop after add(), runs preset layout, calls cy.resize() + cy.fit() in rAF. Without: calls applyLayout(currentLayout). Updates legend, stats bar, empty-state visibility.</w:t>
      </w:r>
    </w:p>
    <w:p>
      <w:pPr>
        <w:pStyle w:val="Heading2"/>
        <w:spacing w:before="160"/>
      </w:pPr>
      <w:r>
        <w:t>7.5  Node Enrichment from Neo4j</w:t>
      </w:r>
    </w:p>
    <w:p>
      <w:r>
        <w:t>After any graph load, enrichNodesFromNeo4j() collects all URN values and calls POST /api/graph/enrich-by-urn. For each matched node: updates cy data (name, color, nodeType, all properties), updates graphData.nodes entry (id, elementId, labels, properties), and updates edge startNodeId/endNodeId references if the node's ID changed. Pre-fetches MedScan IDs after enrichment.</w:t>
      </w:r>
    </w:p>
    <w:p>
      <w:pPr>
        <w:pStyle w:val="Heading1"/>
        <w:spacing w:before="280"/>
      </w:pPr>
      <w:r>
        <w:t>8. File Operations</w:t>
      </w:r>
    </w:p>
    <w:p>
      <w:pPr>
        <w:pStyle w:val="Heading2"/>
        <w:spacing w:before="160"/>
      </w:pPr>
      <w:r>
        <w:t>8.1  Save Subgraph</w:t>
      </w:r>
    </w:p>
    <w:p>
      <w:r>
        <w:t>File → Save Subgraph (Ctrl+S). promptSaveSubgraph() opens the Save modal pre-filled with tabs[activeTabIdx].name || currentSubgraphName. confirmSave(): builds saveData JSON with name, query, savedAt, layout, positions, graphData (with dangling edges stripped); creates a Blob; triggers a browser download as {sanitized_name}.json. After download: sets currentSubgraphName = name, calls updateCurrentTabName(name), calls updateStats().</w:t>
      </w:r>
    </w:p>
    <w:p>
      <w:pPr>
        <w:pStyle w:val="Heading2"/>
        <w:spacing w:before="160"/>
      </w:pPr>
      <w:r>
        <w:t>8.2  Export CSV / Excel</w:t>
      </w:r>
    </w:p>
    <w:p>
      <w:r>
        <w:t>File → Export CSV downloads graph-data.csv. File → Export Excel downloads graph-data.xlsx using ExcelJS 4.3.0 (CDN). Both operate on the currently loaded tableRows for all visible columns.</w:t>
      </w:r>
    </w:p>
    <w:p>
      <w:pPr>
        <w:pStyle w:val="Heading1"/>
        <w:spacing w:before="280"/>
      </w:pPr>
      <w:r>
        <w:t>9. Selection &amp; Clipboard</w:t>
      </w:r>
    </w:p>
    <w:p>
      <w:pPr>
        <w:pStyle w:val="Heading2"/>
        <w:spacing w:before="160"/>
      </w:pPr>
      <w:r>
        <w:t>9.1  Selection</w:t>
      </w:r>
    </w:p>
    <w:p>
      <w:r>
        <w:t>Standard Cytoscape selection. Stats bar shows "N nodes selected · M relations selected" while active. Select → Select Area and Select → Move Mode are mutually exclusive.</w:t>
      </w:r>
    </w:p>
    <w:p>
      <w:pPr>
        <w:pStyle w:val="Heading2"/>
        <w:spacing w:before="160"/>
      </w:pPr>
      <w:r>
        <w:t>9.2  Copy</w:t>
      </w:r>
    </w:p>
    <w:p>
      <w:r>
        <w:t>Edit → Copy. Copies selected nodes and the edges between them to graphClipboard {nodes[], edges[], positions}. Each clipboard item stores both the Cytoscape data ({data, position}) and the raw graphData entry (.raw).</w:t>
      </w:r>
    </w:p>
    <w:p>
      <w:pPr>
        <w:pStyle w:val="Heading2"/>
        <w:spacing w:before="160"/>
      </w:pPr>
      <w:r>
        <w:t>9.3  Paste — Smart Merge</w:t>
      </w:r>
    </w:p>
    <w:p>
      <w:r>
        <w:t>Edit → Paste. pasteClipboard() implements smart merge:</w:t>
      </w:r>
    </w:p>
    <w:p>
      <w:pPr>
        <w:pStyle w:val="ListBullet"/>
      </w:pPr>
      <w:r>
        <w:t>Builds urnToExistingCyId map by iterating cy.nodes() and reading each node's URN data attribute.</w:t>
      </w:r>
    </w:p>
    <w:p>
      <w:pPr>
        <w:pStyle w:val="ListBullet"/>
      </w:pPr>
      <w:r>
        <w:t>For each clipboard node: if its URN exists in urnToExistingCyId, maps the clipboard node's ID to the existing cy node's ID (idMap[n.data.id] = existingCyId) and increments mergedNodes counter. No new cy node or graphData.nodes entry is created.</w:t>
      </w:r>
    </w:p>
    <w:p>
      <w:pPr>
        <w:pStyle w:val="ListBullet"/>
      </w:pPr>
      <w:r>
        <w:t>Otherwise: creates new cy node with {originalId}__paste__{timestamp}{random} ID, adds to graphData.nodes.</w:t>
      </w:r>
    </w:p>
    <w:p>
      <w:pPr>
        <w:pStyle w:val="ListBullet"/>
      </w:pPr>
      <w:r>
        <w:t>Builds existingEdgeKeys Set from current cy edges: "rid:{relId}" for edges with a relId, and "struct:{src}|{tgt}|{type}|{effect}|{mechanism}" for all edges.</w:t>
      </w:r>
    </w:p>
    <w:p>
      <w:pPr>
        <w:pStyle w:val="ListBullet"/>
      </w:pPr>
      <w:r>
        <w:t>For each clipboard edge: resolves newSrc = idMap[source] || source and newTgt = idMap[target] || target. Checks "rid:{relId}" and "struct:{newSrc}|{newTgt}|{type}|{effect}|{mechanism}" against existingEdgeKeys. If either matches, skips the edge (skippedEdges++). Otherwise adds the edge to cy and graphData.edges, and registers both keys.</w:t>
      </w:r>
    </w:p>
    <w:p>
      <w:pPr>
        <w:pStyle w:val="ListBullet"/>
      </w:pPr>
      <w:r>
        <w:t>Status bar shows breakdown: "N nodes added, M nodes merged, K edges added, J duplicate edges skipped".</w:t>
      </w:r>
    </w:p>
    <w:p>
      <w:pPr>
        <w:pStyle w:val="Heading2"/>
        <w:spacing w:before="160"/>
      </w:pPr>
      <w:r>
        <w:t>9.4  Delete</w:t>
      </w:r>
    </w:p>
    <w:p>
      <w:r>
        <w:t>Edit → Delete. Removes all selected nodes and edges from both cy canvas and graphData.</w:t>
      </w:r>
    </w:p>
    <w:p>
      <w:pPr>
        <w:pStyle w:val="Heading1"/>
        <w:spacing w:before="280"/>
      </w:pPr>
      <w:r>
        <w:t>10. Node Cloning</w:t>
      </w:r>
    </w:p>
    <w:p>
      <w:pPr>
        <w:pStyle w:val="Heading2"/>
        <w:spacing w:before="160"/>
      </w:pPr>
      <w:r>
        <w:t>10.1  Creating a Clone</w:t>
      </w:r>
    </w:p>
    <w:p>
      <w:r>
        <w:t>Right-click non-clone node → "Clone node". Clone ID: {originalId}__clone__{timestamp}. Clone properties copied from original; isClone:true and cloneOf:{originalId} set. Placed 140 px right of original. Added to cy canvas and graphData.nodes.</w:t>
      </w:r>
    </w:p>
    <w:p>
      <w:pPr>
        <w:pStyle w:val="Heading2"/>
        <w:spacing w:before="160"/>
      </w:pPr>
      <w:r>
        <w:t>10.2  Merging Selected Clones</w:t>
      </w:r>
    </w:p>
    <w:p>
      <w:r>
        <w:t>Context menu item "🔀 Merge selected clones" (ctx-merge-clones) appears when 2 or more nodes with the same underlying identity are selected. mergeSelectedClonesFromContext():</w:t>
      </w:r>
    </w:p>
    <w:p>
      <w:pPr>
        <w:pStyle w:val="ListBullet"/>
      </w:pPr>
      <w:r>
        <w:t>Groups selected nodes by their canonical ID (cloneOf || id).</w:t>
      </w:r>
    </w:p>
    <w:p>
      <w:pPr>
        <w:pStyle w:val="ListBullet"/>
      </w:pPr>
      <w:r>
        <w:t>For each group with more than one member: keeps the first non-clone node (or the first node if all are clones) as the survivor.</w:t>
      </w:r>
    </w:p>
    <w:p>
      <w:pPr>
        <w:pStyle w:val="ListBullet"/>
      </w:pPr>
      <w:r>
        <w:t>Redirects all cy edges connecting removed nodes to the survivor (changes source/target data).</w:t>
      </w:r>
    </w:p>
    <w:p>
      <w:pPr>
        <w:pStyle w:val="ListBullet"/>
      </w:pPr>
      <w:r>
        <w:t>Updates graphData.edges accordingly (startNodeId, endNodeId).</w:t>
      </w:r>
    </w:p>
    <w:p>
      <w:pPr>
        <w:pStyle w:val="ListBullet"/>
      </w:pPr>
      <w:r>
        <w:t>Removes duplicate nodes from cy canvas and graphData.nodes.</w:t>
      </w:r>
    </w:p>
    <w:p>
      <w:pPr>
        <w:pStyle w:val="ListBullet"/>
      </w:pPr>
      <w:r>
        <w:t>Removes duplicate edges (same endpoints after merge) to avoid self-loops or multi-edges.</w:t>
      </w:r>
    </w:p>
    <w:p>
      <w:pPr>
        <w:pStyle w:val="Heading2"/>
        <w:spacing w:before="160"/>
      </w:pPr>
      <w:r>
        <w:t>10.3  Removing a Clone</w:t>
      </w:r>
    </w:p>
    <w:p>
      <w:r>
        <w:t>Right-click clone → "Remove clone". Only available for isClone:true nodes. Removes from canvas and graphData.nodes.</w:t>
      </w:r>
    </w:p>
    <w:p>
      <w:pPr>
        <w:pStyle w:val="Heading2"/>
        <w:spacing w:before="160"/>
      </w:pPr>
      <w:r>
        <w:t>10.4  Clone Persistence</w:t>
      </w:r>
    </w:p>
    <w:p>
      <w:r>
        <w:t>Clones are stored in graphData.nodes with isClone and cloneOf fields. Included in saved JSON files. Restored at saved positions on load. Clone-offset fallback (§7.4) handles degenerate positions.</w:t>
      </w:r>
    </w:p>
    <w:p>
      <w:pPr>
        <w:pStyle w:val="Heading1"/>
        <w:spacing w:before="280"/>
      </w:pPr>
      <w:r>
        <w:t>11. Property Editing (Curation)</w:t>
      </w:r>
    </w:p>
    <w:p>
      <w:r>
        <w:t>The curation modal allows editing Neo4j properties for nodes and edges. Opened via right-click → "Edit Properties" on the canvas or a table row.</w:t>
      </w:r>
    </w:p>
    <w:p>
      <w:pPr>
        <w:pStyle w:val="Heading2"/>
        <w:spacing w:before="160"/>
      </w:pPr>
      <w:r>
        <w:t>11.1  Modal Layout</w:t>
      </w:r>
    </w:p>
    <w:p>
      <w:r>
        <w:t>Title: "Edit Node: {name}" or "Edit Relation: {relType: source → target}". Status line. Scrollable properties area (key input, value input, ✕ delete per row). "Add property" button. "Save" button. Click-outside-to-close. For edges: "PostgreSQL References" read-only section below.</w:t>
      </w:r>
    </w:p>
    <w:p>
      <w:pPr>
        <w:pStyle w:val="Heading2"/>
        <w:spacing w:before="160"/>
      </w:pPr>
      <w:r>
        <w:t>11.2  Saving</w:t>
      </w:r>
    </w:p>
    <w:p>
      <w:r>
        <w:t>Save calls PUT /api/graph/update-node or PUT /api/graph/update-relation with elementId and new properties map. On success, live cy node data and graphData entries are updated immediately. Modal auto-closes after 0.9 s.</w:t>
      </w:r>
    </w:p>
    <w:p>
      <w:pPr>
        <w:pStyle w:val="Heading1"/>
        <w:spacing w:before="280"/>
      </w:pPr>
      <w:r>
        <w:t>12. Database Connection Settings (Admin)</w:t>
      </w:r>
    </w:p>
    <w:p>
      <w:r>
        <w:t>Accessible via ⚙ Settings ▾ → Database → Neo4j and ⚙ Settings ▾ → Database → Postgres. Admin only.</w:t>
      </w:r>
    </w:p>
    <w:p>
      <w:pPr>
        <w:pStyle w:val="Heading2"/>
        <w:spacing w:before="160"/>
      </w:pPr>
      <w:r>
        <w:t>12.1  Neo4j Settings Dialog</w:t>
      </w:r>
    </w:p>
    <w:p>
      <w:r>
        <w:t>Fields: URL (bolt+ssc://...), Database, Username, Password. "Test &amp; Save" button. On click: calls POST /api/settings/neo4j with {url, database, username, password}. Server: creates a temporary neo4j.driver with the new credentials, runs a test query ("RETURN 1"), closes the test driver. If successful: calls makeNeo4jDriver(cfg) to replace the live neo4jDriver, updates NEO4J_DB, saves to settings.json. Returns {ok:true} or {error:...}. On success: shows green confirmation and closes dialog. On failure: shows red error; settings are NOT saved.</w:t>
      </w:r>
    </w:p>
    <w:p>
      <w:pPr>
        <w:pStyle w:val="Heading2"/>
        <w:spacing w:before="160"/>
      </w:pPr>
      <w:r>
        <w:t>12.2  Postgres Settings Dialog</w:t>
      </w:r>
    </w:p>
    <w:p>
      <w:r>
        <w:t>Fields: Host, Port (default 5432), Database, Schema, Username, Password. "Test &amp; Save" button. On click: calls POST /api/settings/postgres. Server: creates a temporary pg.Pool with new credentials, runs "SELECT 1", releases the client, ends the pool. If successful: calls makePgPool(cfg) to replace the live pgPool, updates PG_SCHEMA, saves to settings.json. Returns {ok:true} or {error:...}.</w:t>
      </w:r>
    </w:p>
    <w:p>
      <w:pPr>
        <w:pStyle w:val="Heading2"/>
        <w:spacing w:before="160"/>
      </w:pPr>
      <w:r>
        <w:t>12.3  Settings Persistence</w:t>
      </w:r>
    </w:p>
    <w:p>
      <w:r>
        <w:t>Settings are loaded from settings.json at server startup (loadAppSettings()). If the file does not exist, DEFAULT_SETTINGS are used. Saved via saveAppSettings(s) which writes JSON to the file. settings.json must never be committed to public repositories as it contains credentials.</w:t>
      </w:r>
    </w:p>
    <w:p>
      <w:pPr>
        <w:pStyle w:val="Heading2"/>
        <w:spacing w:before="160"/>
      </w:pPr>
      <w:r>
        <w:t>12.4  API Endpoints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3168" w:type="dxa"/>
            <w:shd w:val="clear" w:color="auto" w:fill="D5E8F0"/>
          </w:tcPr>
          <w:p>
            <w:r>
              <w:rPr>
                <w:b/>
              </w:rPr>
              <w:t>Endpoint</w:t>
            </w:r>
          </w:p>
        </w:tc>
        <w:tc>
          <w:tcPr>
            <w:tcW w:type="dxa" w:w="2880"/>
            <w:tcW w:w="1152" w:type="dxa"/>
            <w:shd w:val="clear" w:color="auto" w:fill="D5E8F0"/>
          </w:tcPr>
          <w:p>
            <w:r>
              <w:rPr>
                <w:b/>
              </w:rPr>
              <w:t>Method</w:t>
            </w:r>
          </w:p>
        </w:tc>
        <w:tc>
          <w:tcPr>
            <w:tcW w:type="dxa" w:w="2880"/>
            <w:tcW w:w="5040" w:type="dxa"/>
            <w:shd w:val="clear" w:color="auto" w:fill="D5E8F0"/>
          </w:tcPr>
          <w:p>
            <w:r>
              <w:rPr>
                <w:b/>
              </w:rPr>
              <w:t>Description</w:t>
            </w:r>
          </w:p>
        </w:tc>
      </w:tr>
      <w:tr>
        <w:tc>
          <w:tcPr>
            <w:tcW w:type="dxa" w:w="2880"/>
            <w:tcW w:w="3168" w:type="dxa"/>
          </w:tcPr>
          <w:p>
            <w:r>
              <w:rPr>
                <w:b/>
              </w:rPr>
              <w:t>GET /api/settings/neo4j</w:t>
            </w:r>
          </w:p>
        </w:tc>
        <w:tc>
          <w:tcPr>
            <w:tcW w:type="dxa" w:w="2880"/>
            <w:tcW w:w="1152" w:type="dxa"/>
          </w:tcPr>
          <w:p>
            <w:r>
              <w:t>GET</w:t>
            </w:r>
          </w:p>
        </w:tc>
        <w:tc>
          <w:tcPr>
            <w:tcW w:type="dxa" w:w="2880"/>
            <w:tcW w:w="5040" w:type="dxa"/>
          </w:tcPr>
          <w:p>
            <w:r>
              <w:t>Returns current Neo4j settings with password redacted. Admin only.</w:t>
            </w:r>
          </w:p>
        </w:tc>
      </w:tr>
      <w:tr>
        <w:tc>
          <w:tcPr>
            <w:tcW w:type="dxa" w:w="2880"/>
            <w:tcW w:w="3168" w:type="dxa"/>
          </w:tcPr>
          <w:p>
            <w:r>
              <w:rPr>
                <w:b/>
              </w:rPr>
              <w:t>POST /api/settings/neo4j</w:t>
            </w:r>
          </w:p>
        </w:tc>
        <w:tc>
          <w:tcPr>
            <w:tcW w:type="dxa" w:w="2880"/>
            <w:tcW w:w="1152" w:type="dxa"/>
          </w:tcPr>
          <w:p>
            <w:r>
              <w:t>POST</w:t>
            </w:r>
          </w:p>
        </w:tc>
        <w:tc>
          <w:tcPr>
            <w:tcW w:type="dxa" w:w="2880"/>
            <w:tcW w:w="5040" w:type="dxa"/>
          </w:tcPr>
          <w:p>
            <w:r>
              <w:t>Tests and saves new Neo4j settings. Body: {url, database, username, password}. Admin only.</w:t>
            </w:r>
          </w:p>
        </w:tc>
      </w:tr>
      <w:tr>
        <w:tc>
          <w:tcPr>
            <w:tcW w:type="dxa" w:w="2880"/>
            <w:tcW w:w="3168" w:type="dxa"/>
          </w:tcPr>
          <w:p>
            <w:r>
              <w:rPr>
                <w:b/>
              </w:rPr>
              <w:t>GET /api/settings/postgres</w:t>
            </w:r>
          </w:p>
        </w:tc>
        <w:tc>
          <w:tcPr>
            <w:tcW w:type="dxa" w:w="2880"/>
            <w:tcW w:w="1152" w:type="dxa"/>
          </w:tcPr>
          <w:p>
            <w:r>
              <w:t>GET</w:t>
            </w:r>
          </w:p>
        </w:tc>
        <w:tc>
          <w:tcPr>
            <w:tcW w:type="dxa" w:w="2880"/>
            <w:tcW w:w="5040" w:type="dxa"/>
          </w:tcPr>
          <w:p>
            <w:r>
              <w:t>Returns current Postgres settings with password redacted. Admin only.</w:t>
            </w:r>
          </w:p>
        </w:tc>
      </w:tr>
      <w:tr>
        <w:tc>
          <w:tcPr>
            <w:tcW w:type="dxa" w:w="2880"/>
            <w:tcW w:w="3168" w:type="dxa"/>
          </w:tcPr>
          <w:p>
            <w:r>
              <w:rPr>
                <w:b/>
              </w:rPr>
              <w:t>POST /api/settings/postgres</w:t>
            </w:r>
          </w:p>
        </w:tc>
        <w:tc>
          <w:tcPr>
            <w:tcW w:type="dxa" w:w="2880"/>
            <w:tcW w:w="1152" w:type="dxa"/>
          </w:tcPr>
          <w:p>
            <w:r>
              <w:t>POST</w:t>
            </w:r>
          </w:p>
        </w:tc>
        <w:tc>
          <w:tcPr>
            <w:tcW w:type="dxa" w:w="2880"/>
            <w:tcW w:w="5040" w:type="dxa"/>
          </w:tcPr>
          <w:p>
            <w:r>
              <w:t>Tests and saves new Postgres settings. Body: {host, port, database, schema, username, password}. Admin only.</w:t>
            </w:r>
          </w:p>
        </w:tc>
      </w:tr>
    </w:tbl>
    <w:p/>
    <w:p>
      <w:pPr>
        <w:pStyle w:val="Heading1"/>
        <w:spacing w:before="280"/>
      </w:pPr>
      <w:r>
        <w:t>13. SQL Query Dialog (Admin Only)</w:t>
      </w:r>
    </w:p>
    <w:p>
      <w:r>
        <w:t>Accessible via Database → Postgres SQL. Admin users only. Modal with multi-line SQL textarea, Run button (POST /api/sql-query), results area (formatted HTML table or error). Click-outside-to-close. Server enforces SELECT and WITH only.</w:t>
      </w:r>
    </w:p>
    <w:p>
      <w:pPr>
        <w:pStyle w:val="Heading1"/>
        <w:spacing w:before="280"/>
      </w:pPr>
      <w:r>
        <w:t>14. Layouts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Layout</w:t>
            </w:r>
          </w:p>
        </w:tc>
        <w:tc>
          <w:tcPr>
            <w:tcW w:type="dxa" w:w="4320"/>
            <w:tcW w:w="6768" w:type="dxa"/>
            <w:shd w:val="clear" w:color="auto" w:fill="D5E8F0"/>
          </w:tcPr>
          <w:p>
            <w:r>
              <w:rPr>
                <w:b/>
              </w:rPr>
              <w:t>Parameters</w:t>
            </w:r>
          </w:p>
        </w:tc>
      </w:tr>
      <w:tr>
        <w:tc>
          <w:tcPr>
            <w:tcW w:type="dxa" w:w="4320"/>
            <w:tcW w:w="2592" w:type="dxa"/>
          </w:tcPr>
          <w:p>
            <w:r>
              <w:rPr>
                <w:b/>
              </w:rPr>
              <w:t>cose (default)</w:t>
            </w:r>
          </w:p>
        </w:tc>
        <w:tc>
          <w:tcPr>
            <w:tcW w:type="dxa" w:w="4320"/>
            <w:tcW w:w="6768" w:type="dxa"/>
          </w:tcPr>
          <w:p>
            <w:r>
              <w:t>nodeRepulsion: 4500, idealEdgeLength: 100, numIter: 100, no animation, padding: 40</w:t>
            </w:r>
          </w:p>
        </w:tc>
      </w:tr>
      <w:tr>
        <w:tc>
          <w:tcPr>
            <w:tcW w:type="dxa" w:w="4320"/>
            <w:tcW w:w="2592" w:type="dxa"/>
          </w:tcPr>
          <w:p>
            <w:r>
              <w:rPr>
                <w:b/>
              </w:rPr>
              <w:t>dagre</w:t>
            </w:r>
          </w:p>
        </w:tc>
        <w:tc>
          <w:tcPr>
            <w:tcW w:type="dxa" w:w="4320"/>
            <w:tcW w:w="6768" w:type="dxa"/>
          </w:tcPr>
          <w:p>
            <w:r>
              <w:t>nodeSep: 60, rankSep: 80, no animation, padding: 40</w:t>
            </w:r>
          </w:p>
        </w:tc>
      </w:tr>
      <w:tr>
        <w:tc>
          <w:tcPr>
            <w:tcW w:type="dxa" w:w="4320"/>
            <w:tcW w:w="2592" w:type="dxa"/>
          </w:tcPr>
          <w:p>
            <w:r>
              <w:rPr>
                <w:b/>
              </w:rPr>
              <w:t>circle</w:t>
            </w:r>
          </w:p>
        </w:tc>
        <w:tc>
          <w:tcPr>
            <w:tcW w:type="dxa" w:w="4320"/>
            <w:tcW w:w="6768" w:type="dxa"/>
          </w:tcPr>
          <w:p>
            <w:r>
              <w:t>No animation, padding: 40</w:t>
            </w:r>
          </w:p>
        </w:tc>
      </w:tr>
      <w:tr>
        <w:tc>
          <w:tcPr>
            <w:tcW w:type="dxa" w:w="4320"/>
            <w:tcW w:w="2592" w:type="dxa"/>
          </w:tcPr>
          <w:p>
            <w:r>
              <w:rPr>
                <w:b/>
              </w:rPr>
              <w:t>concentric</w:t>
            </w:r>
          </w:p>
        </w:tc>
        <w:tc>
          <w:tcPr>
            <w:tcW w:type="dxa" w:w="4320"/>
            <w:tcW w:w="6768" w:type="dxa"/>
          </w:tcPr>
          <w:p>
            <w:r>
              <w:t>minNodeSpacing: 40, padding: 40</w:t>
            </w:r>
          </w:p>
        </w:tc>
      </w:tr>
      <w:tr>
        <w:tc>
          <w:tcPr>
            <w:tcW w:type="dxa" w:w="4320"/>
            <w:tcW w:w="2592" w:type="dxa"/>
          </w:tcPr>
          <w:p>
            <w:r>
              <w:rPr>
                <w:b/>
              </w:rPr>
              <w:t>grid</w:t>
            </w:r>
          </w:p>
        </w:tc>
        <w:tc>
          <w:tcPr>
            <w:tcW w:type="dxa" w:w="4320"/>
            <w:tcW w:w="6768" w:type="dxa"/>
          </w:tcPr>
          <w:p>
            <w:r>
              <w:t>avoidOverlap: true, padding: 40</w:t>
            </w:r>
          </w:p>
        </w:tc>
      </w:tr>
    </w:tbl>
    <w:p/>
    <w:p>
      <w:r>
        <w:t>When a saved-position file is loaded, layout = "preset". After node drag, currentLayout = "manual". applyLayout(name) sets currentLayout, runs the layout, and updates the View menu checkmark.</w:t>
      </w:r>
    </w:p>
    <w:p>
      <w:pPr>
        <w:pStyle w:val="Heading1"/>
        <w:spacing w:before="280"/>
      </w:pPr>
      <w:r>
        <w:t>15. Backend API</w:t>
      </w:r>
    </w:p>
    <w:p>
      <w:r>
        <w:t>All protected endpoints require a Bearer JWT in the Authorization header. adminMiddleware enforces admin-only endpoints.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4031" w:type="dxa"/>
            <w:shd w:val="clear" w:color="auto" w:fill="D5E8F0"/>
          </w:tcPr>
          <w:p>
            <w:r>
              <w:rPr>
                <w:b/>
              </w:rPr>
              <w:t>Endpoint</w:t>
            </w:r>
          </w:p>
        </w:tc>
        <w:tc>
          <w:tcPr>
            <w:tcW w:type="dxa" w:w="2880"/>
            <w:tcW w:w="1007" w:type="dxa"/>
            <w:shd w:val="clear" w:color="auto" w:fill="D5E8F0"/>
          </w:tcPr>
          <w:p>
            <w:r>
              <w:rPr>
                <w:b/>
              </w:rPr>
              <w:t>Method</w:t>
            </w:r>
          </w:p>
        </w:tc>
        <w:tc>
          <w:tcPr>
            <w:tcW w:type="dxa" w:w="2880"/>
            <w:tcW w:w="4320" w:type="dxa"/>
            <w:shd w:val="clear" w:color="auto" w:fill="D5E8F0"/>
          </w:tcPr>
          <w:p>
            <w:r>
              <w:rPr>
                <w:b/>
              </w:rPr>
              <w:t>Purpose</w:t>
            </w:r>
          </w:p>
        </w:tc>
      </w:tr>
      <w:tr>
        <w:tc>
          <w:tcPr>
            <w:tcW w:type="dxa" w:w="2880"/>
            <w:tcW w:w="4031" w:type="dxa"/>
          </w:tcPr>
          <w:p>
            <w:r>
              <w:t>POST /api/auth/login</w:t>
            </w:r>
          </w:p>
        </w:tc>
        <w:tc>
          <w:tcPr>
            <w:tcW w:type="dxa" w:w="2880"/>
            <w:tcW w:w="1007" w:type="dxa"/>
          </w:tcPr>
          <w:p>
            <w:r>
              <w:t>POST</w:t>
            </w:r>
          </w:p>
        </w:tc>
        <w:tc>
          <w:tcPr>
            <w:tcW w:type="dxa" w:w="2880"/>
            <w:tcW w:w="4320" w:type="dxa"/>
          </w:tcPr>
          <w:p>
            <w:r>
              <w:t>Authenticate. Returns JWT token and user role.</w:t>
            </w:r>
          </w:p>
        </w:tc>
      </w:tr>
      <w:tr>
        <w:tc>
          <w:tcPr>
            <w:tcW w:type="dxa" w:w="2880"/>
            <w:tcW w:w="4031" w:type="dxa"/>
          </w:tcPr>
          <w:p>
            <w:r>
              <w:t>POST /api/auth/change-password</w:t>
            </w:r>
          </w:p>
        </w:tc>
        <w:tc>
          <w:tcPr>
            <w:tcW w:type="dxa" w:w="2880"/>
            <w:tcW w:w="1007" w:type="dxa"/>
          </w:tcPr>
          <w:p>
            <w:r>
              <w:t>POST</w:t>
            </w:r>
          </w:p>
        </w:tc>
        <w:tc>
          <w:tcPr>
            <w:tcW w:type="dxa" w:w="2880"/>
            <w:tcW w:w="4320" w:type="dxa"/>
          </w:tcPr>
          <w:p>
            <w:r>
              <w:t>Change own password.</w:t>
            </w:r>
          </w:p>
        </w:tc>
      </w:tr>
      <w:tr>
        <w:tc>
          <w:tcPr>
            <w:tcW w:type="dxa" w:w="2880"/>
            <w:tcW w:w="4031" w:type="dxa"/>
          </w:tcPr>
          <w:p>
            <w:r>
              <w:t>GET /api/auth/users</w:t>
            </w:r>
          </w:p>
        </w:tc>
        <w:tc>
          <w:tcPr>
            <w:tcW w:type="dxa" w:w="2880"/>
            <w:tcW w:w="1007" w:type="dxa"/>
          </w:tcPr>
          <w:p>
            <w:r>
              <w:t>GET</w:t>
            </w:r>
          </w:p>
        </w:tc>
        <w:tc>
          <w:tcPr>
            <w:tcW w:type="dxa" w:w="2880"/>
            <w:tcW w:w="4320" w:type="dxa"/>
          </w:tcPr>
          <w:p>
            <w:r>
              <w:t>List all users. Admin only.</w:t>
            </w:r>
          </w:p>
        </w:tc>
      </w:tr>
      <w:tr>
        <w:tc>
          <w:tcPr>
            <w:tcW w:type="dxa" w:w="2880"/>
            <w:tcW w:w="4031" w:type="dxa"/>
          </w:tcPr>
          <w:p>
            <w:r>
              <w:t>POST /api/auth/users</w:t>
            </w:r>
          </w:p>
        </w:tc>
        <w:tc>
          <w:tcPr>
            <w:tcW w:type="dxa" w:w="2880"/>
            <w:tcW w:w="1007" w:type="dxa"/>
          </w:tcPr>
          <w:p>
            <w:r>
              <w:t>POST</w:t>
            </w:r>
          </w:p>
        </w:tc>
        <w:tc>
          <w:tcPr>
            <w:tcW w:type="dxa" w:w="2880"/>
            <w:tcW w:w="4320" w:type="dxa"/>
          </w:tcPr>
          <w:p>
            <w:r>
              <w:t>Create a user. Admin only.</w:t>
            </w:r>
          </w:p>
        </w:tc>
      </w:tr>
      <w:tr>
        <w:tc>
          <w:tcPr>
            <w:tcW w:type="dxa" w:w="2880"/>
            <w:tcW w:w="4031" w:type="dxa"/>
          </w:tcPr>
          <w:p>
            <w:r>
              <w:t>DELETE /api/auth/users/:username</w:t>
            </w:r>
          </w:p>
        </w:tc>
        <w:tc>
          <w:tcPr>
            <w:tcW w:type="dxa" w:w="2880"/>
            <w:tcW w:w="1007" w:type="dxa"/>
          </w:tcPr>
          <w:p>
            <w:r>
              <w:t>DELETE</w:t>
            </w:r>
          </w:p>
        </w:tc>
        <w:tc>
          <w:tcPr>
            <w:tcW w:type="dxa" w:w="2880"/>
            <w:tcW w:w="4320" w:type="dxa"/>
          </w:tcPr>
          <w:p>
            <w:r>
              <w:t>Delete a user. Admin only.</w:t>
            </w:r>
          </w:p>
        </w:tc>
      </w:tr>
      <w:tr>
        <w:tc>
          <w:tcPr>
            <w:tcW w:type="dxa" w:w="2880"/>
            <w:tcW w:w="4031" w:type="dxa"/>
          </w:tcPr>
          <w:p>
            <w:r>
              <w:t>POST /api/graph/query</w:t>
            </w:r>
          </w:p>
        </w:tc>
        <w:tc>
          <w:tcPr>
            <w:tcW w:type="dxa" w:w="2880"/>
            <w:tcW w:w="1007" w:type="dxa"/>
          </w:tcPr>
          <w:p>
            <w:r>
              <w:t>POST</w:t>
            </w:r>
          </w:p>
        </w:tc>
        <w:tc>
          <w:tcPr>
            <w:tcW w:type="dxa" w:w="2880"/>
            <w:tcW w:w="4320" w:type="dxa"/>
          </w:tcPr>
          <w:p>
            <w:r>
              <w:t>Execute Cypher against Neo4j. Returns {nodes[], edges[]}.</w:t>
            </w:r>
          </w:p>
        </w:tc>
      </w:tr>
      <w:tr>
        <w:tc>
          <w:tcPr>
            <w:tcW w:type="dxa" w:w="2880"/>
            <w:tcW w:w="4031" w:type="dxa"/>
          </w:tcPr>
          <w:p>
            <w:r>
              <w:t>POST /api/graph/enrich-by-urn</w:t>
            </w:r>
          </w:p>
        </w:tc>
        <w:tc>
          <w:tcPr>
            <w:tcW w:type="dxa" w:w="2880"/>
            <w:tcW w:w="1007" w:type="dxa"/>
          </w:tcPr>
          <w:p>
            <w:r>
              <w:t>POST</w:t>
            </w:r>
          </w:p>
        </w:tc>
        <w:tc>
          <w:tcPr>
            <w:tcW w:type="dxa" w:w="2880"/>
            <w:tcW w:w="4320" w:type="dxa"/>
          </w:tcPr>
          <w:p>
            <w:r>
              <w:t>Fetch Neo4j nodes by URN list. Returns URN → node map.</w:t>
            </w:r>
          </w:p>
        </w:tc>
      </w:tr>
      <w:tr>
        <w:tc>
          <w:tcPr>
            <w:tcW w:type="dxa" w:w="2880"/>
            <w:tcW w:w="4031" w:type="dxa"/>
          </w:tcPr>
          <w:p>
            <w:r>
              <w:t>POST /api/references</w:t>
            </w:r>
          </w:p>
        </w:tc>
        <w:tc>
          <w:tcPr>
            <w:tcW w:type="dxa" w:w="2880"/>
            <w:tcW w:w="1007" w:type="dxa"/>
          </w:tcPr>
          <w:p>
            <w:r>
              <w:t>POST</w:t>
            </w:r>
          </w:p>
        </w:tc>
        <w:tc>
          <w:tcPr>
            <w:tcW w:type="dxa" w:w="2880"/>
            <w:tcW w:w="4320" w:type="dxa"/>
          </w:tcPr>
          <w:p>
            <w:r>
              <w:t>Fetch PostgreSQL references for relation IDs.</w:t>
            </w:r>
          </w:p>
        </w:tc>
      </w:tr>
      <w:tr>
        <w:tc>
          <w:tcPr>
            <w:tcW w:type="dxa" w:w="2880"/>
            <w:tcW w:w="4031" w:type="dxa"/>
          </w:tcPr>
          <w:p>
            <w:r>
              <w:t>POST /api/references/batch</w:t>
            </w:r>
          </w:p>
        </w:tc>
        <w:tc>
          <w:tcPr>
            <w:tcW w:type="dxa" w:w="2880"/>
            <w:tcW w:w="1007" w:type="dxa"/>
          </w:tcPr>
          <w:p>
            <w:r>
              <w:t>POST</w:t>
            </w:r>
          </w:p>
        </w:tc>
        <w:tc>
          <w:tcPr>
            <w:tcW w:type="dxa" w:w="2880"/>
            <w:tcW w:w="4320" w:type="dxa"/>
          </w:tcPr>
          <w:p>
            <w:r>
              <w:t>Batch fetch references grouped by relationId.</w:t>
            </w:r>
          </w:p>
        </w:tc>
      </w:tr>
      <w:tr>
        <w:tc>
          <w:tcPr>
            <w:tcW w:type="dxa" w:w="2880"/>
            <w:tcW w:w="4031" w:type="dxa"/>
          </w:tcPr>
          <w:p>
            <w:r>
              <w:t>POST /api/nodes/medscan</w:t>
            </w:r>
          </w:p>
        </w:tc>
        <w:tc>
          <w:tcPr>
            <w:tcW w:type="dxa" w:w="2880"/>
            <w:tcW w:w="1007" w:type="dxa"/>
          </w:tcPr>
          <w:p>
            <w:r>
              <w:t>POST</w:t>
            </w:r>
          </w:p>
        </w:tc>
        <w:tc>
          <w:tcPr>
            <w:tcW w:type="dxa" w:w="2880"/>
            <w:tcW w:w="4320" w:type="dxa"/>
          </w:tcPr>
          <w:p>
            <w:r>
              <w:t>Fetch MedScan IDs for NodeIDs. Returns NodeID → MedScanID map.</w:t>
            </w:r>
          </w:p>
        </w:tc>
      </w:tr>
      <w:tr>
        <w:tc>
          <w:tcPr>
            <w:tcW w:type="dxa" w:w="2880"/>
            <w:tcW w:w="4031" w:type="dxa"/>
          </w:tcPr>
          <w:p>
            <w:r>
              <w:t>POST /api/nodes/load-properties</w:t>
            </w:r>
          </w:p>
        </w:tc>
        <w:tc>
          <w:tcPr>
            <w:tcW w:type="dxa" w:w="2880"/>
            <w:tcW w:w="1007" w:type="dxa"/>
          </w:tcPr>
          <w:p>
            <w:r>
              <w:t>POST</w:t>
            </w:r>
          </w:p>
        </w:tc>
        <w:tc>
          <w:tcPr>
            <w:tcW w:type="dxa" w:w="2880"/>
            <w:tcW w:w="4320" w:type="dxa"/>
          </w:tcPr>
          <w:p>
            <w:r>
              <w:t>Fetch specified properties for given URNs from PostgreSQL. Returns {urns[], properties[]} → per-node property map.</w:t>
            </w:r>
          </w:p>
        </w:tc>
      </w:tr>
      <w:tr>
        <w:tc>
          <w:tcPr>
            <w:tcW w:type="dxa" w:w="2880"/>
            <w:tcW w:w="4031" w:type="dxa"/>
          </w:tcPr>
          <w:p>
            <w:r>
              <w:t>PUT /api/references/update</w:t>
            </w:r>
          </w:p>
        </w:tc>
        <w:tc>
          <w:tcPr>
            <w:tcW w:type="dxa" w:w="2880"/>
            <w:tcW w:w="1007" w:type="dxa"/>
          </w:tcPr>
          <w:p>
            <w:r>
              <w:t>PUT</w:t>
            </w:r>
          </w:p>
        </w:tc>
        <w:tc>
          <w:tcPr>
            <w:tcW w:type="dxa" w:w="2880"/>
            <w:tcW w:w="4320" w:type="dxa"/>
          </w:tcPr>
          <w:p>
            <w:r>
              <w:t>Update a PostgreSQL reference row.</w:t>
            </w:r>
          </w:p>
        </w:tc>
      </w:tr>
      <w:tr>
        <w:tc>
          <w:tcPr>
            <w:tcW w:type="dxa" w:w="2880"/>
            <w:tcW w:w="4031" w:type="dxa"/>
          </w:tcPr>
          <w:p>
            <w:r>
              <w:t>PUT /api/graph/update-node</w:t>
            </w:r>
          </w:p>
        </w:tc>
        <w:tc>
          <w:tcPr>
            <w:tcW w:type="dxa" w:w="2880"/>
            <w:tcW w:w="1007" w:type="dxa"/>
          </w:tcPr>
          <w:p>
            <w:r>
              <w:t>PUT</w:t>
            </w:r>
          </w:p>
        </w:tc>
        <w:tc>
          <w:tcPr>
            <w:tcW w:type="dxa" w:w="2880"/>
            <w:tcW w:w="4320" w:type="dxa"/>
          </w:tcPr>
          <w:p>
            <w:r>
              <w:t>Update Neo4j node properties.</w:t>
            </w:r>
          </w:p>
        </w:tc>
      </w:tr>
      <w:tr>
        <w:tc>
          <w:tcPr>
            <w:tcW w:type="dxa" w:w="2880"/>
            <w:tcW w:w="4031" w:type="dxa"/>
          </w:tcPr>
          <w:p>
            <w:r>
              <w:t>PUT /api/graph/update-relation</w:t>
            </w:r>
          </w:p>
        </w:tc>
        <w:tc>
          <w:tcPr>
            <w:tcW w:type="dxa" w:w="2880"/>
            <w:tcW w:w="1007" w:type="dxa"/>
          </w:tcPr>
          <w:p>
            <w:r>
              <w:t>PUT</w:t>
            </w:r>
          </w:p>
        </w:tc>
        <w:tc>
          <w:tcPr>
            <w:tcW w:type="dxa" w:w="2880"/>
            <w:tcW w:w="4320" w:type="dxa"/>
          </w:tcPr>
          <w:p>
            <w:r>
              <w:t>Update Neo4j edge properties.</w:t>
            </w:r>
          </w:p>
        </w:tc>
      </w:tr>
      <w:tr>
        <w:tc>
          <w:tcPr>
            <w:tcW w:type="dxa" w:w="2880"/>
            <w:tcW w:w="4031" w:type="dxa"/>
          </w:tcPr>
          <w:p>
            <w:r>
              <w:t>GET /api/schema/columns</w:t>
            </w:r>
          </w:p>
        </w:tc>
        <w:tc>
          <w:tcPr>
            <w:tcW w:type="dxa" w:w="2880"/>
            <w:tcW w:w="1007" w:type="dxa"/>
          </w:tcPr>
          <w:p>
            <w:r>
              <w:t>GET</w:t>
            </w:r>
          </w:p>
        </w:tc>
        <w:tc>
          <w:tcPr>
            <w:tcW w:type="dxa" w:w="2880"/>
            <w:tcW w:w="4320" w:type="dxa"/>
          </w:tcPr>
          <w:p>
            <w:r>
              <w:t>Return available reference and Scopus column names.</w:t>
            </w:r>
          </w:p>
        </w:tc>
      </w:tr>
      <w:tr>
        <w:tc>
          <w:tcPr>
            <w:tcW w:type="dxa" w:w="2880"/>
            <w:tcW w:w="4031" w:type="dxa"/>
          </w:tcPr>
          <w:p>
            <w:r>
              <w:t>POST /api/sql-query</w:t>
            </w:r>
          </w:p>
        </w:tc>
        <w:tc>
          <w:tcPr>
            <w:tcW w:type="dxa" w:w="2880"/>
            <w:tcW w:w="1007" w:type="dxa"/>
          </w:tcPr>
          <w:p>
            <w:r>
              <w:t>POST</w:t>
            </w:r>
          </w:p>
        </w:tc>
        <w:tc>
          <w:tcPr>
            <w:tcW w:type="dxa" w:w="2880"/>
            <w:tcW w:w="4320" w:type="dxa"/>
          </w:tcPr>
          <w:p>
            <w:r>
              <w:t>Execute raw PostgreSQL SELECT/WITH. Admin only.</w:t>
            </w:r>
          </w:p>
        </w:tc>
      </w:tr>
      <w:tr>
        <w:tc>
          <w:tcPr>
            <w:tcW w:type="dxa" w:w="2880"/>
            <w:tcW w:w="4031" w:type="dxa"/>
          </w:tcPr>
          <w:p>
            <w:r>
              <w:t>POST /api/convert/rnef</w:t>
            </w:r>
          </w:p>
        </w:tc>
        <w:tc>
          <w:tcPr>
            <w:tcW w:type="dxa" w:w="2880"/>
            <w:tcW w:w="1007" w:type="dxa"/>
          </w:tcPr>
          <w:p>
            <w:r>
              <w:t>POST</w:t>
            </w:r>
          </w:p>
        </w:tc>
        <w:tc>
          <w:tcPr>
            <w:tcW w:type="dxa" w:w="2880"/>
            <w:tcW w:w="4320" w:type="dxa"/>
          </w:tcPr>
          <w:p>
            <w:r>
              <w:t>Convert RNEF XML to JSON. Runs rnef_to_json.py server-side.</w:t>
            </w:r>
          </w:p>
        </w:tc>
      </w:tr>
      <w:tr>
        <w:tc>
          <w:tcPr>
            <w:tcW w:type="dxa" w:w="2880"/>
            <w:tcW w:w="4031" w:type="dxa"/>
          </w:tcPr>
          <w:p>
            <w:r>
              <w:t>GET /api/settings/neo4j</w:t>
            </w:r>
          </w:p>
        </w:tc>
        <w:tc>
          <w:tcPr>
            <w:tcW w:type="dxa" w:w="2880"/>
            <w:tcW w:w="1007" w:type="dxa"/>
          </w:tcPr>
          <w:p>
            <w:r>
              <w:t>GET</w:t>
            </w:r>
          </w:p>
        </w:tc>
        <w:tc>
          <w:tcPr>
            <w:tcW w:type="dxa" w:w="2880"/>
            <w:tcW w:w="4320" w:type="dxa"/>
          </w:tcPr>
          <w:p>
            <w:r>
              <w:t>Get current Neo4j settings (password redacted). Admin only.</w:t>
            </w:r>
          </w:p>
        </w:tc>
      </w:tr>
      <w:tr>
        <w:tc>
          <w:tcPr>
            <w:tcW w:type="dxa" w:w="2880"/>
            <w:tcW w:w="4031" w:type="dxa"/>
          </w:tcPr>
          <w:p>
            <w:r>
              <w:t>POST /api/settings/neo4j</w:t>
            </w:r>
          </w:p>
        </w:tc>
        <w:tc>
          <w:tcPr>
            <w:tcW w:type="dxa" w:w="2880"/>
            <w:tcW w:w="1007" w:type="dxa"/>
          </w:tcPr>
          <w:p>
            <w:r>
              <w:t>POST</w:t>
            </w:r>
          </w:p>
        </w:tc>
        <w:tc>
          <w:tcPr>
            <w:tcW w:type="dxa" w:w="2880"/>
            <w:tcW w:w="4320" w:type="dxa"/>
          </w:tcPr>
          <w:p>
            <w:r>
              <w:t>Test and save new Neo4j settings. Admin only.</w:t>
            </w:r>
          </w:p>
        </w:tc>
      </w:tr>
      <w:tr>
        <w:tc>
          <w:tcPr>
            <w:tcW w:type="dxa" w:w="2880"/>
            <w:tcW w:w="4031" w:type="dxa"/>
          </w:tcPr>
          <w:p>
            <w:r>
              <w:t>GET /api/settings/postgres</w:t>
            </w:r>
          </w:p>
        </w:tc>
        <w:tc>
          <w:tcPr>
            <w:tcW w:type="dxa" w:w="2880"/>
            <w:tcW w:w="1007" w:type="dxa"/>
          </w:tcPr>
          <w:p>
            <w:r>
              <w:t>GET</w:t>
            </w:r>
          </w:p>
        </w:tc>
        <w:tc>
          <w:tcPr>
            <w:tcW w:type="dxa" w:w="2880"/>
            <w:tcW w:w="4320" w:type="dxa"/>
          </w:tcPr>
          <w:p>
            <w:r>
              <w:t>Get current Postgres settings (password redacted). Admin only.</w:t>
            </w:r>
          </w:p>
        </w:tc>
      </w:tr>
      <w:tr>
        <w:tc>
          <w:tcPr>
            <w:tcW w:type="dxa" w:w="2880"/>
            <w:tcW w:w="4031" w:type="dxa"/>
          </w:tcPr>
          <w:p>
            <w:r>
              <w:t>POST /api/settings/postgres</w:t>
            </w:r>
          </w:p>
        </w:tc>
        <w:tc>
          <w:tcPr>
            <w:tcW w:type="dxa" w:w="2880"/>
            <w:tcW w:w="1007" w:type="dxa"/>
          </w:tcPr>
          <w:p>
            <w:r>
              <w:t>POST</w:t>
            </w:r>
          </w:p>
        </w:tc>
        <w:tc>
          <w:tcPr>
            <w:tcW w:type="dxa" w:w="2880"/>
            <w:tcW w:w="4320" w:type="dxa"/>
          </w:tcPr>
          <w:p>
            <w:r>
              <w:t>Test and save new Postgres settings. Admin only.</w:t>
            </w:r>
          </w:p>
        </w:tc>
      </w:tr>
      <w:tr>
        <w:tc>
          <w:tcPr>
            <w:tcW w:type="dxa" w:w="2880"/>
          </w:tcPr>
          <w:p>
            <w:r>
              <w:t>GET /api/graph/schema</w:t>
            </w:r>
          </w:p>
        </w:tc>
        <w:tc>
          <w:tcPr>
            <w:tcW w:type="dxa" w:w="2880"/>
          </w:tcPr>
          <w:p>
            <w:r>
              <w:t>GET</w:t>
            </w:r>
          </w:p>
        </w:tc>
        <w:tc>
          <w:tcPr>
            <w:tcW w:type="dxa" w:w="2880"/>
          </w:tcPr>
          <w:p>
            <w:r>
              <w:t>Returns {labels[], relTypes[], propKeys[]} from Neo4j for autocomplete. Auth required.</w:t>
            </w:r>
          </w:p>
        </w:tc>
      </w:tr>
      <w:tr>
        <w:tc>
          <w:tcPr>
            <w:tcW w:type="dxa" w:w="2880"/>
          </w:tcPr>
          <w:p>
            <w:r>
              <w:t>POST /api/graph/count-query</w:t>
            </w:r>
          </w:p>
        </w:tc>
        <w:tc>
          <w:tcPr>
            <w:tcW w:type="dxa" w:w="2880"/>
          </w:tcPr>
          <w:p>
            <w:r>
              <w:t>POST</w:t>
            </w:r>
          </w:p>
        </w:tc>
        <w:tc>
          <w:tcPr>
            <w:tcW w:type="dxa" w:w="2880"/>
          </w:tcPr>
          <w:p>
            <w:r>
              <w:t xml:space="preserve">Wraps the query in COUNT(*) and returns {count}. Used before loading large result sets. Body: {query}.</w:t>
            </w:r>
          </w:p>
        </w:tc>
      </w:tr>
      <w:tr>
        <w:tc>
          <w:tcPr>
            <w:tcW w:type="dxa" w:w="2880"/>
          </w:tcPr>
          <w:p>
            <w:r>
              <w:t>POST /api/graph/expand</w:t>
            </w:r>
          </w:p>
        </w:tc>
        <w:tc>
          <w:tcPr>
            <w:tcW w:type="dxa" w:w="2880"/>
          </w:tcPr>
          <w:p>
            <w:r>
              <w:t>POST</w:t>
            </w:r>
          </w:p>
        </w:tc>
        <w:tc>
          <w:tcPr>
            <w:tcW w:type="dxa" w:w="2880"/>
          </w:tcPr>
          <w:p>
            <w:r>
              <w:t xml:space="preserve">Expands anchor nodes by URN. Body: {urns[], mode, targetLabels?}. Returns {nodes[], edges[]}.</w:t>
            </w:r>
          </w:p>
        </w:tc>
      </w:tr>
      <w:tr>
        <w:tc>
          <w:tcPr>
            <w:tcW w:type="dxa" w:w="2880"/>
          </w:tcPr>
          <w:p>
            <w:r>
              <w:t>POST /api/relations/find-between</w:t>
            </w:r>
          </w:p>
        </w:tc>
        <w:tc>
          <w:tcPr>
            <w:tcW w:type="dxa" w:w="2880"/>
          </w:tcPr>
          <w:p>
            <w:r>
              <w:t>POST</w:t>
            </w:r>
          </w:p>
        </w:tc>
        <w:tc>
          <w:tcPr>
            <w:tcW w:type="dxa" w:w="2880"/>
          </w:tcPr>
          <w:p>
            <w:r>
              <w:t xml:space="preserve">Finds Neo4j relations between selected and unselected node URNs. Body: {selectedURNs[], allURNs[], filterType}. Returns {relations[]}.</w:t>
            </w:r>
          </w:p>
        </w:tc>
      </w:tr>
      <w:tr>
        <w:tc>
          <w:tcPr>
            <w:tcW w:type="dxa" w:w="2880"/>
          </w:tcPr>
          <w:p>
            <w:r>
              <w:t>POST /api/relations/find-similar</w:t>
            </w:r>
          </w:p>
        </w:tc>
        <w:tc>
          <w:tcPr>
            <w:tcW w:type="dxa" w:w="2880"/>
          </w:tcPr>
          <w:p>
            <w:r>
              <w:t>POST</w:t>
            </w:r>
          </w:p>
        </w:tc>
        <w:tc>
          <w:tcPr>
            <w:tcW w:type="dxa" w:w="2880"/>
          </w:tcPr>
          <w:p>
            <w:r>
              <w:t xml:space="preserve">Batch-matches RNEF pathway edges to Neo4j relations. Body: {relations[{rURN, tURN, relType, effect, mechanism}]}. Returns {results[{idx, check, relations[]}]}.</w:t>
            </w:r>
          </w:p>
        </w:tc>
      </w:tr>
      <w:tr>
        <w:tc>
          <w:tcPr>
            <w:tcW w:type="dxa" w:w="2880"/>
          </w:tcPr>
          <w:p>
            <w:r>
              <w:t>POST /api/graph/export-query-references</w:t>
            </w:r>
          </w:p>
        </w:tc>
        <w:tc>
          <w:tcPr>
            <w:tcW w:type="dxa" w:w="2880"/>
          </w:tcPr>
          <w:p>
            <w:r>
              <w:t>POST</w:t>
            </w:r>
          </w:p>
        </w:tc>
        <w:tc>
          <w:tcPr>
            <w:tcW w:type="dxa" w:w="2880"/>
          </w:tcPr>
          <w:p>
            <w:r>
              <w:t xml:space="preserve">Runs a Cypher query, collects RelationIDs from results, fetches references from PostgreSQL, and returns CSV content for download. Body: {query}.</w:t>
            </w:r>
          </w:p>
        </w:tc>
      </w:tr>
      <w:tr>
        <w:tc>
          <w:tcPr>
            <w:tcW w:type="dxa" w:w="2880"/>
          </w:tcPr>
          <w:p>
            <w:r>
              <w:t>POST /api/graph/export-query-relations</w:t>
            </w:r>
          </w:p>
        </w:tc>
        <w:tc>
          <w:tcPr>
            <w:tcW w:type="dxa" w:w="2880"/>
          </w:tcPr>
          <w:p>
            <w:r>
              <w:t>POST</w:t>
            </w:r>
          </w:p>
        </w:tc>
        <w:tc>
          <w:tcPr>
            <w:tcW w:type="dxa" w:w="2880"/>
          </w:tcPr>
          <w:p>
            <w:r>
              <w:t xml:space="preserve">Runs a Cypher query, collects edges with node names, and returns a CSV of relation rows for download. Body: {query}.</w:t>
            </w:r>
          </w:p>
        </w:tc>
      </w:tr>
    </w:tbl>
    <w:p/>
    <w:p>
      <w:pPr>
        <w:pStyle w:val="Heading1"/>
        <w:spacing w:before="280"/>
      </w:pPr>
      <w:r>
        <w:t>16. Data Model</w:t>
      </w:r>
    </w:p>
    <w:p>
      <w:pPr>
        <w:pStyle w:val="Heading2"/>
        <w:spacing w:before="160"/>
      </w:pPr>
      <w:r>
        <w:t>16.1  graphData Object</w:t>
      </w:r>
    </w:p>
    <w:p>
      <w:r>
        <w:t>Central in-memory representation: { nodes[], edges[] }. Node: { id, elementId, labels[], properties{}, isClone?, cloneOf? }. Edge: { id, elementId, type, startNodeId, endNodeId, properties{} }. Key node properties: Name, URN, NodeID, Description. Key edge properties: RelationID, RelationNumberOfReferences, Effect, Mechanism, Confidence (%), Citation score.</w:t>
      </w:r>
    </w:p>
    <w:p>
      <w:pPr>
        <w:pStyle w:val="Heading2"/>
        <w:spacing w:before="160"/>
      </w:pPr>
      <w:r>
        <w:t>16.2  _loadedPropertyNames</w:t>
      </w:r>
    </w:p>
    <w:p>
      <w:r>
        <w:t>A module-level Set&lt;string&gt; tracking property names that have been loaded via the Load Node Properties dialog. Used to: (a) render the DB PROPERTIES section in node tooltips, and (b) populate the Node properties section in the Columns dialog. Cleared when the graph is cleared (clearGraph()).</w:t>
      </w:r>
    </w:p>
    <w:p>
      <w:pPr>
        <w:pStyle w:val="Heading2"/>
        <w:spacing w:before="160"/>
      </w:pPr>
      <w:r>
        <w:t>16.3  Node Colors</w:t>
      </w:r>
    </w:p>
    <w:p>
      <w:r>
        <w:t>NODE_COLORS map: Protein → blue (#1565C0), SmallMol → green (#00C853), Disease → red (#CC5500), CellProcess → yellow-orange (#f9a825), CellType → light blue (#81d4fa), Pathogen → toxic green (#61DE2A), Virus → chartreuse (#B5BF50), GeneticVariant → orange (#FF6D00), MedicalProcedure → teal (#5dd6c5), etc.</w:t>
      </w:r>
    </w:p>
    <w:p>
      <w:pPr>
        <w:pStyle w:val="Heading2"/>
        <w:spacing w:before="160"/>
      </w:pPr>
      <w:r>
        <w:t>16.4  Text Halo for Light-Colored Nodes</w:t>
      </w:r>
    </w:p>
    <w:p>
      <w:r>
        <w:t>Nodes with dark fills use white text and a colored text outline (text-outline-color: data(color), width 2 px). Nodes with light fills (SmallMol, CellProcess, CellType/Cell, MedicalProcedure, Pathogen, Virus, GeneticVariant) use black text with a white semi-transparent halo (text-outline-color: rgba(255,255,255,0.88), width 2 px). This ensures readability when labels overflow the node shape boundary onto the dark canvas background. Custom-colored nodes with black text also receive the white halo.</w:t>
      </w:r>
    </w:p>
    <w:p>
      <w:pPr>
        <w:pStyle w:val="Heading2"/>
        <w:spacing w:before="160"/>
      </w:pPr>
      <w:r>
        <w:t>16.5  Security Notes</w:t>
      </w:r>
    </w:p>
    <w:p>
      <w:r>
        <w:t>server.js and settings.json contain Neo4j and PostgreSQL credentials. settings.json must never be committed to a public repository. The /api/sql-query endpoint enforces read-only queries (SELECT and WITH only) and is restricted to admin users. adminMiddleware checks req.user.role === "admin" before processing settings API calls.</w:t>
      </w:r>
    </w:p>
    <w:p>
      <w:pPr>
        <w:pStyle w:val="Heading1"/>
        <w:spacing w:before="280"/>
      </w:pPr>
      <w:r>
        <w:t>17. Keyboard Shortcuts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600" w:type="dxa"/>
            <w:shd w:val="clear" w:color="auto" w:fill="D5E8F0"/>
          </w:tcPr>
          <w:p>
            <w:r>
              <w:rPr>
                <w:b/>
              </w:rPr>
              <w:t>Shortcut</w:t>
            </w:r>
          </w:p>
        </w:tc>
        <w:tc>
          <w:tcPr>
            <w:tcW w:type="dxa" w:w="4320"/>
            <w:tcW w:w="5760" w:type="dxa"/>
            <w:shd w:val="clear" w:color="auto" w:fill="D5E8F0"/>
          </w:tcPr>
          <w:p>
            <w:r>
              <w:rPr>
                <w:b/>
              </w:rPr>
              <w:t>Action</w:t>
            </w:r>
          </w:p>
        </w:tc>
      </w:tr>
      <w:tr>
        <w:tc>
          <w:tcPr>
            <w:tcW w:type="dxa" w:w="4320"/>
            <w:tcW w:w="3600" w:type="dxa"/>
          </w:tcPr>
          <w:p>
            <w:r>
              <w:rPr>
                <w:b/>
              </w:rPr>
              <w:t>Ctrl+Enter / Cmd+Enter</w:t>
            </w:r>
          </w:p>
        </w:tc>
        <w:tc>
          <w:tcPr>
            <w:tcW w:type="dxa" w:w="4320"/>
            <w:tcW w:w="5760" w:type="dxa"/>
          </w:tcPr>
          <w:p>
            <w:r>
              <w:t>Run the Cypher query (when query bar is focused)</w:t>
            </w:r>
          </w:p>
        </w:tc>
      </w:tr>
      <w:tr>
        <w:tc>
          <w:tcPr>
            <w:tcW w:type="dxa" w:w="4320"/>
            <w:tcW w:w="3600" w:type="dxa"/>
          </w:tcPr>
          <w:p>
            <w:r>
              <w:rPr>
                <w:b/>
              </w:rPr>
              <w:t>Ctrl+Z / Cmd+Z</w:t>
            </w:r>
          </w:p>
        </w:tc>
        <w:tc>
          <w:tcPr>
            <w:tcW w:type="dxa" w:w="4320"/>
            <w:tcW w:w="5760" w:type="dxa"/>
          </w:tcPr>
          <w:p>
            <w:r>
              <w:t>Undo last graph operation (undoGraphOperation())</w:t>
            </w:r>
          </w:p>
        </w:tc>
      </w:tr>
      <w:tr>
        <w:tc>
          <w:tcPr>
            <w:tcW w:type="dxa" w:w="4320"/>
            <w:tcW w:w="3600" w:type="dxa"/>
          </w:tcPr>
          <w:p>
            <w:r>
              <w:rPr>
                <w:b/>
              </w:rPr>
              <w:t>Escape</w:t>
            </w:r>
          </w:p>
        </w:tc>
        <w:tc>
          <w:tcPr>
            <w:tcW w:type="dxa" w:w="4320"/>
            <w:tcW w:w="5760" w:type="dxa"/>
          </w:tcPr>
          <w:p>
            <w:r>
              <w:t>Close the Find Nodes popup</w:t>
            </w:r>
          </w:p>
        </w:tc>
      </w:tr>
    </w:tbl>
    <w:p/>
    <w:p>
      <w:pPr>
        <w:pStyle w:val="Heading1"/>
        <w:spacing w:before="280"/>
      </w:pPr>
      <w:r>
        <w:t>18. Deployment</w:t>
      </w:r>
    </w:p>
    <w:p>
      <w:r>
        <w:t>Deployed to AWS. Frontend changes require only copying public/app.js (and public/index.html for HTML changes) to the server. Server-side changes require updating server.js and/or rnef_to_json.py. Dependencies managed via npm.</w:t>
      </w:r>
    </w:p>
    <w:p>
      <w:r>
        <w:t>Environment variables used by server.js:</w:t>
      </w:r>
    </w:p>
    <w:p>
      <w:pPr>
        <w:pStyle w:val="ListBullet"/>
      </w:pPr>
      <w:r>
        <w:t>URN_PROP — Neo4j property name for the URN (default: "URN")</w:t>
      </w:r>
    </w:p>
    <w:p>
      <w:pPr>
        <w:pStyle w:val="ListBullet"/>
      </w:pPr>
      <w:r>
        <w:t>PG_SCHEMA — PostgreSQL schema name (default in settings.json or DEFAULT_SETTINGS)</w:t>
      </w:r>
    </w:p>
    <w:p>
      <w:pPr>
        <w:pStyle w:val="ListBullet"/>
      </w:pPr>
      <w:r>
        <w:t>JWT_SECRET — JSON Web Token signing secret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Database connection credentials are no longer hardcoded in server.js. They are read from settings.json at startup and can be updated at runtime via the Admin settings UI without restarting the server.</w:t>
            </w:r>
          </w:p>
        </w:tc>
      </w:tr>
    </w:tbl>
    <w:p/>
    <w:p>
      <w:pPr>
        <w:pStyle w:val="Heading1"/>
        <w:spacing w:before="280"/>
      </w:pPr>
      <w:r>
        <w:t>19. Find Relations Between Groups</w:t>
      </w:r>
    </w:p>
    <w:p>
      <w:r>
        <w:t xml:space="preserve">Entry point: Database → Find relations ▶ (four items: All, Direct physical interactions, Biomarker, Indirect). Calls findRelationsBetweenGroups(filterType) where filterType is “all” | “direct” | “biomarker” | “indirect”.</w:t>
      </w:r>
    </w:p>
    <w:p>
      <w:pPr>
        <w:pStyle w:val="Heading2"/>
        <w:spacing w:before="160"/>
      </w:pPr>
      <w:r>
        <w:t>19.1  Client Logic</w:t>
      </w:r>
    </w:p>
    <w:p>
      <w:r>
        <w:t xml:space="preserve">1. Collects URNs of currently selected non-clone nodes (selectedURNs) and all non-clone nodes (allURNs). 2. Calls POST /api/relations/find-between with {selectedURNs, allURNs, filterType}. 3. Deduplicates returned relations against existing canvas edges (by RelationID). 4. Displays a confirmation dialog showing count and breakdown by relation type. 5. On confirm, calls pushUndo(), then for each new relation: builds a synthetic Neo4j edge object, calls graphData.edges.push(), and calls cy.add() with _buildCyEdgeData() for canonical data assembly (see §22).</w:t>
      </w:r>
    </w:p>
    <w:p>
      <w:pPr>
        <w:pStyle w:val="Heading2"/>
        <w:spacing w:before="160"/>
      </w:pPr>
      <w:r>
        <w:t>19.2  Server Logic (POST /api/relations/find-between)</w:t>
      </w:r>
    </w:p>
    <w:p>
      <w:r>
        <w:t xml:space="preserve">Builds a Cypher query using the selectedURNs and allURNs. For filterType “direct”: restricts to DIRECT_TYPES relations. For “biomarker”: restricts to Biomarker type. For “indirect”: restricts to non-direct types. Returns {relations[{rURN, tURN, relType, relationID, numRefs, effect, mechanism}]}.</w:t>
      </w:r>
    </w:p>
    <w:p>
      <w:pPr>
        <w:pStyle w:val="Heading1"/>
        <w:spacing w:before="280"/>
      </w:pPr>
      <w:r>
        <w:t>20. Expand Selected Nodes</w:t>
      </w:r>
    </w:p>
    <w:p>
      <w:r>
        <w:t xml:space="preserve">Entry point: Database → Expand ▶ sub-menu. Five modes are available:</w:t>
      </w:r>
    </w:p>
    <w:p>
      <w:pPr>
        <w:pStyle w:val="ListBullet"/>
      </w:pPr>
      <w:r>
        <w:t xml:space="preserve">Expand All — fetches all neighbours of selected nodes regardless of relation type.</w:t>
      </w:r>
    </w:p>
    <w:p>
      <w:pPr>
        <w:pStyle w:val="ListBullet"/>
      </w:pPr>
      <w:r>
        <w:t xml:space="preserve">Expand To… — opens the Expand To dialog where the user chooses one or more target node labels (e.g. Protein, Disease).</w:t>
      </w:r>
    </w:p>
    <w:p>
      <w:pPr>
        <w:pStyle w:val="ListBullet"/>
      </w:pPr>
      <w:r>
        <w:t xml:space="preserve">Find relations between selected and unselected — equivalent to Find relations (All) but routed through the expand pipeline.</w:t>
      </w:r>
    </w:p>
    <w:p>
      <w:pPr>
        <w:pStyle w:val="ListBullet"/>
      </w:pPr>
      <w:r>
        <w:t xml:space="preserve">Expand similar — fetches neighbours connected by non-direct (indirect/binding) relation types.</w:t>
      </w:r>
    </w:p>
    <w:p>
      <w:pPr>
        <w:pStyle w:val="ListBullet"/>
      </w:pPr>
      <w:r>
        <w:t xml:space="preserve">Expand direct — fetches neighbours connected by direct (DIRECT_TYPES) relation types only.</w:t>
      </w:r>
    </w:p>
    <w:p>
      <w:pPr>
        <w:pStyle w:val="Heading2"/>
        <w:spacing w:before="160"/>
      </w:pPr>
      <w:r>
        <w:t>20.1  Flow</w:t>
      </w:r>
    </w:p>
    <w:p>
      <w:r>
        <w:t xml:space="preserve">expandSelectedNodes(mode) collects URNs of selected non-clone nodes, then: for mode “all”/“similar”/“direct” calls _doExpand() directly; for mode “to” opens the Expand To dialog first (showExpandToDialog); for mode “between” calls _doExpand() with the between-mode filter. _doExpand() calls POST /api/graph/expand and stores the result in _expandPending. A confirmation modal shows the count of nodes and edges that will be added. _expandCommit() calls mergeGraphData(_expandPending) (see §22), then pushUndoSnapshot() and updateStats(). _expandCancel() discards _expandPending.</w:t>
      </w:r>
    </w:p>
    <w:p>
      <w:pPr>
        <w:pStyle w:val="Heading2"/>
        <w:spacing w:before="160"/>
      </w:pPr>
      <w:r>
        <w:t>20.2  Server Logic (POST /api/graph/expand)</w:t>
      </w:r>
    </w:p>
    <w:p>
      <w:r>
        <w:t xml:space="preserve">Accepts {urns[], mode, targetLabels?}. Builds a Cypher MATCH clause from the URN list, applies the mode filter on relationship types, and optionally applies a label filter on neighbour nodes. Uses processValue() to assemble nodes and edges in the same format as POST /api/graph/query. Returns {nodes[], edges[]}.</w:t>
      </w:r>
    </w:p>
    <w:p>
      <w:pPr>
        <w:pStyle w:val="Heading1"/>
        <w:spacing w:before="280"/>
      </w:pPr>
      <w:r>
        <w:t>21. Export Query Data</w:t>
      </w:r>
    </w:p>
    <w:p>
      <w:r>
        <w:t xml:space="preserve">Entry point: Database → Export query data ▶. Two items: Export references for current query and Export relations for current query. Both operate on the query currently in the textarea (not the loaded graph).</w:t>
      </w:r>
    </w:p>
    <w:p>
      <w:pPr>
        <w:pStyle w:val="Heading2"/>
        <w:spacing w:before="160"/>
      </w:pPr>
      <w:r>
        <w:t>21.1  Export References (POST /api/graph/export-query-references)</w:t>
      </w:r>
    </w:p>
    <w:p>
      <w:r>
        <w:t xml:space="preserve">Client calls exportQueryReferences(). A pre-flight count check uses POST /api/graph/count-query; if the row count exceeds 20 000 a warning dialog asks for confirmation before proceeding. The server runs the Cypher query, extracts RelationID values from all returned edges, queries PostgreSQL for references, and streams a CSV response. The client downloads it as query-references.csv.</w:t>
      </w:r>
    </w:p>
    <w:p>
      <w:pPr>
        <w:pStyle w:val="Heading2"/>
        <w:spacing w:before="160"/>
      </w:pPr>
      <w:r>
        <w:t>21.2  Export Relations (POST /api/graph/export-query-relations)</w:t>
      </w:r>
    </w:p>
    <w:p>
      <w:r>
        <w:t xml:space="preserve">Client calls exportQueryRelations(). Same pre-flight count check. The server runs the Cypher query, assembles rows of {Regulator, RegulatorType, Target, TargetType, RelationType, Effect, Mechanism, RelationNumberOfReferences, RelationID} from the returned graph data, and streams a CSV response downloaded as query-relations.csv.</w:t>
      </w:r>
    </w:p>
    <w:p>
      <w:pPr>
        <w:pStyle w:val="Heading1"/>
        <w:spacing w:before="280"/>
      </w:pPr>
      <w:r>
        <w:t>22. Shared Graph Merge Helpers</w:t>
      </w:r>
    </w:p>
    <w:p>
      <w:r>
        <w:t xml:space="preserve">All operations that add nodes and edges from Neo4j (Expand, Find relations, Load similar relations) must use the shared helpers defined in app.js before renderGraph(). This prevents the data-assembly logic from diverging across features.</w:t>
      </w:r>
    </w:p>
    <w:p>
      <w:pPr>
        <w:pStyle w:val="Heading2"/>
        <w:spacing w:before="160"/>
      </w:pPr>
      <w:r>
        <w:t>22.1  _buildCyNodeData(n)</w:t>
      </w:r>
    </w:p>
    <w:p>
      <w:r>
        <w:t xml:space="preserve">Mirrors the node assembly block inside renderGraph(). Sets id, elementId, label (via getNodeLabel), color (via getNodeColor(n.labels)), nodeType. Spreads n.properties via Object.assign, then re-asserts id to prevent n.properties.id from clobbering the cy node ID. Sets NodeType alias if missing.</w:t>
      </w:r>
    </w:p>
    <w:p>
      <w:pPr>
        <w:pStyle w:val="Heading2"/>
        <w:spacing w:before="160"/>
      </w:pPr>
      <w:r>
        <w:t>22.2  _buildCyEdgeData(e, srcCyId, tgtCyId)</w:t>
      </w:r>
    </w:p>
    <w:p>
      <w:r>
        <w:t xml:space="preserve">Mirrors the edge assembly block inside renderGraph(). Sets id, elementId, source, target, relType, relId (RelationID), relIds, edgeURN, numRefs, effect (via normEffectDisplay), mechanism, confidence, citationScore, color (via getTypeColor), isHyperedge, thickness (via getEdgeThickness), lineStyle (solid for DIRECT_TYPES, dashed otherwise), directed.</w:t>
      </w:r>
    </w:p>
    <w:p>
      <w:pPr>
        <w:pStyle w:val="Heading2"/>
        <w:spacing w:before="160"/>
      </w:pPr>
      <w:r>
        <w:t>22.3  mergeGraphData(newData)</w:t>
      </w:r>
    </w:p>
    <w:p>
      <w:r>
        <w:t xml:space="preserve">Full merge pipeline. Accepts {nodes[], edges[]} in the same format returned by the server. 1. Builds a URN → cy node ID map from live canvas nodes. 2. Pre-maps Neo4j IDs of anchor nodes (already on canvas) via URN lookup. 3. For each truly new node: adds to graphData.nodes, calls cy.add() with _buildCyNodeData(), places at a random offset from centre. 4. For each new edge (deduped by ID): resolves source/target cy IDs via the neo4jToCy map, calls cy.add() with _buildCyEdgeData(). Returns {addedNodes, addedEdges}.</w:t>
      </w:r>
    </w:p>
    <w:p>
      <w:pPr>
        <w:pStyle w:val="Heading1"/>
        <w:spacing w:before="280"/>
      </w:pPr>
      <w:r>
        <w:t>23. Undo System</w:t>
      </w:r>
    </w:p>
    <w:p>
      <w:r>
        <w:t xml:space="preserve">The undo stack (undoStack[]) stores {graphData, positions} snapshots. pushUndo() captures the current state via captureTabState() and pushes it BEFORE the operation that follows. undoGraphOperation() pops the top snapshot and restores the graph. All graph-mutating operations call pushUndo() before making changes, including: runQuery, loadFile, paste, delete, clone, merge, align, resize, node color, highlight, findRelationsBetweenGroups, loadSimilarRelations, and node drag (grab event). Node drag: pushUndo() is called in the cy “grab” event handler (before the drag begins), so each individual node move is independently undoable. _expandCommit() calls pushUndoSnapshot() after mergeGraphData() (snapshot taken of the post-expand state for redo purposes).</w:t>
      </w:r>
    </w:p>
    <w:p>
      <w:pPr>
        <w:pStyle w:val="Heading1"/>
        <w:spacing w:before="280"/>
      </w:pPr>
      <w:r>
        <w:t>Appendix: Third-Party Libraries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2880" w:type="dxa"/>
            <w:shd w:val="clear" w:color="auto" w:fill="D5E8F0"/>
          </w:tcPr>
          <w:p>
            <w:r>
              <w:rPr>
                <w:b/>
              </w:rPr>
              <w:t>Library</w:t>
            </w:r>
          </w:p>
        </w:tc>
        <w:tc>
          <w:tcPr>
            <w:tcW w:type="dxa" w:w="2880"/>
            <w:tcW w:w="1152" w:type="dxa"/>
            <w:shd w:val="clear" w:color="auto" w:fill="D5E8F0"/>
          </w:tcPr>
          <w:p>
            <w:r>
              <w:rPr>
                <w:b/>
              </w:rPr>
              <w:t>Version</w:t>
            </w:r>
          </w:p>
        </w:tc>
        <w:tc>
          <w:tcPr>
            <w:tcW w:type="dxa" w:w="2880"/>
            <w:tcW w:w="5328" w:type="dxa"/>
            <w:shd w:val="clear" w:color="auto" w:fill="D5E8F0"/>
          </w:tcPr>
          <w:p>
            <w:r>
              <w:rPr>
                <w:b/>
              </w:rPr>
              <w:t>Purpose</w:t>
            </w:r>
          </w:p>
        </w:tc>
      </w:tr>
      <w:tr>
        <w:tc>
          <w:tcPr>
            <w:tcW w:type="dxa" w:w="2880"/>
            <w:tcW w:w="2880" w:type="dxa"/>
          </w:tcPr>
          <w:p>
            <w:r>
              <w:rPr>
                <w:b/>
              </w:rPr>
              <w:t>Cytoscape.js</w:t>
            </w:r>
          </w:p>
        </w:tc>
        <w:tc>
          <w:tcPr>
            <w:tcW w:type="dxa" w:w="2880"/>
            <w:tcW w:w="1152" w:type="dxa"/>
          </w:tcPr>
          <w:p>
            <w:r>
              <w:t>3.27.0</w:t>
            </w:r>
          </w:p>
        </w:tc>
        <w:tc>
          <w:tcPr>
            <w:tcW w:type="dxa" w:w="2880"/>
            <w:tcW w:w="5328" w:type="dxa"/>
          </w:tcPr>
          <w:p>
            <w:r>
              <w:t>Graph visualization and interaction. Core library.</w:t>
            </w:r>
          </w:p>
        </w:tc>
      </w:tr>
      <w:tr>
        <w:tc>
          <w:tcPr>
            <w:tcW w:type="dxa" w:w="2880"/>
            <w:tcW w:w="2880" w:type="dxa"/>
          </w:tcPr>
          <w:p>
            <w:r>
              <w:rPr>
                <w:b/>
              </w:rPr>
              <w:t>cytoscape-dagre</w:t>
            </w:r>
          </w:p>
        </w:tc>
        <w:tc>
          <w:tcPr>
            <w:tcW w:type="dxa" w:w="2880"/>
            <w:tcW w:w="1152" w:type="dxa"/>
          </w:tcPr>
          <w:p>
            <w:r>
              <w:t>2.5.0</w:t>
            </w:r>
          </w:p>
        </w:tc>
        <w:tc>
          <w:tcPr>
            <w:tcW w:type="dxa" w:w="2880"/>
            <w:tcW w:w="5328" w:type="dxa"/>
          </w:tcPr>
          <w:p>
            <w:r>
              <w:t>Hierarchical layout extension for Cytoscape.</w:t>
            </w:r>
          </w:p>
        </w:tc>
      </w:tr>
      <w:tr>
        <w:tc>
          <w:tcPr>
            <w:tcW w:type="dxa" w:w="2880"/>
            <w:tcW w:w="2880" w:type="dxa"/>
          </w:tcPr>
          <w:p>
            <w:r>
              <w:rPr>
                <w:b/>
              </w:rPr>
              <w:t>dagre</w:t>
            </w:r>
          </w:p>
        </w:tc>
        <w:tc>
          <w:tcPr>
            <w:tcW w:type="dxa" w:w="2880"/>
            <w:tcW w:w="1152" w:type="dxa"/>
          </w:tcPr>
          <w:p>
            <w:r>
              <w:t>0.8.5</w:t>
            </w:r>
          </w:p>
        </w:tc>
        <w:tc>
          <w:tcPr>
            <w:tcW w:type="dxa" w:w="2880"/>
            <w:tcW w:w="5328" w:type="dxa"/>
          </w:tcPr>
          <w:p>
            <w:r>
              <w:t>Directed graph layout algorithm.</w:t>
            </w:r>
          </w:p>
        </w:tc>
      </w:tr>
      <w:tr>
        <w:tc>
          <w:tcPr>
            <w:tcW w:type="dxa" w:w="2880"/>
            <w:tcW w:w="2880" w:type="dxa"/>
          </w:tcPr>
          <w:p>
            <w:r>
              <w:rPr>
                <w:b/>
              </w:rPr>
              <w:t>ExcelJS</w:t>
            </w:r>
          </w:p>
        </w:tc>
        <w:tc>
          <w:tcPr>
            <w:tcW w:type="dxa" w:w="2880"/>
            <w:tcW w:w="1152" w:type="dxa"/>
          </w:tcPr>
          <w:p>
            <w:r>
              <w:t>4.3.0</w:t>
            </w:r>
          </w:p>
        </w:tc>
        <w:tc>
          <w:tcPr>
            <w:tcW w:type="dxa" w:w="2880"/>
            <w:tcW w:w="5328" w:type="dxa"/>
          </w:tcPr>
          <w:p>
            <w:r>
              <w:t>Client-side Excel file generation.</w:t>
            </w:r>
          </w:p>
        </w:tc>
      </w:tr>
      <w:tr>
        <w:tc>
          <w:tcPr>
            <w:tcW w:type="dxa" w:w="2880"/>
            <w:tcW w:w="2880" w:type="dxa"/>
          </w:tcPr>
          <w:p>
            <w:r>
              <w:rPr>
                <w:b/>
              </w:rPr>
              <w:t>jsonwebtoken</w:t>
            </w:r>
          </w:p>
        </w:tc>
        <w:tc>
          <w:tcPr>
            <w:tcW w:type="dxa" w:w="2880"/>
            <w:tcW w:w="1152" w:type="dxa"/>
          </w:tcPr>
          <w:p>
            <w:r>
              <w:t>—</w:t>
            </w:r>
          </w:p>
        </w:tc>
        <w:tc>
          <w:tcPr>
            <w:tcW w:type="dxa" w:w="2880"/>
            <w:tcW w:w="5328" w:type="dxa"/>
          </w:tcPr>
          <w:p>
            <w:r>
              <w:t>JWT creation and verification on the server.</w:t>
            </w:r>
          </w:p>
        </w:tc>
      </w:tr>
      <w:tr>
        <w:tc>
          <w:tcPr>
            <w:tcW w:type="dxa" w:w="2880"/>
            <w:tcW w:w="2880" w:type="dxa"/>
          </w:tcPr>
          <w:p>
            <w:r>
              <w:rPr>
                <w:b/>
              </w:rPr>
              <w:t>bcrypt</w:t>
            </w:r>
          </w:p>
        </w:tc>
        <w:tc>
          <w:tcPr>
            <w:tcW w:type="dxa" w:w="2880"/>
            <w:tcW w:w="1152" w:type="dxa"/>
          </w:tcPr>
          <w:p>
            <w:r>
              <w:t>—</w:t>
            </w:r>
          </w:p>
        </w:tc>
        <w:tc>
          <w:tcPr>
            <w:tcW w:type="dxa" w:w="2880"/>
            <w:tcW w:w="5328" w:type="dxa"/>
          </w:tcPr>
          <w:p>
            <w:r>
              <w:t>Password hashing on the server.</w:t>
            </w:r>
          </w:p>
        </w:tc>
      </w:tr>
      <w:tr>
        <w:tc>
          <w:tcPr>
            <w:tcW w:type="dxa" w:w="2880"/>
            <w:tcW w:w="2880" w:type="dxa"/>
          </w:tcPr>
          <w:p>
            <w:r>
              <w:rPr>
                <w:b/>
              </w:rPr>
              <w:t>express</w:t>
            </w:r>
          </w:p>
        </w:tc>
        <w:tc>
          <w:tcPr>
            <w:tcW w:type="dxa" w:w="2880"/>
            <w:tcW w:w="1152" w:type="dxa"/>
          </w:tcPr>
          <w:p>
            <w:r>
              <w:t>—</w:t>
            </w:r>
          </w:p>
        </w:tc>
        <w:tc>
          <w:tcPr>
            <w:tcW w:type="dxa" w:w="2880"/>
            <w:tcW w:w="5328" w:type="dxa"/>
          </w:tcPr>
          <w:p>
            <w:r>
              <w:t>HTTP server framework.</w:t>
            </w:r>
          </w:p>
        </w:tc>
      </w:tr>
      <w:tr>
        <w:tc>
          <w:tcPr>
            <w:tcW w:type="dxa" w:w="2880"/>
            <w:tcW w:w="2880" w:type="dxa"/>
          </w:tcPr>
          <w:p>
            <w:r>
              <w:rPr>
                <w:b/>
              </w:rPr>
              <w:t>neo4j-driver</w:t>
            </w:r>
          </w:p>
        </w:tc>
        <w:tc>
          <w:tcPr>
            <w:tcW w:type="dxa" w:w="2880"/>
            <w:tcW w:w="1152" w:type="dxa"/>
          </w:tcPr>
          <w:p>
            <w:r>
              <w:t>—</w:t>
            </w:r>
          </w:p>
        </w:tc>
        <w:tc>
          <w:tcPr>
            <w:tcW w:type="dxa" w:w="2880"/>
            <w:tcW w:w="5328" w:type="dxa"/>
          </w:tcPr>
          <w:p>
            <w:r>
              <w:t>Official Neo4j JavaScript driver (bolt protocol).</w:t>
            </w:r>
          </w:p>
        </w:tc>
      </w:tr>
      <w:tr>
        <w:tc>
          <w:tcPr>
            <w:tcW w:type="dxa" w:w="2880"/>
            <w:tcW w:w="2880" w:type="dxa"/>
          </w:tcPr>
          <w:p>
            <w:r>
              <w:rPr>
                <w:b/>
              </w:rPr>
              <w:t>pg</w:t>
            </w:r>
          </w:p>
        </w:tc>
        <w:tc>
          <w:tcPr>
            <w:tcW w:type="dxa" w:w="2880"/>
            <w:tcW w:w="1152" w:type="dxa"/>
          </w:tcPr>
          <w:p>
            <w:r>
              <w:t>—</w:t>
            </w:r>
          </w:p>
        </w:tc>
        <w:tc>
          <w:tcPr>
            <w:tcW w:type="dxa" w:w="2880"/>
            <w:tcW w:w="5328" w:type="dxa"/>
          </w:tcPr>
          <w:p>
            <w:r>
              <w:t>PostgreSQL client for Node.js.</w:t>
            </w:r>
          </w:p>
        </w:tc>
      </w:tr>
      <w:tr>
        <w:tc>
          <w:tcPr>
            <w:tcW w:type="dxa" w:w="2880"/>
            <w:tcW w:w="2880" w:type="dxa"/>
          </w:tcPr>
          <w:p>
            <w:r>
              <w:rPr>
                <w:b/>
              </w:rPr>
              <w:t>express-rate-limit</w:t>
            </w:r>
          </w:p>
        </w:tc>
        <w:tc>
          <w:tcPr>
            <w:tcW w:type="dxa" w:w="2880"/>
            <w:tcW w:w="1152" w:type="dxa"/>
          </w:tcPr>
          <w:p>
            <w:r>
              <w:t>—</w:t>
            </w:r>
          </w:p>
        </w:tc>
        <w:tc>
          <w:tcPr>
            <w:tcW w:type="dxa" w:w="2880"/>
            <w:tcW w:w="5328" w:type="dxa"/>
          </w:tcPr>
          <w:p>
            <w:r>
              <w:t>Request rate limiting middleware.</w:t>
            </w:r>
          </w:p>
        </w:tc>
      </w:tr>
    </w:tbl>
    <w:p/>
    <w:p>
      <w:pPr>
        <w:pStyle w:val="Heading1"/>
        <w:spacing w:before="280"/>
      </w:pPr>
      <w:r>
        <w:t>24. Merge Similar Relations</w:t>
      </w:r>
    </w:p>
    <w:p>
      <w:r>
        <w:t xml:space="preserve">Entry point: Graph → Merge Similar Relations (keyboard shortcut or context menu). The algorithm collapses redundant edges that connect the same ordered pair of nodes and represent the same or equivalent biological relationship type. Equivalence is defined by the MERGE_EQUIV table; the surviving anchor edge is chosen by CLASS_SCORE rank (higher = preferred anchor).</w:t>
      </w:r>
    </w:p>
    <w:p>
      <w:pPr>
        <w:pStyle w:val="Heading2"/>
        <w:spacing w:before="160"/>
      </w:pPr>
      <w:r>
        <w:t>24.1  CLASS_SCORE Ranking</w:t>
      </w:r>
    </w:p>
    <w:p>
      <w:r>
        <w:t xml:space="preserve">Every relation type is assigned an integer priority. When two equivalent edges are merged, the edge with the higher score becomes the anchor (survivor). Effect sign and reference count are taken from the anchor, or from whichever edge has the higher reference count when the anchor lacks them.</w:t>
      </w:r>
    </w:p>
    <w:tbl>
      <w:tblPr>
        <w:tblW w:type="dxa" w:w="6440"/>
        <w:tblBorders>
          <w:top w:val="single" w:sz="4" w:color="AAAAAA"/>
          <w:left w:val="single" w:sz="4" w:color="AAAAAA"/>
          <w:bottom w:val="single" w:sz="4" w:color="AAAAAA"/>
          <w:right w:val="single" w:sz="4" w:color="AAAAAA"/>
          <w:insideH w:val="single" w:sz="4" w:color="AAAAAA"/>
          <w:insideV w:val="single" w:sz="4" w:color="AAAAAA"/>
        </w:tblBorders>
      </w:tblPr>
      <w:tblGrid>
        <w:gridCol w:w="1440"/>
        <w:gridCol w:w="5000"/>
      </w:tblGrid>
      <w:tr>
        <w:tc>
          <w:tcPr>
            <w:tcW w:type="dxa" w:w="1440"/>
            <w:shd w:val="clear" w:fill="D9E2F3"/>
          </w:tcPr>
          <w:p>
            <w:r>
              <w:rPr>
                <w:b/>
              </w:rPr>
              <w:t xml:space="preserve">Score</w:t>
            </w:r>
          </w:p>
        </w:tc>
        <w:tc>
          <w:tcPr>
            <w:tcW w:type="dxa" w:w="5000"/>
            <w:shd w:val="clear" w:fill="D9E2F3"/>
          </w:tcPr>
          <w:p>
            <w:r>
              <w:rPr>
                <w:b/>
              </w:rPr>
              <w:t xml:space="preserve">Relation types</w:t>
            </w:r>
          </w:p>
        </w:tc>
      </w:tr>
      <w:tr>
        <w:tc>
          <w:tcPr>
            <w:tcW w:type="dxa" w:w="1440"/>
          </w:tcPr>
          <w:p>
            <w:r>
              <w:t xml:space="preserve">-2</w:t>
            </w:r>
          </w:p>
        </w:tc>
        <w:tc>
          <w:tcPr>
            <w:tcW w:type="dxa" w:w="5000"/>
          </w:tcPr>
          <w:p>
            <w:r>
              <w:t xml:space="preserve">FunctionalAssociation</w:t>
            </w:r>
          </w:p>
        </w:tc>
      </w:tr>
      <w:tr>
        <w:tc>
          <w:tcPr>
            <w:tcW w:type="dxa" w:w="1440"/>
          </w:tcPr>
          <w:p>
            <w:r>
              <w:t xml:space="preserve">-1</w:t>
            </w:r>
          </w:p>
        </w:tc>
        <w:tc>
          <w:tcPr>
            <w:tcW w:type="dxa" w:w="5000"/>
          </w:tcPr>
          <w:p>
            <w:r>
              <w:t xml:space="preserve">Regulation</w:t>
            </w:r>
          </w:p>
        </w:tc>
      </w:tr>
      <w:tr>
        <w:tc>
          <w:tcPr>
            <w:tcW w:type="dxa" w:w="1440"/>
          </w:tcPr>
          <w:p>
            <w:r>
              <w:t xml:space="preserve">0</w:t>
            </w:r>
          </w:p>
        </w:tc>
        <w:tc>
          <w:tcPr>
            <w:tcW w:type="dxa" w:w="5000"/>
          </w:tcPr>
          <w:p>
            <w:r>
              <w:t xml:space="preserve">QuantitativeChange, StateChange</w:t>
            </w:r>
          </w:p>
        </w:tc>
      </w:tr>
      <w:tr>
        <w:tc>
          <w:tcPr>
            <w:tcW w:type="dxa" w:w="1440"/>
          </w:tcPr>
          <w:p>
            <w:r>
              <w:t xml:space="preserve">1</w:t>
            </w:r>
          </w:p>
        </w:tc>
        <w:tc>
          <w:tcPr>
            <w:tcW w:type="dxa" w:w="5000"/>
          </w:tcPr>
          <w:p>
            <w:r>
              <w:t xml:space="preserve">MolTransport, MolSynthesis, Expression</w:t>
            </w:r>
          </w:p>
        </w:tc>
      </w:tr>
      <w:tr>
        <w:tc>
          <w:tcPr>
            <w:tcW w:type="dxa" w:w="1440"/>
          </w:tcPr>
          <w:p>
            <w:r>
              <w:t xml:space="preserve">3</w:t>
            </w:r>
          </w:p>
        </w:tc>
        <w:tc>
          <w:tcPr>
            <w:tcW w:type="dxa" w:w="5000"/>
          </w:tcPr>
          <w:p>
            <w:r>
              <w:t xml:space="preserve">Biomarker</w:t>
            </w:r>
          </w:p>
        </w:tc>
      </w:tr>
      <w:tr>
        <w:tc>
          <w:tcPr>
            <w:tcW w:type="dxa" w:w="1440"/>
          </w:tcPr>
          <w:p>
            <w:r>
              <w:t xml:space="preserve">4</w:t>
            </w:r>
          </w:p>
        </w:tc>
        <w:tc>
          <w:tcPr>
            <w:tcW w:type="dxa" w:w="5000"/>
          </w:tcPr>
          <w:p>
            <w:r>
              <w:t xml:space="preserve">Binding</w:t>
            </w:r>
          </w:p>
        </w:tc>
      </w:tr>
      <w:tr>
        <w:tc>
          <w:tcPr>
            <w:tcW w:type="dxa" w:w="1440"/>
          </w:tcPr>
          <w:p>
            <w:r>
              <w:t xml:space="preserve">5</w:t>
            </w:r>
          </w:p>
        </w:tc>
        <w:tc>
          <w:tcPr>
            <w:tcW w:type="dxa" w:w="5000"/>
          </w:tcPr>
          <w:p>
            <w:r>
              <w:t xml:space="preserve">ProtModification</w:t>
            </w:r>
          </w:p>
        </w:tc>
      </w:tr>
      <w:tr>
        <w:tc>
          <w:tcPr>
            <w:tcW w:type="dxa" w:w="1440"/>
          </w:tcPr>
          <w:p>
            <w:r>
              <w:t xml:space="preserve">6</w:t>
            </w:r>
          </w:p>
        </w:tc>
        <w:tc>
          <w:tcPr>
            <w:tcW w:type="dxa" w:w="5000"/>
          </w:tcPr>
          <w:p>
            <w:r>
              <w:t xml:space="preserve">PromoterBinding, DirectRegulation</w:t>
            </w:r>
          </w:p>
        </w:tc>
      </w:tr>
    </w:tbl>
    <w:p>
      <w:pPr>
        <w:pStyle w:val="Heading2"/>
        <w:spacing w:before="160"/>
      </w:pPr>
      <w:r>
        <w:t>24.2  MERGE_EQUIV Table</w:t>
      </w:r>
    </w:p>
    <w:p>
      <w:r>
        <w:t xml:space="preserve">The MERGE_EQUIV table defines which pairs of relation types are merge-eligible. Lookup is bidirectional (A can merge with B if B is in A's set). Key rules: Regulation is equivalent to all other types (it is always the inferior); QuantitativeChange is equivalent to Biomarker and Regulation. PromoterBinding and DirectRegulation share the same score (6) but are NOT merge-equivalent with each other — each has a separate entry in MERGE_EQUIV that excludes the other.</w:t>
      </w:r>
    </w:p>
    <w:p>
      <w:pPr>
        <w:pStyle w:val="Heading2"/>
        <w:spacing w:before="160"/>
      </w:pPr>
      <w:r>
        <w:t>24.3  Union-Find Grouping</w:t>
      </w:r>
    </w:p>
    <w:p>
      <w:r>
        <w:t xml:space="preserve">For each directed node pair (src, tgt), all edges in that direction are collected. A union-find data structure groups edges that are mutually merge-eligible (checked pairwise via MERGE_EQUIV). Groups containing more than one edge are candidates. Within each group the edge with the highest CLASS_SCORE is selected as anchor.</w:t>
      </w:r>
    </w:p>
    <w:p>
      <w:pPr>
        <w:pStyle w:val="Heading2"/>
        <w:spacing w:before="160"/>
      </w:pPr>
      <w:r>
        <w:t>24.4  RNEF Clone-Endpoint KEEP Guard</w:t>
      </w:r>
    </w:p>
    <w:p>
      <w:r>
        <w:t xml:space="preserve">RNEF pathway edges carry an edgeURN property. For edges within the same CLASS_SCORE tier, an edge is kept (not merged) if its endpoint topology differs from the anchor's: one connects to a clone node and the other does not. This preserves both the clone-connected and original-connected variants. The KEEP guard does NOT apply to cross-tier merges (different CLASS_SCORE values) — those always proceed regardless of clone-endpoint topology.</w:t>
      </w:r>
    </w:p>
    <w:p>
      <w:pPr>
        <w:pStyle w:val="Heading2"/>
        <w:spacing w:before="160"/>
      </w:pPr>
      <w:r>
        <w:t>24.5  Merge Execution</w:t>
      </w:r>
    </w:p>
    <w:p>
      <w:r>
        <w:t xml:space="preserve">For each non-anchor edge in a group: the anchor accumulates its reference IDs (relIds array) and reference count. If the anchor has no effect sign but the non-anchor does, the non-anchor's effect is used. The non-anchor edge is removed from cy canvas and graphData.edges. The anchor is updated in place. A summary toast reports the number of edges merged.</w:t>
      </w:r>
    </w:p>
    <w:p>
      <w:pPr>
        <w:pStyle w:val="Heading1"/>
        <w:spacing w:before="280"/>
      </w:pPr>
      <w:r>
        <w:t>25. Create/Edit Relation Dialog</w:t>
      </w:r>
    </w:p>
    <w:p>
      <w:r>
        <w:t xml:space="preserve">The Create/Edit Relation dialog (id="rc-pair-modal") is opened by right-clicking an edge and choosing Edit Properties, or via the right-click node context menu to create a new relation. It lets the user inspect and edit the relation type, directionality, and property key/value pairs.</w:t>
      </w:r>
    </w:p>
    <w:p>
      <w:pPr>
        <w:pStyle w:val="Heading2"/>
        <w:spacing w:before="160"/>
      </w:pPr>
      <w:r>
        <w:t>25.1  Schema Preloading</w:t>
      </w:r>
    </w:p>
    <w:p>
      <w:r>
        <w:t xml:space="preserve">_loadSchema() is called immediately inside showApp() after a successful login. It fetches GET /api/graph/schema (labels, relTypes, propKeys) and stores the result in _schemaCache (client-side). _rc.relTypes and _rc.propKeys are populated via _applySchemaToRc(). In-flight deduplication: _schemaLoadPromise ensures only one HTTP request is in flight at any time regardless of how many callers invoke _loadSchema() concurrently. Cache invalidation (_invalidateSchemaCache()) resets _schemaCache, _rc.relTypes, and _rc.propKeys to empty, then immediately calls _loadSchema() to warm the cache again.</w:t>
      </w:r>
    </w:p>
    <w:p>
      <w:pPr>
        <w:pStyle w:val="Heading2"/>
        <w:spacing w:before="160"/>
      </w:pPr>
      <w:r>
        <w:t>25.2  Schema Loading Overlay</w:t>
      </w:r>
    </w:p>
    <w:p>
      <w:r>
        <w:t xml:space="preserve">If the dialog is opened before the schema has finished loading (_rc.relTypes.length === 0), a blocking overlay (#rcp-schema-loading) with a CSS spinner and the text "Database schema is loading…" is shown over the dialog. The overlay is removed and the dropdown is populated once the _loadSchema() promise resolves. Under normal conditions (schema preloaded at login) the overlay is never visible.</w:t>
      </w:r>
    </w:p>
    <w:p>
      <w:pPr>
        <w:pStyle w:val="Heading2"/>
        <w:spacing w:before="160"/>
      </w:pPr>
      <w:r>
        <w:t>25.3  Relation Type Dropdown Population</w:t>
      </w:r>
    </w:p>
    <w:p>
      <w:r>
        <w:t xml:space="preserve">openPairRelationDialogForEdge() stores the selected edge's relType in _rcPair.relType before invoking rcPairPopulateRelTypeDropdown() and setting sel.value = relType. rcPairRenderVisual() reads the dropdown value first; if empty, falls back to _rcPair.relType. This ensures the visual arrow is rendered correctly even on the first dialog open, regardless of whether the schema is already loaded. rcPairOnRelTypeChange() updates _rcPair.relType whenever the user changes the dropdown.</w:t>
      </w:r>
    </w:p>
    <w:p>
      <w:pPr>
        <w:pStyle w:val="Heading1"/>
        <w:spacing w:before="280"/>
      </w:pPr>
      <w:r>
        <w:t>26. Ontology Analysis</w:t>
      </w:r>
    </w:p>
    <w:p>
      <w:r>
        <w:t xml:space="preserve">Entry point: Database → Ontology → Ontology Analysis. The feature lets users browse an ontology tree, inspect node counts for terms present in the current graph, and explore parent-child term relationships.</w:t>
      </w:r>
    </w:p>
    <w:p>
      <w:pPr>
        <w:pStyle w:val="Heading2"/>
        <w:spacing w:before="160"/>
      </w:pPr>
      <w:r>
        <w:t>26.1  Server Endpoints</w:t>
      </w:r>
    </w:p>
    <w:tbl>
      <w:tblPr>
        <w:tblW w:type="dxa" w:w="7640"/>
        <w:tblBorders>
          <w:top w:val="single" w:sz="4" w:color="AAAAAA"/>
          <w:left w:val="single" w:sz="4" w:color="AAAAAA"/>
          <w:bottom w:val="single" w:sz="4" w:color="AAAAAA"/>
          <w:right w:val="single" w:sz="4" w:color="AAAAAA"/>
          <w:insideH w:val="single" w:sz="4" w:color="AAAAAA"/>
          <w:insideV w:val="single" w:sz="4" w:color="AAAAAA"/>
        </w:tblBorders>
      </w:tblPr>
      <w:tblGrid>
        <w:gridCol w:w="2500"/>
        <w:gridCol w:w="800"/>
        <w:gridCol w:w="4340"/>
      </w:tblGrid>
      <w:tr>
        <w:tc>
          <w:tcPr>
            <w:tcW w:type="dxa" w:w="2500"/>
            <w:shd w:val="clear" w:fill="D9E2F3"/>
          </w:tcPr>
          <w:p>
            <w:r>
              <w:rPr>
                <w:b/>
              </w:rPr>
              <w:t xml:space="preserve">Endpoint</w:t>
            </w:r>
          </w:p>
        </w:tc>
        <w:tc>
          <w:tcPr>
            <w:tcW w:type="dxa" w:w="800"/>
            <w:shd w:val="clear" w:fill="D9E2F3"/>
          </w:tcPr>
          <w:p>
            <w:r>
              <w:rPr>
                <w:b/>
              </w:rPr>
              <w:t xml:space="preserve">Method</w:t>
            </w:r>
          </w:p>
        </w:tc>
        <w:tc>
          <w:tcPr>
            <w:tcW w:type="dxa" w:w="4340"/>
            <w:shd w:val="clear" w:fill="D9E2F3"/>
          </w:tcPr>
          <w:p>
            <w:r>
              <w:rPr>
                <w:b/>
              </w:rPr>
              <w:t xml:space="preserve">Description</w:t>
            </w:r>
          </w:p>
        </w:tc>
      </w:tr>
      <w:tr>
        <w:tc>
          <w:tcPr>
            <w:tcW w:type="dxa" w:w="2500"/>
          </w:tcPr>
          <w:p>
            <w:r>
              <w:t xml:space="preserve">GET /api/ontology/roots</w:t>
            </w:r>
          </w:p>
        </w:tc>
        <w:tc>
          <w:tcPr>
            <w:tcW w:type="dxa" w:w="800"/>
          </w:tcPr>
          <w:p>
            <w:r>
              <w:t xml:space="preserve">GET</w:t>
            </w:r>
          </w:p>
        </w:tc>
        <w:tc>
          <w:tcPr>
            <w:tcW w:type="dxa" w:w="4340"/>
          </w:tcPr>
          <w:p>
            <w:r>
              <w:t xml:space="preserve">Returns top-level ontology terms (rows with no parent) from PostgreSQL.</w:t>
            </w:r>
          </w:p>
        </w:tc>
      </w:tr>
      <w:tr>
        <w:tc>
          <w:tcPr>
            <w:tcW w:type="dxa" w:w="2500"/>
          </w:tcPr>
          <w:p>
            <w:r>
              <w:t xml:space="preserve">GET /api/ontology/children/:termId</w:t>
            </w:r>
          </w:p>
        </w:tc>
        <w:tc>
          <w:tcPr>
            <w:tcW w:type="dxa" w:w="800"/>
          </w:tcPr>
          <w:p>
            <w:r>
              <w:t xml:space="preserve">GET</w:t>
            </w:r>
          </w:p>
        </w:tc>
        <w:tc>
          <w:tcPr>
            <w:tcW w:type="dxa" w:w="4340"/>
          </w:tcPr>
          <w:p>
            <w:r>
              <w:t xml:space="preserve">Returns direct children of termId.</w:t>
            </w:r>
          </w:p>
        </w:tc>
      </w:tr>
      <w:tr>
        <w:tc>
          <w:tcPr>
            <w:tcW w:type="dxa" w:w="2500"/>
          </w:tcPr>
          <w:p>
            <w:r>
              <w:t xml:space="preserve">POST /api/ontology/batch-counts</w:t>
            </w:r>
          </w:p>
        </w:tc>
        <w:tc>
          <w:tcPr>
            <w:tcW w:type="dxa" w:w="800"/>
          </w:tcPr>
          <w:p>
            <w:r>
              <w:t xml:space="preserve">POST</w:t>
            </w:r>
          </w:p>
        </w:tc>
        <w:tc>
          <w:tcPr>
            <w:tcW w:type="dxa" w:w="4340"/>
          </w:tcPr>
          <w:p>
            <w:r>
              <w:t xml:space="preserve">Accepts {termIds[], nodeIds[]}. Returns per-term counts of how many nodeIds are descendants of each term.</w:t>
            </w:r>
          </w:p>
        </w:tc>
      </w:tr>
      <w:tr>
        <w:tc>
          <w:tcPr>
            <w:tcW w:type="dxa" w:w="2500"/>
          </w:tcPr>
          <w:p>
            <w:r>
              <w:t xml:space="preserve">POST /api/ontology/descendants</w:t>
            </w:r>
          </w:p>
        </w:tc>
        <w:tc>
          <w:tcPr>
            <w:tcW w:type="dxa" w:w="800"/>
          </w:tcPr>
          <w:p>
            <w:r>
              <w:t xml:space="preserve">POST</w:t>
            </w:r>
          </w:p>
        </w:tc>
        <w:tc>
          <w:tcPr>
            <w:tcW w:type="dxa" w:w="4340"/>
          </w:tcPr>
          <w:p>
            <w:r>
              <w:t xml:space="preserve">Accepts {termId}. Returns all descendant term IDs via recursive CTE.</w:t>
            </w:r>
          </w:p>
        </w:tc>
      </w:tr>
    </w:tbl>
    <w:p>
      <w:pPr>
        <w:pStyle w:val="Heading2"/>
        <w:spacing w:before="160"/>
      </w:pPr>
      <w:r>
        <w:t>26.2  Client Logic</w:t>
      </w:r>
    </w:p>
    <w:p>
      <w:r>
        <w:t xml:space="preserve">The Ontology Analysis modal (#ontology-modal) renders a tree view. Root terms are loaded on first open. Each node shows a ▶ expand arrow; clicking fetches children via GET /api/ontology/children/:termId and inserts them inline. Counts for currently visible terms are fetched via POST /api/ontology/batch-counts, passing the NodeIDs of all nodes currently in the graph. A "Copy term" button copies the term name to the clipboard.</w:t>
      </w:r>
    </w:p>
    <w:p>
      <w:pPr>
        <w:pStyle w:val="Heading1"/>
        <w:spacing w:before="280"/>
      </w:pPr>
      <w:r>
        <w:t>27. Security (v2.2.0 Updates)</w:t>
      </w:r>
    </w:p>
    <w:p>
      <w:r>
        <w:t xml:space="preserve">The following security hardening was applied for v2.2.0, guided by CodeQL static analysis:</w:t>
      </w:r>
    </w:p>
    <w:p>
      <w:pPr>
        <w:pStyle w:val="ListBullet"/>
      </w:pPr>
      <w:r>
        <w:t xml:space="preserve">helmet middleware: HTTP security headers (X-Frame-Options, HSTS, X-Content-Type-Options, etc.) are set on every response via app.use(helmet({ contentSecurityPolicy: false })).</w:t>
      </w:r>
    </w:p>
    <w:p>
      <w:pPr>
        <w:pStyle w:val="ListBullet"/>
      </w:pPr>
      <w:r>
        <w:t xml:space="preserve">NEO4J_URN_PROP validation: the environment variable is validated against /^[A-Za-z_][A-Za-z0-9_]*$/ at startup; the server refuses to start if the value is unsafe.</w:t>
      </w:r>
    </w:p>
    <w:p>
      <w:pPr>
        <w:pStyle w:val="ListBullet"/>
      </w:pPr>
      <w:r>
        <w:t xml:space="preserve">safeError() helper: all catch blocks in route handlers call safeError(err) instead of passing err.message directly to the client. In production (NODE_ENV=production) only the string "Internal server error" is returned; in development the actual message is included.</w:t>
      </w:r>
    </w:p>
    <w:p>
      <w:pPr>
        <w:pStyle w:val="ListBullet"/>
      </w:pPr>
      <w:r>
        <w:t xml:space="preserve">adminMiddleware on all settings routes: GET and POST handlers for /api/settings/neo4j and /api/settings/postgres now enforce the admin role via adminMiddleware.</w:t>
      </w:r>
    </w:p>
    <w:p>
      <w:pPr>
        <w:pStyle w:val="ListBullet"/>
      </w:pPr>
      <w:r>
        <w:t xml:space="preserve">History endpoint hardening: POST /api/history endpoints have dbLimiter rate-limiting applied; query body payloads are capped at HISTORY_QUERY_MAX_CHARS = 10 000 characters.</w:t>
      </w:r>
    </w:p>
    <w:p>
      <w:pPr>
        <w:pStyle w:val="ListBullet"/>
      </w:pPr>
      <w:r>
        <w:t xml:space="preserve">Schema deduplication: _schemaFetchPromise on the server ensures only one Neo4j schema query runs at a time, preventing redundant queries on startup.</w:t>
      </w:r>
    </w:p>
    <w:p>
      <w:pPr>
        <w:pStyle w:val="Heading1"/>
        <w:spacing w:before="280"/>
      </w:pPr>
      <w:r>
        <w:t>Appendix: Third-Party Libraries (additions in v2.2.0)</w:t>
      </w:r>
    </w:p>
    <w:tbl>
      <w:tblPr>
        <w:tblW w:type="dxa" w:w="8640"/>
        <w:tblBorders>
          <w:top w:val="single" w:sz="4" w:color="AAAAAA"/>
          <w:left w:val="single" w:sz="4" w:color="AAAAAA"/>
          <w:bottom w:val="single" w:sz="4" w:color="AAAAAA"/>
          <w:right w:val="single" w:sz="4" w:color="AAAAAA"/>
          <w:insideH w:val="single" w:sz="4" w:color="AAAAAA"/>
          <w:insideV w:val="single" w:sz="4" w:color="AAAAAA"/>
        </w:tblBorders>
      </w:tblPr>
      <w:tblGrid>
        <w:gridCol w:w="2000"/>
        <w:gridCol w:w="1500"/>
        <w:gridCol w:w="5140"/>
      </w:tblGrid>
      <w:tr>
        <w:tc>
          <w:tcPr>
            <w:tcW w:type="dxa" w:w="2000"/>
            <w:shd w:val="clear" w:fill="D9E2F3"/>
          </w:tcPr>
          <w:p>
            <w:r>
              <w:rPr>
                <w:b/>
              </w:rPr>
              <w:t xml:space="preserve">Library</w:t>
            </w:r>
          </w:p>
        </w:tc>
        <w:tc>
          <w:tcPr>
            <w:tcW w:type="dxa" w:w="1500"/>
            <w:shd w:val="clear" w:fill="D9E2F3"/>
          </w:tcPr>
          <w:p>
            <w:r>
              <w:rPr>
                <w:b/>
              </w:rPr>
              <w:t xml:space="preserve">Version</w:t>
            </w:r>
          </w:p>
        </w:tc>
        <w:tc>
          <w:tcPr>
            <w:tcW w:type="dxa" w:w="5140"/>
            <w:shd w:val="clear" w:fill="D9E2F3"/>
          </w:tcPr>
          <w:p>
            <w:r>
              <w:rPr>
                <w:b/>
              </w:rPr>
              <w:t xml:space="preserve">Purpose</w:t>
            </w:r>
          </w:p>
        </w:tc>
      </w:tr>
      <w:tr>
        <w:tc>
          <w:tcPr>
            <w:tcW w:type="dxa" w:w="2000"/>
          </w:tcPr>
          <w:p>
            <w:r>
              <w:t xml:space="preserve">helmet</w:t>
            </w:r>
          </w:p>
        </w:tc>
        <w:tc>
          <w:tcPr>
            <w:tcW w:type="dxa" w:w="1500"/>
          </w:tcPr>
          <w:p>
            <w:r>
              <w:t xml:space="preserve">^7.1.0</w:t>
            </w:r>
          </w:p>
        </w:tc>
        <w:tc>
          <w:tcPr>
            <w:tcW w:type="dxa" w:w="5140"/>
          </w:tcPr>
          <w:p>
            <w:r>
              <w:t xml:space="preserve">HTTP security headers middleware for Express.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