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9A227"/>
          <w:sz w:val="17"/>
        </w:rPr>
        <w:t>PROPUESTA TÉCNICA Y DE COSTOS</w:t>
      </w:r>
    </w:p>
    <w:p>
      <w:pPr>
        <w:spacing w:after="0"/>
      </w:pPr>
      <w:r>
        <w:rPr>
          <w:rFonts w:ascii="Calibri" w:hAnsi="Calibri"/>
          <w:b/>
          <w:color w:val="3B332A"/>
          <w:sz w:val="60"/>
        </w:rPr>
        <w:t>Boda Studio</w:t>
      </w:r>
    </w:p>
    <w:p>
      <w:pPr>
        <w:spacing w:after="120"/>
        <w:pBdr>
          <w:bottom w:val="single" w:sz="12" w:space="6" w:color="C9A227"/>
        </w:pBdr>
      </w:pPr>
      <w:r>
        <w:rPr>
          <w:rFonts w:ascii="Calibri" w:hAnsi="Calibri"/>
          <w:color w:val="8A7A63"/>
          <w:sz w:val="26"/>
        </w:rPr>
        <w:t>Infraestructura, costos y riesgos del lanzamiento</w:t>
      </w:r>
    </w:p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299" w:type="dxa"/>
        <w:tblLayout w:type="fixed"/>
      </w:tblPr>
      <w:tblGrid>
        <w:gridCol w:w="1701"/>
        <w:gridCol w:w="7597"/>
      </w:tblGrid>
      <w:tr>
        <w:tc>
          <w:tcPr>
            <w:tcW w:type="dxa" w:w="1701"/>
            <w:tcMar>
              <w:top w:w="90" w:type="dxa"/>
              <w:bottom w:w="90" w:type="dxa"/>
              <w:start w:w="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B332A"/>
                <w:sz w:val="19"/>
              </w:rPr>
              <w:t>Para</w:t>
            </w:r>
          </w:p>
        </w:tc>
        <w:tc>
          <w:tcPr>
            <w:tcW w:type="dxa" w:w="7597"/>
            <w:tcMar>
              <w:top w:w="90" w:type="dxa"/>
              <w:bottom w:w="90" w:type="dxa"/>
              <w:start w:w="6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Socio / socia del proyecto</w:t>
            </w:r>
          </w:p>
        </w:tc>
      </w:tr>
      <w:tr>
        <w:tc>
          <w:tcPr>
            <w:tcW w:type="dxa" w:w="1701"/>
            <w:tcMar>
              <w:top w:w="90" w:type="dxa"/>
              <w:bottom w:w="90" w:type="dxa"/>
              <w:start w:w="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B332A"/>
                <w:sz w:val="19"/>
              </w:rPr>
              <w:t>De</w:t>
            </w:r>
          </w:p>
        </w:tc>
        <w:tc>
          <w:tcPr>
            <w:tcW w:type="dxa" w:w="7597"/>
            <w:tcMar>
              <w:top w:w="90" w:type="dxa"/>
              <w:bottom w:w="90" w:type="dxa"/>
              <w:start w:w="6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Equipo técnico</w:t>
            </w:r>
          </w:p>
        </w:tc>
      </w:tr>
      <w:tr>
        <w:tc>
          <w:tcPr>
            <w:tcW w:type="dxa" w:w="1701"/>
            <w:tcMar>
              <w:top w:w="90" w:type="dxa"/>
              <w:bottom w:w="90" w:type="dxa"/>
              <w:start w:w="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3B332A"/>
                <w:sz w:val="19"/>
              </w:rPr>
              <w:t>Asunto</w:t>
            </w:r>
          </w:p>
        </w:tc>
        <w:tc>
          <w:tcPr>
            <w:tcW w:type="dxa" w:w="7597"/>
            <w:tcMar>
              <w:top w:w="90" w:type="dxa"/>
              <w:bottom w:w="90" w:type="dxa"/>
              <w:start w:w="60" w:type="dxa"/>
              <w:end w:w="60" w:type="dxa"/>
            </w:tcMar>
            <w:tcBorders>
              <w:bottom w:val="single" w:sz="4" w:space="0" w:color="D8D0C4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Dónde vive el sistema, cuánto cuesta y qué riesgos asumimos</w:t>
            </w:r>
          </w:p>
        </w:tc>
      </w:tr>
      <w:tr>
        <w:tc>
          <w:tcPr>
            <w:tcW w:type="dxa" w:w="1701"/>
            <w:tcMar>
              <w:top w:w="90" w:type="dxa"/>
              <w:bottom w:w="90" w:type="dxa"/>
              <w:start w:w="0" w:type="dxa"/>
              <w:end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B332A"/>
                <w:sz w:val="19"/>
              </w:rPr>
              <w:t>Alcance</w:t>
            </w:r>
          </w:p>
        </w:tc>
        <w:tc>
          <w:tcPr>
            <w:tcW w:type="dxa" w:w="7597"/>
            <w:tcMar>
              <w:top w:w="90" w:type="dxa"/>
              <w:bottom w:w="90" w:type="dxa"/>
              <w:start w:w="60" w:type="dxa"/>
              <w:end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Decisión de infraestructura antes de la primera boda real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Resumen ejecutivo</w:t>
      </w:r>
    </w:p>
    <w:p>
      <w:pPr>
        <w:pStyle w:val="ListNumber"/>
        <w:spacing w:after="100" w:line="269" w:lineRule="auto"/>
      </w:pPr>
      <w:r>
        <w:rPr>
          <w:rFonts w:ascii="Calibri" w:hAnsi="Calibri"/>
          <w:b/>
          <w:color w:val="3B332A"/>
          <w:sz w:val="21"/>
        </w:rPr>
        <w:t xml:space="preserve">El sistema está terminado y probado de punta a punta: </w:t>
      </w:r>
      <w:r>
        <w:rPr>
          <w:rFonts w:ascii="Calibri" w:hAnsi="Calibri"/>
          <w:color w:val="4A4038"/>
          <w:sz w:val="21"/>
        </w:rPr>
        <w:t>invitación web personalizada, envío masivo por WhatsApp y panel de confirmaciones.</w:t>
      </w:r>
    </w:p>
    <w:p>
      <w:pPr>
        <w:pStyle w:val="ListNumber"/>
        <w:spacing w:after="100" w:line="269" w:lineRule="auto"/>
      </w:pPr>
      <w:r>
        <w:rPr>
          <w:rFonts w:ascii="Calibri" w:hAnsi="Calibri"/>
          <w:b/>
          <w:color w:val="3B332A"/>
          <w:sz w:val="21"/>
        </w:rPr>
        <w:t xml:space="preserve">Encontramos un error grave que hacía inútil cada campaña: </w:t>
      </w:r>
      <w:r>
        <w:rPr>
          <w:rFonts w:ascii="Calibri" w:hAnsi="Calibri"/>
          <w:color w:val="4A4038"/>
          <w:sz w:val="21"/>
        </w:rPr>
        <w:t>los mensajes salían con un enlace que solo funcionaba en la computadora de la organizadora. Ya está corregido y bloqueado: el sistema no permite un envío real con un enlace roto.</w:t>
      </w:r>
    </w:p>
    <w:p>
      <w:pPr>
        <w:pStyle w:val="ListNumber"/>
        <w:spacing w:after="100" w:line="269" w:lineRule="auto"/>
      </w:pPr>
      <w:r>
        <w:rPr>
          <w:rFonts w:ascii="Calibri" w:hAnsi="Calibri"/>
          <w:b/>
          <w:color w:val="3B332A"/>
          <w:sz w:val="21"/>
        </w:rPr>
        <w:t xml:space="preserve">Para publicarlo hace falta una dirección de internet de verdad: </w:t>
      </w:r>
      <w:r>
        <w:rPr>
          <w:rFonts w:ascii="Calibri" w:hAnsi="Calibri"/>
          <w:color w:val="4A4038"/>
          <w:sz w:val="21"/>
        </w:rPr>
        <w:t>ya está resuelta la parte técnica y el paso a paso; falta decidir el nombre.</w:t>
      </w:r>
    </w:p>
    <w:p>
      <w:pPr>
        <w:pStyle w:val="ListNumber"/>
        <w:spacing w:after="100" w:line="269" w:lineRule="auto"/>
      </w:pPr>
      <w:r>
        <w:rPr>
          <w:rFonts w:ascii="Calibri" w:hAnsi="Calibri"/>
          <w:b/>
          <w:color w:val="3B332A"/>
          <w:sz w:val="21"/>
        </w:rPr>
        <w:t xml:space="preserve">Costo de infraestructura: 0 USD por mes. </w:t>
      </w:r>
      <w:r>
        <w:rPr>
          <w:rFonts w:ascii="Calibri" w:hAnsi="Calibri"/>
          <w:color w:val="4A4038"/>
          <w:sz w:val="21"/>
        </w:rPr>
        <w:t>El único gasto real es el dominio (≈1–2 USD el primer año, o gratis con un subdominio) y un chip de WhatsApp (3–8 USD, una sola vez).</w:t>
      </w:r>
    </w:p>
    <w:p>
      <w:pPr>
        <w:pStyle w:val="ListNumber"/>
        <w:spacing w:after="100" w:line="269" w:lineRule="auto"/>
      </w:pPr>
      <w:r>
        <w:rPr>
          <w:rFonts w:ascii="Calibri" w:hAnsi="Calibri"/>
          <w:b/>
          <w:color w:val="3B332A"/>
          <w:sz w:val="21"/>
        </w:rPr>
        <w:t xml:space="preserve">El riesgo principal no es técnico, es de WhatsApp: </w:t>
      </w:r>
      <w:r>
        <w:rPr>
          <w:rFonts w:ascii="Calibri" w:hAnsi="Calibri"/>
          <w:color w:val="4A4038"/>
          <w:sz w:val="21"/>
        </w:rPr>
        <w:t>el envío no usa el canal oficial de Meta y el número puede ser bloqueado. Está mitigado y documentado, con plan de contingencia.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1. Qué hace el sistema</w:t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Reemplaza las dos tareas que hoy se hacen a mano: la tarjeta PDF y el reenvío de WhatsApp uno por uno.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E3DACA"/>
          <w:left w:val="single" w:sz="4" w:space="0" w:color="E3DACA"/>
          <w:bottom w:val="single" w:sz="4" w:space="0" w:color="E3DACA"/>
          <w:right w:val="single" w:sz="4" w:space="0" w:color="E3DACA"/>
          <w:insideH w:val="single" w:sz="4" w:space="0" w:color="E3DACA"/>
          <w:insideV w:val="single" w:sz="4" w:space="0" w:color="E3DACA"/>
        </w:tblBorders>
        <w:tblW w:w="9299" w:type="dxa"/>
        <w:tblLayout w:type="fixed"/>
      </w:tblPr>
      <w:tblGrid>
        <w:gridCol w:w="9298"/>
      </w:tblGrid>
      <w:tr>
        <w:tc>
          <w:tcPr>
            <w:tcW w:type="dxa" w:w="9298"/>
            <w:shd w:val="clear" w:color="auto" w:fill="F7F4E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4A4038"/>
                <w:sz w:val="17"/>
              </w:rPr>
              <w:t>La organizadora importa el Excel de invitados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4A4038"/>
                <w:sz w:val="17"/>
              </w:rPr>
              <w:t xml:space="preserve">    → el sistema crea un enlace único por invitado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4A4038"/>
                <w:sz w:val="17"/>
              </w:rPr>
              <w:t xml:space="preserve">        → envía el mensaje personalizado ("Hola Ana, válido para 2 personas")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4A4038"/>
                <w:sz w:val="17"/>
              </w:rPr>
              <w:t xml:space="preserve">            → el invitado abre su invitación y confirma en línea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4A4038"/>
                <w:sz w:val="17"/>
              </w:rPr>
              <w:t xml:space="preserve">                → el panel muestra confirmados, pases y restricciones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Lo que diferencia al producto de mandar un PDF: cada invitado recibe su propio enlace, así que el panel sabe quién abrió, quién confirmó y cuántos pases usa cada uno. Un PDF no dice nada de eso.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2. El problema que encontramos y cómo quedó resuelto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4A4038"/>
          <w:sz w:val="21"/>
        </w:rPr>
        <w:t xml:space="preserve">Qué pasaba. </w:t>
      </w:r>
      <w:r>
        <w:rPr>
          <w:rFonts w:ascii="Calibri" w:hAnsi="Calibri"/>
          <w:b w:val="0"/>
          <w:color w:val="4A4038"/>
          <w:sz w:val="21"/>
        </w:rPr>
        <w:t>El enlace que va dentro de cada mensaje se armaba con una configuración que tenía un valor de prueba: localhost. Ese texto significa "esta misma computadora". En el teléfono del invitado, "esta misma computadora" es su propio teléfono: tocaba el enlace y no abría nada.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Lo peligroso es que el sistema no fallaba: los 200 mensajes se enviaban perfecto. El error se descubría cuando ya no tenía arreglo, con el número usado para mandar enlaces muertos y ningún invitado confirmado.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4A4038"/>
          <w:sz w:val="21"/>
        </w:rPr>
        <w:t xml:space="preserve">Qué hicimos. </w:t>
      </w:r>
      <w:r>
        <w:rPr>
          <w:rFonts w:ascii="Calibri" w:hAnsi="Calibri"/>
          <w:b w:val="0"/>
          <w:color w:val="4A4038"/>
          <w:sz w:val="21"/>
        </w:rPr>
        <w:t>Tres capas, para que no pueda repetirse: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El sistema ahora distingue </w:t>
      </w:r>
      <w:r>
        <w:rPr>
          <w:rFonts w:ascii="Calibri" w:hAnsi="Calibri"/>
          <w:color w:val="4A4038"/>
          <w:sz w:val="21"/>
        </w:rPr>
        <w:t>una dirección pública de una que solo existe en una red interna (localhost, IP de la casa, dominios de prueba, túneles temporales).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Bloquea el envío real </w:t>
      </w:r>
      <w:r>
        <w:rPr>
          <w:rFonts w:ascii="Calibri" w:hAnsi="Calibri"/>
          <w:color w:val="4A4038"/>
          <w:sz w:val="21"/>
        </w:rPr>
        <w:t>si el enlace no es público: la campaña queda en pausa con el motivo escrito, sin gastar un solo mensaje. El modo de prueba (que muestra los textos sin enviar) sigue funcionando siempre.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Avisa antes de que pase: </w:t>
      </w:r>
      <w:r>
        <w:rPr>
          <w:rFonts w:ascii="Calibri" w:hAnsi="Calibri"/>
          <w:color w:val="4A4038"/>
          <w:sz w:val="21"/>
        </w:rPr>
        <w:t>al arrancar, en el chequeo de estado y con un cartel rojo en el panel de la organizadora.</w:t>
      </w:r>
    </w:p>
    <w:p>
      <w:pPr>
        <w:spacing w:after="8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Además se agregaron 15 pruebas automáticas sobre esa regla, para que un cambio futuro no la rompa sin que nos enteremos.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3. Opciones y costos</w:t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Precios de lista de los proveedores. La columna "costo" es mensual y recurrente, salvo donde se aclara lo contrario.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1871"/>
        <w:gridCol w:w="2268"/>
        <w:gridCol w:w="1984"/>
        <w:gridCol w:w="3175"/>
      </w:tblGrid>
      <w:tr>
        <w:trPr>
          <w:tblHeader w:val="true"/>
        </w:trPr>
        <w:tc>
          <w:tcPr>
            <w:tcW w:type="dxa" w:w="1871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226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 implica</w:t>
            </w:r>
          </w:p>
        </w:tc>
        <w:tc>
          <w:tcPr>
            <w:tcW w:type="dxa" w:w="1984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Costo</w:t>
            </w:r>
          </w:p>
        </w:tc>
        <w:tc>
          <w:tcPr>
            <w:tcW w:type="dxa" w:w="3175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187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A · Todo gratis</w:t>
              <w:br/>
              <w:t>Oracle Cloud + DuckDNS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El enlace queda tu-boda.duckdns.org</w:t>
            </w:r>
          </w:p>
        </w:tc>
        <w:tc>
          <w:tcPr>
            <w:tcW w:type="dxa" w:w="198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0 USD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Sirve, pero el nombre no da confianza y no se puede mover de proveedor sin cambiar todos los enlaces</w:t>
            </w:r>
          </w:p>
        </w:tc>
      </w:tr>
      <w:tr>
        <w:tc>
          <w:tcPr>
            <w:tcW w:type="dxa" w:w="187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4A4038"/>
                <w:sz w:val="19"/>
              </w:rPr>
              <w:t>B · Gratis + dominio propio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Lo mismo que A, con un dominio comprado</w:t>
            </w:r>
          </w:p>
        </w:tc>
        <w:tc>
          <w:tcPr>
            <w:tcW w:type="dxa" w:w="198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0 USD/mes + ≈1–2 USD el primer año (≈10–15 USD/año después)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4A4038"/>
                <w:sz w:val="19"/>
              </w:rPr>
              <w:t>Mejor relación costo/beneficio: parece un producto profesional y el enlace es para siempre</w:t>
            </w:r>
          </w:p>
        </w:tc>
      </w:tr>
      <w:tr>
        <w:tc>
          <w:tcPr>
            <w:tcW w:type="dxa" w:w="187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 · Servidor gestionado</w:t>
              <w:br/>
              <w:t>(VPS 2 GB o similar)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Se paga por comodidad: menos pasos, soporte</w:t>
            </w:r>
          </w:p>
        </w:tc>
        <w:tc>
          <w:tcPr>
            <w:tcW w:type="dxa" w:w="198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≈5–8 USD/mes + dominio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Solo si preferimos no administrar nada</w:t>
            </w:r>
          </w:p>
        </w:tc>
      </w:tr>
      <w:tr>
        <w:tc>
          <w:tcPr>
            <w:tcW w:type="dxa" w:w="187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 · Planes gratuitos de otras plataformas</w:t>
            </w:r>
          </w:p>
        </w:tc>
        <w:tc>
          <w:tcPr>
            <w:tcW w:type="dxa" w:w="226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Render, Railway, Vercel, Fly, Koyeb</w:t>
            </w:r>
          </w:p>
        </w:tc>
        <w:tc>
          <w:tcPr>
            <w:tcW w:type="dxa" w:w="198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0 a 5 USD</w:t>
            </w:r>
          </w:p>
        </w:tc>
        <w:tc>
          <w:tcPr>
            <w:tcW w:type="dxa" w:w="3175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No sirven para esto: el envío por WhatsApp necesita un proceso siempre encendido y un disco que no se borre. Esos planes duermen el proceso o borran el disco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4A4038"/>
          <w:sz w:val="21"/>
        </w:rPr>
        <w:t xml:space="preserve">Lo que cuesta cada boda, en la práctica. </w:t>
      </w:r>
      <w:r>
        <w:rPr>
          <w:rFonts w:ascii="Calibri" w:hAnsi="Calibri"/>
          <w:b w:val="0"/>
          <w:color w:val="4A4038"/>
          <w:sz w:val="21"/>
        </w:rPr>
        <w:t>Con la opción B el único gasto recurrente es el dominio. Si cuesta 12 USD al año y se usa para 10 bodas, son 1,2 USD por boda, contra las horas de trabajo manual que hoy insume mandar 200 mensajes uno por uno y perseguir confirmaciones.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4. Recomendación</w:t>
      </w:r>
    </w:p>
    <w:p>
      <w:pPr>
        <w:spacing w:after="160" w:line="276" w:lineRule="auto"/>
        <w:jc w:val="both"/>
      </w:pPr>
      <w:r>
        <w:rPr>
          <w:rFonts w:ascii="Calibri" w:hAnsi="Calibri"/>
          <w:b/>
          <w:color w:val="4A4038"/>
          <w:sz w:val="21"/>
        </w:rPr>
        <w:t>Opción B: servidor gratuito de Oracle Cloud + dominio propio.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Coste casi nulo: </w:t>
      </w:r>
      <w:r>
        <w:rPr>
          <w:rFonts w:ascii="Calibri" w:hAnsi="Calibri"/>
          <w:color w:val="4A4038"/>
          <w:sz w:val="21"/>
        </w:rPr>
        <w:t>0 USD/mes de infraestructura; el dominio es el gasto más chico del proyecto y el que más se nota de cara al cliente.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Cumple los tres requisitos que ninguna plataforma gratuita cumple a la vez: </w:t>
      </w:r>
      <w:r>
        <w:rPr>
          <w:rFonts w:ascii="Calibri" w:hAnsi="Calibri"/>
          <w:color w:val="4A4038"/>
          <w:sz w:val="21"/>
        </w:rPr>
        <w:t>proceso siempre activo, disco persistente (ahí vive la sesión de WhatsApp) y HTTPS.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Un solo servidor: </w:t>
      </w:r>
      <w:r>
        <w:rPr>
          <w:rFonts w:ascii="Calibri" w:hAnsi="Calibri"/>
          <w:color w:val="4A4038"/>
          <w:sz w:val="21"/>
        </w:rPr>
        <w:t>la web, la API y la base de datos en la misma máquina, un dominio único y certificado automático. Menos piezas, menos cosas que se rompen.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Se puede revertir: </w:t>
      </w:r>
      <w:r>
        <w:rPr>
          <w:rFonts w:ascii="Calibri" w:hAnsi="Calibri"/>
          <w:color w:val="4A4038"/>
          <w:sz w:val="21"/>
        </w:rPr>
        <w:t>si mañana crece, el mismo paquete se muda a un servidor pago de 5 USD sin cambiar una línea de código.</w:t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La alternativa honesta: si no queremos administrar un servidor, la opción C resuelve lo mismo por 5–8 USD/mes. No hay una tercera vía gratuita que funcione con WhatsApp hoy.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5. Estado actual del producto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6009"/>
        <w:gridCol w:w="3288"/>
      </w:tblGrid>
      <w:tr>
        <w:trPr>
          <w:tblHeader w:val="true"/>
        </w:trPr>
        <w:tc>
          <w:tcPr>
            <w:tcW w:type="dxa" w:w="600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Pieza</w:t>
            </w:r>
          </w:p>
        </w:tc>
        <w:tc>
          <w:tcPr>
            <w:tcW w:type="dxa" w:w="328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Invitaciones web personalizadas (un token por invitado)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Terminado y probado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Importación de invitados (Excel/CSV, alias, teléfonos)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Terminado y probado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Panel de confirmaciones (pases, restricciones, grupos)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Terminado y probado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Enlaces públicos y bloqueo de envíos con enlace roto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Terminado y probado (nuevo)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Envío masivo por WhatsApp con cola, pausas y reanudación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Terminado; falta la prueba con el número real</w:t>
            </w:r>
          </w:p>
        </w:tc>
      </w:tr>
      <w:tr>
        <w:tc>
          <w:tcPr>
            <w:tcW w:type="dxa" w:w="600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Prueba en celular real del diseño de la invitación</w:t>
            </w:r>
          </w:p>
        </w:tc>
        <w:tc>
          <w:tcPr>
            <w:tcW w:type="dxa" w:w="328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Pendiente (requiere un dispositivo)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Las dos cosas pendientes no son desarrollo: son verificación con hardware real. Se resuelven en una tarde, con el chip en la mano.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6. Riesgos y cómo los manejamos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2948"/>
        <w:gridCol w:w="1928"/>
        <w:gridCol w:w="4422"/>
      </w:tblGrid>
      <w:tr>
        <w:trPr>
          <w:tblHeader w:val="true"/>
        </w:trPr>
        <w:tc>
          <w:tcPr>
            <w:tcW w:type="dxa" w:w="294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92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422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Bloqueo del número de WhatsApp (no usa el canal oficial de Meta)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Alto: sin número no hay campaña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Chip dedicado (nunca el personal), calentar el número unos días, retardos de 6–14 s, tope de 250 por día, mensajes personalizados, modo de prueba previo y plan de contingencia: chip nuevo + reanudar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Pérdida de la sesión de WhatsApp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Medio: hay que escanear un QR otra vez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La sesión vive en un volumen persistente; se verifica con un reinicio de prueba antes de la primera campaña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Enlaces rotos por mala configuración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Alto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Resuelto: bloqueo automático del envío y aviso en el panel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Datos personales de invitados (Ley 6534/2020)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Medio: obligación legal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Datos aislados por organizadora, borrado por invitado y borrado al finalizar el evento; no se comparten con terceros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Dependencia de un servidor gratuito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Bajo/Medio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El stack es estándar (Docker): mudarse a un servidor de 5 USD es cuestión de horas</w:t>
            </w:r>
          </w:p>
        </w:tc>
      </w:tr>
      <w:tr>
        <w:tc>
          <w:tcPr>
            <w:tcW w:type="dxa" w:w="294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Caída del servidor durante una campaña</w:t>
            </w:r>
          </w:p>
        </w:tc>
        <w:tc>
          <w:tcPr>
            <w:tcW w:type="dxa" w:w="192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Bajo</w:t>
            </w:r>
          </w:p>
        </w:tc>
        <w:tc>
          <w:tcPr>
            <w:tcW w:type="dxa" w:w="44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Cada mensaje se guarda antes y después de enviarse: al reanudar no se repite ni se pierde ninguno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7. Decisiones que necesitamos tomar</w:t>
      </w:r>
    </w:p>
    <w:p>
      <w:pPr>
        <w:pStyle w:val="ListBullet"/>
        <w:spacing w:after="80" w:line="269" w:lineRule="auto"/>
      </w:pPr>
      <w:r>
        <w:rPr>
          <w:rFonts w:ascii="Calibri" w:hAnsi="Calibri"/>
          <w:color w:val="4A4038"/>
          <w:sz w:val="21"/>
        </w:rPr>
        <w:t>¿Usamos el subdominio gratuito o compramos dominio? (recomendamos comprar; si es para una clienta puntual, el nombre puede ser el de la boda)</w:t>
      </w:r>
    </w:p>
    <w:p>
      <w:pPr>
        <w:pStyle w:val="ListBullet"/>
        <w:spacing w:after="80" w:line="269" w:lineRule="auto"/>
      </w:pPr>
      <w:r>
        <w:rPr>
          <w:rFonts w:ascii="Calibri" w:hAnsi="Calibri"/>
          <w:color w:val="4A4038"/>
          <w:sz w:val="21"/>
        </w:rPr>
        <w:t>¿Compramos ya el chip dedicado de WhatsApp? Sin eso no se puede probar el envío real.</w:t>
      </w:r>
    </w:p>
    <w:p>
      <w:pPr>
        <w:pStyle w:val="ListBullet"/>
        <w:spacing w:after="80" w:line="269" w:lineRule="auto"/>
      </w:pPr>
      <w:r>
        <w:rPr>
          <w:rFonts w:ascii="Calibri" w:hAnsi="Calibri"/>
          <w:color w:val="4A4038"/>
          <w:sz w:val="21"/>
        </w:rPr>
        <w:t>¿Quién opera el panel: la organizadora sola o con soporte nuestro?</w:t>
      </w:r>
    </w:p>
    <w:p>
      <w:pPr>
        <w:pStyle w:val="ListBullet"/>
        <w:spacing w:after="80" w:line="269" w:lineRule="auto"/>
      </w:pPr>
      <w:r>
        <w:rPr>
          <w:rFonts w:ascii="Calibri" w:hAnsi="Calibri"/>
          <w:color w:val="4A4038"/>
          <w:sz w:val="21"/>
        </w:rPr>
        <w:t>¿Cuánto tiempo guardamos la lista de invitados después de la boda y quién la borra?</w:t>
      </w:r>
    </w:p>
    <w:p>
      <w:pPr>
        <w:pStyle w:val="ListBullet"/>
        <w:spacing w:after="80" w:line="269" w:lineRule="auto"/>
      </w:pPr>
      <w:r>
        <w:rPr>
          <w:rFonts w:ascii="Calibri" w:hAnsi="Calibri"/>
          <w:color w:val="4A4038"/>
          <w:sz w:val="21"/>
        </w:rPr>
        <w:t>¿Cuánto le cobramos al cliente final por boda? (el costo técnico por boda es ≈1 USD)</w:t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8. Próximos pasos y tiempos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1531"/>
        <w:gridCol w:w="5613"/>
        <w:gridCol w:w="2154"/>
      </w:tblGrid>
      <w:tr>
        <w:trPr>
          <w:tblHeader w:val="true"/>
        </w:trPr>
        <w:tc>
          <w:tcPr>
            <w:tcW w:type="dxa" w:w="1531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5613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Qué</w:t>
            </w:r>
          </w:p>
        </w:tc>
        <w:tc>
          <w:tcPr>
            <w:tcW w:type="dxa" w:w="2154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Quién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Día 1 (1–2 h)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Crear la cuenta de Oracle, la VM gratuita y el dominio; publicar con HTTPS siguiendo el paso a paso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Nosotros (desde el navegador)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Día 1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Verificar que un enlace de invitado abre desde un celular con datos móviles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Nosotros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Día 2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Comprar y calentar el chip dedicado; conectar WhatsApp y hacer la prueba a un número propio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Organizadora + nosotros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Día 3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Campaña en modo de prueba con la lista real; revisar textos y enlaces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Organizadora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Día 4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Primera tanda real (20–30 invitados); revisar entregas y confirmaciones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Organizadora</w:t>
            </w:r>
          </w:p>
        </w:tc>
      </w:tr>
      <w:tr>
        <w:tc>
          <w:tcPr>
            <w:tcW w:type="dxa" w:w="153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Semana 2</w:t>
            </w:r>
          </w:p>
        </w:tc>
        <w:tc>
          <w:tcPr>
            <w:tcW w:type="dxa" w:w="5613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Campaña completa del resto de la lista</w:t>
            </w:r>
          </w:p>
        </w:tc>
        <w:tc>
          <w:tcPr>
            <w:tcW w:type="dxa" w:w="215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9"/>
              </w:rPr>
              <w:t>Organizadora</w:t>
            </w:r>
          </w:p>
        </w:tc>
      </w:tr>
    </w:tbl>
    <w:p>
      <w:pPr>
        <w:spacing w:after="0" w:before="0" w:line="240" w:lineRule="auto"/>
      </w:pPr>
      <w:r>
        <w:rPr>
          <w:sz w:val="8"/>
        </w:rPr>
      </w:r>
    </w:p>
    <w:p>
      <w:pPr>
        <w:pStyle w:val="Heading1"/>
        <w:keepNext/>
        <w:spacing w:before="300" w:after="100"/>
      </w:pPr>
      <w:r>
        <w:rPr>
          <w:rFonts w:ascii="Calibri" w:hAnsi="Calibri"/>
          <w:b/>
          <w:color w:val="3B332A"/>
          <w:sz w:val="27"/>
        </w:rPr>
        <w:t>Anexo · De dónde salen los precios y los límites</w:t>
      </w:r>
    </w:p>
    <w:p>
      <w:pPr>
        <w:spacing w:after="120" w:line="276" w:lineRule="auto"/>
        <w:jc w:val="both"/>
      </w:pPr>
      <w:r>
        <w:rPr>
          <w:rFonts w:ascii="Calibri" w:hAnsi="Calibri"/>
          <w:i w:val="0"/>
          <w:color w:val="4A4038"/>
          <w:sz w:val="21"/>
        </w:rPr>
        <w:t>Contrastado en 2026 contra las páginas oficiales de cada proveedor: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Oracle Cloud Always Free: </w:t>
      </w:r>
      <w:r>
        <w:rPr>
          <w:rFonts w:ascii="Calibri" w:hAnsi="Calibri"/>
          <w:color w:val="4A4038"/>
          <w:sz w:val="21"/>
        </w:rPr>
        <w:t xml:space="preserve"> hasta 2 OCPU / 12 GB de RAM (ARM) o dos máquinas micro AMD, 200 GB de disco, 10 TB de salida por mes, gratis mientras la cuenta exista en la región principal. Tarjeta solo para verificar identidad.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Cloudflare Pages: </w:t>
      </w:r>
      <w:r>
        <w:rPr>
          <w:rFonts w:ascii="Calibri" w:hAnsi="Calibri"/>
          <w:color w:val="4A4038"/>
          <w:sz w:val="21"/>
        </w:rPr>
        <w:t xml:space="preserve"> plan gratuito con ancho de banda estático ilimitado y uso comercial permitido. Es la pieza que usaríamos si la web va aparte del servidor.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Vercel Hobby: </w:t>
      </w:r>
      <w:r>
        <w:rPr>
          <w:rFonts w:ascii="Calibri" w:hAnsi="Calibri"/>
          <w:color w:val="4A4038"/>
          <w:sz w:val="21"/>
        </w:rPr>
        <w:t xml:space="preserve"> gratuito pero solo para uso personal no comercial; un producto como este requeriría Pro (20 USD/mes).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Render: </w:t>
      </w:r>
      <w:r>
        <w:rPr>
          <w:rFonts w:ascii="Calibri" w:hAnsi="Calibri"/>
          <w:color w:val="4A4038"/>
          <w:sz w:val="21"/>
        </w:rPr>
        <w:t xml:space="preserve"> el plan gratuito duerme el servicio a los 15 minutos de inactividad, no tiene disco persistente y su base gratuita vence a los 30 días: incompatible con la sesión de WhatsApp.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Railway: </w:t>
      </w:r>
      <w:r>
        <w:rPr>
          <w:rFonts w:ascii="Calibri" w:hAnsi="Calibri"/>
          <w:color w:val="4A4038"/>
          <w:sz w:val="21"/>
        </w:rPr>
        <w:t xml:space="preserve"> 5 USD de crédito de prueba por 30 días y luego 1 USD/mes de crédito; un servicio siempre activo ronda los 5 USD/mes.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Koyeb y Fly.io: </w:t>
      </w:r>
      <w:r>
        <w:rPr>
          <w:rFonts w:ascii="Calibri" w:hAnsi="Calibri"/>
          <w:color w:val="4A4038"/>
          <w:sz w:val="21"/>
        </w:rPr>
        <w:t xml:space="preserve"> Koyeb cerró su plan gratuito a cuentas nuevas en febrero de 2026 y Fly.io en octubre de 2024.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color w:val="3B332A"/>
          <w:sz w:val="21"/>
        </w:rPr>
        <w:t xml:space="preserve">DuckDNS: </w:t>
      </w:r>
      <w:r>
        <w:rPr>
          <w:rFonts w:ascii="Calibri" w:hAnsi="Calibri"/>
          <w:color w:val="4A4038"/>
          <w:sz w:val="21"/>
        </w:rPr>
        <w:t xml:space="preserve"> subdominio gratuito.</w:t>
      </w:r>
    </w:p>
    <w:p>
      <w:pPr>
        <w:spacing w:after="120" w:line="276" w:lineRule="auto"/>
        <w:jc w:val="both"/>
      </w:pPr>
      <w:r>
        <w:rPr>
          <w:rFonts w:ascii="Calibri" w:hAnsi="Calibri"/>
          <w:i/>
          <w:color w:val="8A7A63"/>
          <w:sz w:val="19"/>
        </w:rPr>
        <w:t>El detalle técnico completo, con los descartes y el paso a paso de publicación, está en el repositorio del proyecto (docs/10-url-publica.md y docs/11-despliegue-desde-el-navegador.md).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7A63"/>
        <w:sz w:val="16"/>
      </w:rPr>
      <w:t xml:space="preserve">Boda Studio · Propuesta de infraestructura y costos · página </w:t>
    </w:r>
    <w:r>
      <w:rPr>
        <w:rFonts w:ascii="Calibri" w:hAnsi="Calibri"/>
        <w:color w:val="8A7A6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8A7A63"/>
        <w:sz w:val="16"/>
      </w:rPr>
      <w:t xml:space="preserve"> de </w:t>
    </w:r>
    <w:r>
      <w:rPr>
        <w:rFonts w:ascii="Calibri" w:hAnsi="Calibri"/>
        <w:color w:val="8A7A63"/>
        <w:sz w:val="16"/>
      </w:rPr>
      <w:fldChar w:fldCharType="begin"/>
      <w:instrText xml:space="preserve">NUMPAGES</w:instrText>
      <w:fldChar w:fldCharType="separate"/>
      <w:t>4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4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