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Actividad 4. Preparación y presentación del informe de certificación</w:t>
      </w:r>
    </w:p>
    <w:p>
      <w:r>
        <w:rPr>
          <w:b w:val="0"/>
        </w:rPr>
      </w:r>
      <w:r>
        <w:rPr>
          <w:b/>
        </w:rPr>
        <w:t>ISY1102 · EA2 · IL2.4 · Cuidarte+ · Antonella Cuvertino y Miriam Hammami.</w:t>
      </w:r>
      <w:r>
        <w:rPr>
          <w:b w:val="0"/>
        </w:rPr>
        <w:t xml:space="preserve"> Documento de preparación individual para estudiar y defender los resultados del trabajo compartido. Cada estudiante debe sostener el dictamen con sus propias palabras.</w:t>
      </w:r>
    </w:p>
    <w:p>
      <w:pPr>
        <w:pStyle w:val="Heading1"/>
      </w:pPr>
      <w:r>
        <w:t>1. Resumen ejecutivo</w:t>
      </w:r>
    </w:p>
    <w:p>
      <w:r>
        <w:rPr>
          <w:b w:val="0"/>
        </w:rPr>
      </w:r>
      <w:r>
        <w:rPr>
          <w:b/>
        </w:rPr>
        <w:t>Dictamen: NO CERTIFICADO.</w:t>
      </w:r>
      <w:r>
        <w:rPr>
          <w:b w:val="0"/>
        </w:rPr>
        <w:t xml:space="preserve"> Alcance: API de autenticación, usuarios/roles, exámenes, PDF y auditoría; carga breve y análisis estático según evidencias. Dos defectos críticos permiten escalamiento de médico a administrador y eliminación anónima. No se recomienda producción con datos de salud.</w:t>
      </w:r>
    </w:p>
    <w:p>
      <w:pPr>
        <w:pStyle w:val="Heading1"/>
      </w:pPr>
      <w:r>
        <w:t>2. Métricas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EEF4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  <w:shd w:fill="E5EEF4"/>
          </w:tcPr>
          <w:p>
            <w:r>
              <w:rPr>
                <w:b/>
              </w:rPr>
              <w:t>Valor real</w:t>
            </w:r>
          </w:p>
        </w:tc>
      </w:tr>
      <w:tr>
        <w:tc>
          <w:tcPr>
            <w:tcW w:type="dxa" w:w="4320"/>
          </w:tcPr>
          <w:p>
            <w:r>
              <w:t>Casos maestros diseñados</w:t>
            </w:r>
          </w:p>
        </w:tc>
        <w:tc>
          <w:tcPr>
            <w:tcW w:type="dxa" w:w="4320"/>
          </w:tcPr>
          <w:p>
            <w:r>
              <w:t>8; no todos ejecutados integralmente</w:t>
            </w:r>
          </w:p>
        </w:tc>
      </w:tr>
      <w:tr>
        <w:tc>
          <w:tcPr>
            <w:tcW w:type="dxa" w:w="4320"/>
          </w:tcPr>
          <w:p>
            <w:r>
              <w:t>Checkpoints API diseñados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Checkpoints API ejecutados</w:t>
            </w:r>
          </w:p>
        </w:tc>
        <w:tc>
          <w:tcPr>
            <w:tcW w:type="dxa" w:w="4320"/>
          </w:tcPr>
          <w:p>
            <w:r>
              <w:t>12 (100% de esa suite)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6 (50% de ejecutados)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BLOCKED en suite API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Casos maestros SQLi / WCAG</w:t>
            </w:r>
          </w:p>
        </w:tc>
        <w:tc>
          <w:tcPr>
            <w:tcW w:type="dxa" w:w="4320"/>
          </w:tcPr>
          <w:p>
            <w:r>
              <w:t>Pendientes; no incluidos como PASS</w:t>
            </w:r>
          </w:p>
        </w:tc>
      </w:tr>
      <w:tr>
        <w:tc>
          <w:tcPr>
            <w:tcW w:type="dxa" w:w="4320"/>
          </w:tcPr>
          <w:p>
            <w:r>
              <w:t>Carga breve separada</w:t>
            </w:r>
          </w:p>
        </w:tc>
        <w:tc>
          <w:tcPr>
            <w:tcW w:type="dxa" w:w="4320"/>
          </w:tcPr>
          <w:p>
            <w:r>
              <w:t>1 ejecutada, FAIL; p95 8698 ms</w:t>
            </w:r>
          </w:p>
        </w:tc>
      </w:tr>
    </w:tbl>
    <w:p/>
    <w:p>
      <w:r>
        <w:rPr>
          <w:b w:val="0"/>
        </w:rPr>
        <w:t>Los números 50, 48 y 42 de la guía son ejemplos y no datos del proyecto. El lote de carga, el análisis estático y la UI histórica no se suman al denominador de doce checkpoints.</w:t>
      </w:r>
    </w:p>
    <w:p>
      <w:pPr>
        <w:pStyle w:val="Heading1"/>
      </w:pPr>
      <w:r>
        <w:t>3. Gestión de defectos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5EEF4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E5EEF4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  <w:shd w:fill="E5EEF4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  <w:shd w:fill="E5EEF4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DEF-001</w:t>
            </w:r>
          </w:p>
        </w:tc>
        <w:tc>
          <w:tcPr>
            <w:tcW w:type="dxa" w:w="2160"/>
          </w:tcPr>
          <w:p>
            <w:r>
              <w:t>GRAVE / Alta</w:t>
            </w:r>
          </w:p>
        </w:tc>
        <w:tc>
          <w:tcPr>
            <w:tcW w:type="dxa" w:w="2160"/>
          </w:tcPr>
          <w:p>
            <w:r>
              <w:t>Auditoría sin origen IP</w:t>
            </w:r>
          </w:p>
        </w:tc>
        <w:tc>
          <w:tcPr>
            <w:tcW w:type="dxa" w:w="2160"/>
          </w:tcPr>
          <w:p>
            <w:r>
              <w:t>Abierto; sin retest de cierre</w:t>
            </w:r>
          </w:p>
        </w:tc>
      </w:tr>
      <w:tr>
        <w:tc>
          <w:tcPr>
            <w:tcW w:type="dxa" w:w="2160"/>
          </w:tcPr>
          <w:p>
            <w:r>
              <w:t>DEF-002</w:t>
            </w:r>
          </w:p>
        </w:tc>
        <w:tc>
          <w:tcPr>
            <w:tcW w:type="dxa" w:w="2160"/>
          </w:tcPr>
          <w:p>
            <w:r>
              <w:t>GRAVE / Alta</w:t>
            </w:r>
          </w:p>
        </w:tc>
        <w:tc>
          <w:tcPr>
            <w:tcW w:type="dxa" w:w="2160"/>
          </w:tcPr>
          <w:p>
            <w:r>
              <w:t>Contraseñas en texto claro</w:t>
            </w:r>
          </w:p>
        </w:tc>
        <w:tc>
          <w:tcPr>
            <w:tcW w:type="dxa" w:w="2160"/>
          </w:tcPr>
          <w:p>
            <w:r>
              <w:t>Abierto; sin retest de cierre</w:t>
            </w:r>
          </w:p>
        </w:tc>
      </w:tr>
      <w:tr>
        <w:tc>
          <w:tcPr>
            <w:tcW w:type="dxa" w:w="2160"/>
          </w:tcPr>
          <w:p>
            <w:r>
              <w:t>DEF-003</w:t>
            </w:r>
          </w:p>
        </w:tc>
        <w:tc>
          <w:tcPr>
            <w:tcW w:type="dxa" w:w="2160"/>
          </w:tcPr>
          <w:p>
            <w:r>
              <w:t>GRAVE / Alta</w:t>
            </w:r>
          </w:p>
        </w:tc>
        <w:tc>
          <w:tcPr>
            <w:tcW w:type="dxa" w:w="2160"/>
          </w:tcPr>
          <w:p>
            <w:r>
              <w:t>Eliminación física de exámenes</w:t>
            </w:r>
          </w:p>
        </w:tc>
        <w:tc>
          <w:tcPr>
            <w:tcW w:type="dxa" w:w="2160"/>
          </w:tcPr>
          <w:p>
            <w:r>
              <w:t>Abierto; sin retest de cierre</w:t>
            </w:r>
          </w:p>
        </w:tc>
      </w:tr>
      <w:tr>
        <w:tc>
          <w:tcPr>
            <w:tcW w:type="dxa" w:w="2160"/>
          </w:tcPr>
          <w:p>
            <w:r>
              <w:t>DEF-004</w:t>
            </w:r>
          </w:p>
        </w:tc>
        <w:tc>
          <w:tcPr>
            <w:tcW w:type="dxa" w:w="2160"/>
          </w:tcPr>
          <w:p>
            <w:r>
              <w:t>GRAVE / Alta</w:t>
            </w:r>
          </w:p>
        </w:tc>
        <w:tc>
          <w:tcPr>
            <w:tcW w:type="dxa" w:w="2160"/>
          </w:tcPr>
          <w:p>
            <w:r>
              <w:t>Latencia fuera de criterio</w:t>
            </w:r>
          </w:p>
        </w:tc>
        <w:tc>
          <w:tcPr>
            <w:tcW w:type="dxa" w:w="2160"/>
          </w:tcPr>
          <w:p>
            <w:r>
              <w:t>Abierto; sin retest de cierre</w:t>
            </w:r>
          </w:p>
        </w:tc>
      </w:tr>
      <w:tr>
        <w:tc>
          <w:tcPr>
            <w:tcW w:type="dxa" w:w="2160"/>
          </w:tcPr>
          <w:p>
            <w:r>
              <w:t>DEF-005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  <w:tc>
          <w:tcPr>
            <w:tcW w:type="dxa" w:w="2160"/>
          </w:tcPr>
          <w:p>
            <w:r>
              <w:t>Escalamiento de médico a administrador</w:t>
            </w:r>
          </w:p>
        </w:tc>
        <w:tc>
          <w:tcPr>
            <w:tcW w:type="dxa" w:w="2160"/>
          </w:tcPr>
          <w:p>
            <w:r>
              <w:t>Abierto; sin retest de cierre</w:t>
            </w:r>
          </w:p>
        </w:tc>
      </w:tr>
      <w:tr>
        <w:tc>
          <w:tcPr>
            <w:tcW w:type="dxa" w:w="2160"/>
          </w:tcPr>
          <w:p>
            <w:r>
              <w:t>DEF-006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  <w:tc>
          <w:tcPr>
            <w:tcW w:type="dxa" w:w="2160"/>
          </w:tcPr>
          <w:p>
            <w:r>
              <w:t>Eliminación de usuario sin autenticar</w:t>
            </w:r>
          </w:p>
        </w:tc>
        <w:tc>
          <w:tcPr>
            <w:tcW w:type="dxa" w:w="2160"/>
          </w:tcPr>
          <w:p>
            <w:r>
              <w:t>Abierto; sin retest de cierre</w:t>
            </w:r>
          </w:p>
        </w:tc>
      </w:tr>
    </w:tbl>
    <w:p/>
    <w:p>
      <w:pPr>
        <w:pStyle w:val="Heading1"/>
      </w:pPr>
      <w:r>
        <w:t>4. Matriz de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5EEF4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  <w:shd w:fill="E5EEF4"/>
          </w:tcPr>
          <w:p>
            <w:r>
              <w:rPr>
                <w:b/>
              </w:rPr>
              <w:t>Caso</w:t>
            </w:r>
          </w:p>
        </w:tc>
        <w:tc>
          <w:tcPr>
            <w:tcW w:type="dxa" w:w="2880"/>
            <w:shd w:fill="E5EEF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RF-1.1</w:t>
            </w:r>
          </w:p>
        </w:tc>
        <w:tc>
          <w:tcPr>
            <w:tcW w:type="dxa" w:w="2880"/>
          </w:tcPr>
          <w:p>
            <w:r>
              <w:t>CP-API-001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RF-1.1</w:t>
            </w:r>
          </w:p>
        </w:tc>
        <w:tc>
          <w:tcPr>
            <w:tcW w:type="dxa" w:w="2880"/>
          </w:tcPr>
          <w:p>
            <w:r>
              <w:t>CP-API-002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RF-3.1</w:t>
            </w:r>
          </w:p>
        </w:tc>
        <w:tc>
          <w:tcPr>
            <w:tcW w:type="dxa" w:w="2880"/>
          </w:tcPr>
          <w:p>
            <w:r>
              <w:t>CP-API-003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NFR-SEG-4</w:t>
            </w:r>
          </w:p>
        </w:tc>
        <w:tc>
          <w:tcPr>
            <w:tcW w:type="dxa" w:w="2880"/>
          </w:tcPr>
          <w:p>
            <w:r>
              <w:t>CP-API-004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NFR-SEG-9</w:t>
            </w:r>
          </w:p>
        </w:tc>
        <w:tc>
          <w:tcPr>
            <w:tcW w:type="dxa" w:w="2880"/>
          </w:tcPr>
          <w:p>
            <w:r>
              <w:t>CP-API-005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RF-3.1; RF-4.3/4.4</w:t>
            </w:r>
          </w:p>
        </w:tc>
        <w:tc>
          <w:tcPr>
            <w:tcW w:type="dxa" w:w="2880"/>
          </w:tcPr>
          <w:p>
            <w:r>
              <w:t>CP-API-006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RF-3.3</w:t>
            </w:r>
          </w:p>
        </w:tc>
        <w:tc>
          <w:tcPr>
            <w:tcW w:type="dxa" w:w="2880"/>
          </w:tcPr>
          <w:p>
            <w:r>
              <w:t>CP-API-007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NFR-SEG-2</w:t>
            </w:r>
          </w:p>
        </w:tc>
        <w:tc>
          <w:tcPr>
            <w:tcW w:type="dxa" w:w="2880"/>
          </w:tcPr>
          <w:p>
            <w:r>
              <w:t>CP-API-008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RF-5.1</w:t>
            </w:r>
          </w:p>
        </w:tc>
        <w:tc>
          <w:tcPr>
            <w:tcW w:type="dxa" w:w="2880"/>
          </w:tcPr>
          <w:p>
            <w:r>
              <w:t>CP-API-009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NFR-SEG-4</w:t>
            </w:r>
          </w:p>
        </w:tc>
        <w:tc>
          <w:tcPr>
            <w:tcW w:type="dxa" w:w="2880"/>
          </w:tcPr>
          <w:p>
            <w:r>
              <w:t>CP-API-010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NFR-PERF-1</w:t>
            </w:r>
          </w:p>
        </w:tc>
        <w:tc>
          <w:tcPr>
            <w:tcW w:type="dxa" w:w="2880"/>
          </w:tcPr>
          <w:p>
            <w:r>
              <w:t>CP-API-011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NFR-SEG-4</w:t>
            </w:r>
          </w:p>
        </w:tc>
        <w:tc>
          <w:tcPr>
            <w:tcW w:type="dxa" w:w="2880"/>
          </w:tcPr>
          <w:p>
            <w:r>
              <w:t>CP-API-012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</w:tbl>
    <w:p/>
    <w:p>
      <w:pPr>
        <w:pStyle w:val="Heading1"/>
      </w:pPr>
      <w:r>
        <w:t>5. Evaluación de riesgos</w:t>
      </w:r>
    </w:p>
    <w:p>
      <w:r>
        <w:rPr>
          <w:b w:val="0"/>
        </w:rPr>
        <w:t>Riesgos mitigados por corrección en esta sesión: ninguno, porque la actividad evalúa sin modificar código. Controles observados: rechazo de credenciales/JWT inválidos e IDOR en las rutas probadas. Riesgos residuales: seis defectos abiertos, autorización en otras rutas, auditoría sin protección integral demostrada, ausencia de cobertura instrumentada, DAST y validación WCAG. Riesgos aceptados formalmente: ninguno; no existe aprobación documentada para aceptar críticos.</w:t>
      </w:r>
    </w:p>
    <w:p>
      <w:pPr>
        <w:pStyle w:val="Heading1"/>
      </w:pPr>
      <w:r>
        <w:t>6. Conclusión y recomendación final</w:t>
      </w:r>
    </w:p>
    <w:p>
      <w:r>
        <w:rPr>
          <w:b w:val="0"/>
        </w:rPr>
        <w:t>El criterio exige cero críticos/graves abiertos y ejecución completa del alcance de alto riesgo. Se detectaron dos críticos y cuatro graves; el criterio no se cumple. Primero corregir autorización de usuarios y roles, luego contraseñas, conservación, auditoría y latencia. Después retest y regresión con evidencia por versión; ampliar a ERS, DAST, WCAG y carga sostenida antes de reevaluar certificación. La recomendación protege confidencialidad y continuidad de datos de salud y no atribuye multas automáticas por cada defecto.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