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footer2.xml" ContentType="application/vnd.openxmlformats-officedocument.wordprocessingml.footer+xml"/>
  <Override PartName="/word/header.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B33A658" w:rsidP="059DEE2C" w:rsidRDefault="1B33A658" w14:paraId="136E0A85" w14:textId="7EF496FC" w14:noSpellErr="1">
      <w:pPr>
        <w:pStyle w:val="Normal"/>
        <w:jc w:val="center"/>
        <w:rPr>
          <w:rFonts w:ascii="Arial" w:hAnsi="Arial" w:eastAsia="Arial" w:cs="Arial"/>
        </w:rPr>
      </w:pPr>
      <w:r w:rsidR="47643BAE">
        <w:drawing>
          <wp:inline wp14:editId="71EEB565" wp14:anchorId="775AFC97">
            <wp:extent cx="2781300" cy="653438"/>
            <wp:effectExtent l="0" t="0" r="0" b="0"/>
            <wp:docPr id="28643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43492" name=""/>
                    <pic:cNvPicPr/>
                  </pic:nvPicPr>
                  <pic:blipFill>
                    <a:blip xmlns:r="http://schemas.openxmlformats.org/officeDocument/2006/relationships" r:embed="rId2084191834">
                      <a:extLst>
                        <a:ext uri="{28A0092B-C50C-407E-A947-70E740481C1C}">
                          <a14:useLocalDpi xmlns:a14="http://schemas.microsoft.com/office/drawing/2010/main"/>
                        </a:ext>
                      </a:extLst>
                    </a:blip>
                    <a:stretch>
                      <a:fillRect/>
                    </a:stretch>
                  </pic:blipFill>
                  <pic:spPr>
                    <a:xfrm rot="0">
                      <a:off x="0" y="0"/>
                      <a:ext cx="2781300" cy="653438"/>
                    </a:xfrm>
                    <a:prstGeom prst="rect">
                      <a:avLst/>
                    </a:prstGeom>
                  </pic:spPr>
                </pic:pic>
              </a:graphicData>
            </a:graphic>
          </wp:inline>
        </w:drawing>
      </w:r>
    </w:p>
    <w:p w:rsidR="3A10E568" w:rsidP="059DEE2C" w:rsidRDefault="3A10E568" w14:paraId="691C3621" w14:textId="129E50C0" w14:noSpellErr="1">
      <w:pPr>
        <w:pStyle w:val="Normal"/>
        <w:rPr>
          <w:rFonts w:ascii="Arial" w:hAnsi="Arial" w:eastAsia="Arial" w:cs="Arial"/>
        </w:rPr>
      </w:pPr>
    </w:p>
    <w:p w:rsidR="059DEE2C" w:rsidP="059DEE2C" w:rsidRDefault="059DEE2C" w14:paraId="3B000ABB" w14:textId="4101199D">
      <w:pPr>
        <w:pStyle w:val="Normal"/>
        <w:rPr>
          <w:rFonts w:ascii="Arial" w:hAnsi="Arial" w:eastAsia="Arial" w:cs="Arial"/>
        </w:rPr>
      </w:pPr>
    </w:p>
    <w:p w:rsidR="059DEE2C" w:rsidP="059DEE2C" w:rsidRDefault="059DEE2C" w14:paraId="408D89D8" w14:textId="24B5D9E1">
      <w:pPr>
        <w:pStyle w:val="Normal"/>
        <w:rPr>
          <w:rFonts w:ascii="Arial" w:hAnsi="Arial" w:eastAsia="Arial" w:cs="Arial"/>
        </w:rPr>
      </w:pPr>
    </w:p>
    <w:p w:rsidR="059DEE2C" w:rsidP="059DEE2C" w:rsidRDefault="059DEE2C" w14:paraId="140DDF6B" w14:textId="1F6ADA3B">
      <w:pPr>
        <w:pStyle w:val="Normal"/>
        <w:rPr>
          <w:rFonts w:ascii="Arial" w:hAnsi="Arial" w:eastAsia="Arial" w:cs="Arial"/>
        </w:rPr>
      </w:pPr>
    </w:p>
    <w:p w:rsidR="059DEE2C" w:rsidP="059DEE2C" w:rsidRDefault="059DEE2C" w14:paraId="44CF4A0E" w14:textId="440E6964">
      <w:pPr>
        <w:pStyle w:val="Normal"/>
        <w:rPr>
          <w:rFonts w:ascii="Arial" w:hAnsi="Arial" w:eastAsia="Arial" w:cs="Arial"/>
        </w:rPr>
      </w:pPr>
    </w:p>
    <w:p w:rsidR="059DEE2C" w:rsidP="059DEE2C" w:rsidRDefault="059DEE2C" w14:paraId="35B37086" w14:textId="16B8672B">
      <w:pPr>
        <w:pStyle w:val="Normal"/>
        <w:rPr>
          <w:rFonts w:ascii="Arial" w:hAnsi="Arial" w:eastAsia="Arial" w:cs="Arial"/>
        </w:rPr>
      </w:pPr>
    </w:p>
    <w:p w:rsidR="5C209F0C" w:rsidP="0F460423" w:rsidRDefault="5C209F0C" w14:paraId="225E3D1D" w14:textId="349297C8">
      <w:pPr>
        <w:pStyle w:val="Normal"/>
        <w:suppressLineNumbers w:val="0"/>
        <w:bidi w:val="0"/>
        <w:spacing w:before="0" w:beforeAutospacing="off" w:after="160" w:afterAutospacing="off" w:line="279" w:lineRule="auto"/>
        <w:ind w:left="0" w:right="0"/>
        <w:jc w:val="center"/>
        <w:rPr>
          <w:rFonts w:ascii="Arial" w:hAnsi="Arial" w:eastAsia="Arial" w:cs="Arial"/>
          <w:b w:val="1"/>
          <w:bCs w:val="1"/>
          <w:sz w:val="56"/>
          <w:szCs w:val="56"/>
        </w:rPr>
      </w:pPr>
      <w:r>
        <w:t>CUIDARTE+</w:t>
        <w:br/>
        <w:t>Informe de seguridad y calidad en el desarrollo de software</w:t>
        <w:br/>
        <w:t>EP3 · Encargo, iteración 2</w:t>
      </w:r>
    </w:p>
    <w:p w:rsidR="059DEE2C" w:rsidP="2B1B0421" w:rsidRDefault="059DEE2C" w14:paraId="3B490548" w14:textId="447E0CEB">
      <w:pPr>
        <w:pStyle w:val="Normal"/>
        <w:jc w:val="center"/>
        <w:rPr>
          <w:rFonts w:ascii="Arial" w:hAnsi="Arial" w:eastAsia="Arial" w:cs="Arial"/>
          <w:sz w:val="96"/>
          <w:szCs w:val="96"/>
        </w:rPr>
      </w:pPr>
    </w:p>
    <w:p w:rsidR="30F1EBF4" w:rsidP="30F1EBF4" w:rsidRDefault="30F1EBF4" w14:paraId="1C61679F" w14:textId="6EB0D555">
      <w:pPr>
        <w:pStyle w:val="Normal"/>
        <w:jc w:val="left"/>
        <w:rPr>
          <w:rFonts w:ascii="Arial" w:hAnsi="Arial" w:eastAsia="Arial" w:cs="Arial"/>
          <w:sz w:val="28"/>
          <w:szCs w:val="28"/>
        </w:rPr>
      </w:pPr>
    </w:p>
    <w:p w:rsidR="30F1EBF4" w:rsidP="30F1EBF4" w:rsidRDefault="30F1EBF4" w14:paraId="2A95F370" w14:textId="75EDE3D1">
      <w:pPr>
        <w:pStyle w:val="Normal"/>
        <w:jc w:val="left"/>
        <w:rPr>
          <w:rFonts w:ascii="Arial" w:hAnsi="Arial" w:eastAsia="Arial" w:cs="Arial"/>
          <w:sz w:val="24"/>
          <w:szCs w:val="24"/>
        </w:rPr>
      </w:pPr>
    </w:p>
    <w:p w:rsidR="30F1EBF4" w:rsidP="30F1EBF4" w:rsidRDefault="30F1EBF4" w14:paraId="3ACC4823" w14:textId="75FE2716">
      <w:pPr>
        <w:pStyle w:val="Normal"/>
        <w:jc w:val="left"/>
        <w:rPr>
          <w:rFonts w:ascii="Arial" w:hAnsi="Arial" w:eastAsia="Arial" w:cs="Arial"/>
          <w:sz w:val="24"/>
          <w:szCs w:val="24"/>
        </w:rPr>
      </w:pPr>
    </w:p>
    <w:p w:rsidR="30F1EBF4" w:rsidP="30F1EBF4" w:rsidRDefault="30F1EBF4" w14:paraId="39EFC32D" w14:textId="4E9479B5">
      <w:pPr>
        <w:pStyle w:val="Normal"/>
        <w:jc w:val="left"/>
        <w:rPr>
          <w:rFonts w:ascii="Arial" w:hAnsi="Arial" w:eastAsia="Arial" w:cs="Arial"/>
          <w:sz w:val="24"/>
          <w:szCs w:val="24"/>
        </w:rPr>
      </w:pPr>
    </w:p>
    <w:p w:rsidR="69E48B5F" w:rsidP="031E0756" w:rsidRDefault="69E48B5F" w14:paraId="1EEB15C1" w14:textId="6CAE7757">
      <w:pPr>
        <w:pStyle w:val="Normal"/>
        <w:jc w:val="left"/>
        <w:rPr>
          <w:rFonts w:ascii="Arial" w:hAnsi="Arial" w:eastAsia="Arial" w:cs="Arial"/>
          <w:sz w:val="22"/>
          <w:szCs w:val="22"/>
        </w:rPr>
      </w:pPr>
      <w:r>
        <w:t>ISY1102 - Seguridad y calidad en el desarrollo de software</w:t>
        <w:br/>
        <w:t>Sección 002v</w:t>
      </w:r>
    </w:p>
    <w:p w:rsidR="30F1EBF4" w:rsidP="031E0756" w:rsidRDefault="30F1EBF4" w14:paraId="1D901A0C" w14:textId="771CE75A">
      <w:pPr>
        <w:pStyle w:val="Normal"/>
        <w:jc w:val="left"/>
        <w:rPr>
          <w:rFonts w:ascii="Arial" w:hAnsi="Arial" w:eastAsia="Arial" w:cs="Arial"/>
          <w:sz w:val="22"/>
          <w:szCs w:val="22"/>
        </w:rPr>
      </w:pPr>
    </w:p>
    <w:p w:rsidR="30F1EBF4" w:rsidP="031E0756" w:rsidRDefault="30F1EBF4" w14:paraId="4794A792" w14:textId="7D1E299E">
      <w:pPr>
        <w:pStyle w:val="Normal"/>
        <w:jc w:val="left"/>
        <w:rPr>
          <w:rFonts w:ascii="Arial" w:hAnsi="Arial" w:eastAsia="Arial" w:cs="Arial"/>
          <w:sz w:val="22"/>
          <w:szCs w:val="22"/>
        </w:rPr>
      </w:pPr>
      <w:r>
        <w:t>Integrantes</w:t>
        <w:br/>
        <w:t>Antonella Cuvertino</w:t>
        <w:br/>
        <w:t>Miriam Hammami</w:t>
        <w:br/>
        <w:t>20 de octubre de 2026</w:t>
      </w:r>
    </w:p>
    <w:p w:rsidR="1A5EE765" w:rsidP="1A5EE765" w:rsidRDefault="1A5EE765" w14:paraId="50C4DB2D" w14:textId="641C4926">
      <w:pPr>
        <w:pStyle w:val="Normal"/>
        <w:jc w:val="left"/>
        <w:rPr>
          <w:rFonts w:ascii="Arial" w:hAnsi="Arial" w:eastAsia="Arial" w:cs="Arial"/>
          <w:sz w:val="22"/>
          <w:szCs w:val="22"/>
        </w:rPr>
      </w:pPr>
    </w:p>
    <w:p w:rsidR="1A5EE765" w:rsidP="1A5EE765" w:rsidRDefault="1A5EE765" w14:paraId="01C1484D" w14:textId="652ECAE9">
      <w:pPr>
        <w:pStyle w:val="Normal"/>
        <w:jc w:val="left"/>
        <w:rPr>
          <w:rFonts w:ascii="Arial" w:hAnsi="Arial" w:eastAsia="Arial" w:cs="Arial"/>
          <w:sz w:val="22"/>
          <w:szCs w:val="22"/>
        </w:rPr>
      </w:pPr>
    </w:p>
    <w:p w:rsidR="1A5EE765" w:rsidP="1A5EE765" w:rsidRDefault="1A5EE765" w14:paraId="0AB023A9" w14:textId="5263209A">
      <w:pPr>
        <w:pStyle w:val="Normal"/>
        <w:jc w:val="left"/>
        <w:rPr>
          <w:rFonts w:ascii="Arial" w:hAnsi="Arial" w:eastAsia="Arial" w:cs="Arial"/>
          <w:sz w:val="22"/>
          <w:szCs w:val="22"/>
        </w:rPr>
      </w:pPr>
    </w:p>
    <w:p w:rsidR="1A5EE765" w:rsidP="1A5EE765" w:rsidRDefault="1A5EE765" w14:paraId="2EACA2F8" w14:textId="21D4601B">
      <w:pPr>
        <w:pStyle w:val="Normal"/>
        <w:jc w:val="left"/>
        <w:rPr>
          <w:rFonts w:ascii="Arial" w:hAnsi="Arial" w:eastAsia="Arial" w:cs="Arial"/>
          <w:sz w:val="22"/>
          <w:szCs w:val="22"/>
        </w:rPr>
      </w:pPr>
    </w:p>
    <w:p>
      <w:r>
        <w:br w:type="page"/>
      </w:r>
    </w:p>
    <w:p>
      <w:pPr>
        <w:pStyle w:val="Title"/>
      </w:pPr>
      <w:r>
        <w:t>ÍNDICE</w:t>
      </w:r>
    </w:p>
    <w:p>
      <w:r>
        <w:t>1. Introducción</w:t>
      </w:r>
    </w:p>
    <w:p>
      <w:r>
        <w:t>2. Criterios de calidad</w:t>
      </w:r>
    </w:p>
    <w:p>
      <w:r>
        <w:t>3. Plan de pruebas</w:t>
      </w:r>
    </w:p>
    <w:p>
      <w:r>
        <w:t>3.1 Estrategia de pruebas</w:t>
      </w:r>
    </w:p>
    <w:p>
      <w:r>
        <w:t>3.2 Tipos de prueba</w:t>
      </w:r>
    </w:p>
    <w:p>
      <w:r>
        <w:t>3.3 Criterios de aceptación</w:t>
      </w:r>
    </w:p>
    <w:p>
      <w:r>
        <w:t>3.4 Herramientas utilizadas</w:t>
      </w:r>
    </w:p>
    <w:p>
      <w:r>
        <w:t>4. Diseño de casos de prueba</w:t>
      </w:r>
    </w:p>
    <w:p>
      <w:r>
        <w:t>5. Ejecución de pruebas</w:t>
      </w:r>
    </w:p>
    <w:p>
      <w:r>
        <w:t>5.1 Resumen de ejecución</w:t>
      </w:r>
    </w:p>
    <w:p>
      <w:r>
        <w:t>5.2 Detalle de ejecución de casos</w:t>
      </w:r>
    </w:p>
    <w:p>
      <w:r>
        <w:t>5.3 Criticidad de incidentes</w:t>
      </w:r>
    </w:p>
    <w:p>
      <w:r>
        <w:t>Anexos A–C: normativa, certificación y fuentes</w:t>
      </w:r>
    </w:p>
    <w:p>
      <w:r>
        <w:br w:type="page"/>
      </w:r>
    </w:p>
    <w:p>
      <w:pPr>
        <w:pStyle w:val="Heading1"/>
      </w:pPr>
      <w:r>
        <w:t>1. Introducción</w:t>
      </w:r>
    </w:p>
    <w:p>
      <w:r>
        <w:rPr>
          <w:b w:val="0"/>
        </w:rPr>
        <w:t>Este informe sigue los apartados 1–5 y las subsecciones 3.1–3.4 y 5.1–5.3 de la plantilla oficial proporcionada. El proyecto administra datos clínicos, de modo que se verifican comportamiento funcional, permisos, persistencia y trazabilidad. Los anexos incorporan certificación, análisis estático y relación normativa. Se conservan los documentos previos como antecedentes y se agregan resultados reales de esta sesión, sin reemplazar evidencia ausente por ejemplos de las guías.</w:t>
      </w:r>
    </w:p>
    <w:p>
      <w:r>
        <w:rPr>
          <w:b w:val="0"/>
        </w:rPr>
        <w:t>Fuentes internas: D1 corresponde al informe EP1 del 8 de septiembre de 2026, conservado en 05_Antecedentes; D2 es la estrategia de pruebas de experiencia 2; D3 es la actividad 01-10 de ejecución UI, ambos originales en 03_Actividades_en_clases. La plantilla EP3, la pauta EP4 y las dos guías nuevas se conservan en 04_Guias_y_plantillas.</w:t>
      </w:r>
    </w:p>
    <w:p>
      <w:pPr>
        <w:pStyle w:val="Heading2"/>
      </w:pPr>
      <w:r>
        <w:t>1.1 Contexto</w:t>
      </w:r>
    </w:p>
    <w:p>
      <w:r>
        <w:rPr>
          <w:b w:val="0"/>
        </w:rPr>
        <w:t>Cuidarte+ gestiona usuarios, pacientes, exámenes y documentos clínicos mediante una SPA React, API Express y PostgreSQL. docker-compose.yml declara tres servicios: cuidarteplus-postgres-ev, cuidarteplus-backend-ev y cuidarteplus-frontend-ev. Los puertos de referencia son 15442, 4444 y 3333, respectivamente, sujetos a configuración. El acceso a datos de salud exige priorizar confidencialidad, integridad, disponibilidad y trazabilidad.</w:t>
      </w:r>
    </w:p>
    <w:p>
      <w:r>
        <w:rPr>
          <w:b w:val="0"/>
        </w:rPr>
        <w:t>Los roles autenticados son administrador, médico y paciente. El visitante anónimo representa un contexto adicional de acceso al registro y login, como indica D1, página 3. Según D1, página 5, el paciente debe disponer de lectura de su información, el administrador de administración completa y el médico de acceso clínico. La matriz de permisos final debe precisar cada operación y resolver discrepancias entre interfaz, API y requisitos.</w:t>
      </w:r>
    </w:p>
    <w:p>
      <w:pPr>
        <w:pStyle w:val="Heading2"/>
      </w:pPr>
      <w:r>
        <w:t>1.2 Ajustes identificados para esta iteración</w:t>
      </w:r>
    </w:p>
    <w:p>
      <w:r>
        <w:rPr>
          <w:b w:val="0"/>
        </w:rPr>
        <w:t>No se recibió retroalimentación docente explícita. Los siguientes ajustes derivan del contraste documental y técnico, y deben presentarse como mejoras propuestas por el equipo.</w:t>
      </w:r>
    </w:p>
    <w:tbl>
      <w:tblPr>
        <w:tblStyle w:val="TableGrid"/>
        <w:tblW w:type="auto" w:w="0"/>
        <w:tblLook w:firstColumn="1" w:firstRow="1" w:lastColumn="0" w:lastRow="0" w:noHBand="0" w:noVBand="1" w:val="04A0"/>
      </w:tblPr>
      <w:tblGrid>
        <w:gridCol w:w="3249"/>
        <w:gridCol w:w="3249"/>
        <w:gridCol w:w="3249"/>
      </w:tblGrid>
      <w:tr>
        <w:tc>
          <w:tcPr>
            <w:tcW w:type="dxa" w:w="3249"/>
            <w:shd w:fill="E5EEF4"/>
          </w:tcPr>
          <w:p>
            <w:r>
              <w:rPr>
                <w:b/>
              </w:rPr>
              <w:t>Aspecto</w:t>
            </w:r>
          </w:p>
        </w:tc>
        <w:tc>
          <w:tcPr>
            <w:tcW w:type="dxa" w:w="3249"/>
            <w:shd w:fill="E5EEF4"/>
          </w:tcPr>
          <w:p>
            <w:r>
              <w:rPr>
                <w:b/>
              </w:rPr>
              <w:t>Antecedente</w:t>
            </w:r>
          </w:p>
        </w:tc>
        <w:tc>
          <w:tcPr>
            <w:tcW w:type="dxa" w:w="3249"/>
            <w:shd w:fill="E5EEF4"/>
          </w:tcPr>
          <w:p>
            <w:r>
              <w:rPr>
                <w:b/>
              </w:rPr>
              <w:t>Ajuste de la iteración 2</w:t>
            </w:r>
          </w:p>
        </w:tc>
      </w:tr>
      <w:tr>
        <w:tc>
          <w:tcPr>
            <w:tcW w:type="dxa" w:w="3249"/>
          </w:tcPr>
          <w:p>
            <w:r>
              <w:t>Auditoría</w:t>
            </w:r>
          </w:p>
        </w:tc>
        <w:tc>
          <w:tcPr>
            <w:tcW w:type="dxa" w:w="3249"/>
          </w:tcPr>
          <w:p>
            <w:r>
              <w:t>El encargo menciona logs_auditoria</w:t>
            </w:r>
          </w:p>
        </w:tc>
        <w:tc>
          <w:tcPr>
            <w:tcW w:type="dxa" w:w="3249"/>
          </w:tcPr>
          <w:p>
            <w:r>
              <w:t>La tabla observada se llama auditoria; se conserva RF-5.1 y se documenta la equivalencia conceptual</w:t>
            </w:r>
          </w:p>
        </w:tc>
      </w:tr>
      <w:tr>
        <w:tc>
          <w:tcPr>
            <w:tcW w:type="dxa" w:w="3249"/>
          </w:tcPr>
          <w:p>
            <w:r>
              <w:t>Eliminación</w:t>
            </w:r>
          </w:p>
        </w:tc>
        <w:tc>
          <w:tcPr>
            <w:tcW w:type="dxa" w:w="3249"/>
          </w:tcPr>
          <w:p>
            <w:r>
              <w:t>D3 declara PASS de borrado lógico</w:t>
            </w:r>
          </w:p>
        </w:tc>
        <w:tc>
          <w:tcPr>
            <w:tcW w:type="dxa" w:w="3249"/>
          </w:tcPr>
          <w:p>
            <w:r>
              <w:t>La API contiene DELETE físico; se exige verificación de persistencia antes de aprobar el caso</w:t>
            </w:r>
          </w:p>
        </w:tc>
      </w:tr>
      <w:tr>
        <w:tc>
          <w:tcPr>
            <w:tcW w:type="dxa" w:w="3249"/>
          </w:tcPr>
          <w:p>
            <w:r>
              <w:t>Rendimiento</w:t>
            </w:r>
          </w:p>
        </w:tc>
        <w:tc>
          <w:tcPr>
            <w:tcW w:type="dxa" w:w="3249"/>
          </w:tcPr>
          <w:p>
            <w:r>
              <w:t>D1 exige menos de 300 ms; D2 admite hasta 300 ms</w:t>
            </w:r>
          </w:p>
        </w:tc>
        <w:tc>
          <w:tcPr>
            <w:tcW w:type="dxa" w:w="3249"/>
          </w:tcPr>
          <w:p>
            <w:r>
              <w:t>Se adopta el límite estricto menor de 300 ms; se propone p95 para operacionalizarlo, pendiente de aprobación</w:t>
            </w:r>
          </w:p>
        </w:tc>
      </w:tr>
      <w:tr>
        <w:tc>
          <w:tcPr>
            <w:tcW w:type="dxa" w:w="3249"/>
          </w:tcPr>
          <w:p>
            <w:r>
              <w:t>Seguridad</w:t>
            </w:r>
          </w:p>
        </w:tc>
        <w:tc>
          <w:tcPr>
            <w:tcW w:type="dxa" w:w="3249"/>
          </w:tcPr>
          <w:p>
            <w:r>
              <w:t>Se solicitan resultados de bcrypt y SAST</w:t>
            </w:r>
          </w:p>
        </w:tc>
        <w:tc>
          <w:tcPr>
            <w:tcW w:type="dxa" w:w="3249"/>
          </w:tcPr>
          <w:p>
            <w:r>
              <w:t>El login compara contraseñas directamente; no hay reporte SonarQube disponible</w:t>
            </w:r>
          </w:p>
        </w:tc>
      </w:tr>
      <w:tr>
        <w:tc>
          <w:tcPr>
            <w:tcW w:type="dxa" w:w="3249"/>
          </w:tcPr>
          <w:p>
            <w:r>
              <w:t>Accesibilidad</w:t>
            </w:r>
          </w:p>
        </w:tc>
        <w:tc>
          <w:tcPr>
            <w:tcW w:type="dxa" w:w="3249"/>
          </w:tcPr>
          <w:p>
            <w:r>
              <w:t>D1 propone mínimo 12 px</w:t>
            </w:r>
          </w:p>
        </w:tc>
        <w:tc>
          <w:tcPr>
            <w:tcW w:type="dxa" w:w="3249"/>
          </w:tcPr>
          <w:p>
            <w:r>
              <w:t>El tamaño aislado no demuestra WCAG; se incorporan criterios medibles y pruebas con usuarios</w:t>
            </w:r>
          </w:p>
        </w:tc>
      </w:tr>
      <w:tr>
        <w:tc>
          <w:tcPr>
            <w:tcW w:type="dxa" w:w="3249"/>
          </w:tcPr>
          <w:p>
            <w:r>
              <w:t>Normativa</w:t>
            </w:r>
          </w:p>
        </w:tc>
        <w:tc>
          <w:tcPr>
            <w:tcW w:type="dxa" w:w="3249"/>
          </w:tcPr>
          <w:p>
            <w:r>
              <w:t>Los antecedentes presentan la Ley 21.719 como vigente</w:t>
            </w:r>
          </w:p>
        </w:tc>
        <w:tc>
          <w:tcPr>
            <w:tcW w:type="dxa" w:w="3249"/>
          </w:tcPr>
          <w:p>
            <w:r>
              <w:t>Se distingue régimen vigente y preparación para su entrada en vigor el 1 de diciembre de 2026 [L1]</w:t>
            </w:r>
          </w:p>
        </w:tc>
      </w:tr>
    </w:tbl>
    <w:p/>
    <w:p>
      <w:pPr>
        <w:pStyle w:val="Heading2"/>
      </w:pPr>
      <w:r>
        <w:t>1.3 Justificación Shift-Left DevSecOps</w:t>
      </w:r>
    </w:p>
    <w:p>
      <w:r>
        <w:rPr>
          <w:b w:val="0"/>
        </w:rPr>
        <w:t>La estrategia integra revisión de requisitos y amenazas antes de desarrollar; validaciones unitarias y de integración durante la construcción; SAST y revisión de dependencias en integración continua; y E2E, DAST, carga y accesibilidad en un entorno de prueba aislado. Así se detectan temprano errores de autorización, pérdida de información y exposición de datos. La automatización debe producir artefactos vinculados a la versión evaluada. El uso de Docker facilita reproducibilidad, pero no acredita seguridad ni cumplimiento por sí mismo.</w:t>
      </w:r>
    </w:p>
    <w:p>
      <w:r>
        <w:rPr>
          <w:b w:val="0"/>
        </w:rPr>
        <w:t>La copia de código de la entrega omite .env, archivos subidos y dump preexistente. Se sustituyó únicamente la credencial de respaldo de db.js por un valor sintético. No se corrigieron las vulnerabilidades del código durante la actividad. Las pruebas se ejecutaron automáticamente con asistencia técnica; la autoría de la ejecución no se atribuye retrospectivamente a una integrante. Las estudiantes deben revisar y dominar los resultados para la defensa individual.</w:t>
      </w:r>
    </w:p>
    <w:p>
      <w:pPr>
        <w:pStyle w:val="Heading1"/>
      </w:pPr>
      <w:r>
        <w:t>2. Criterios de calidad</w:t>
      </w:r>
    </w:p>
    <w:p>
      <w:pPr>
        <w:pStyle w:val="Heading2"/>
      </w:pPr>
      <w:r>
        <w:t>2.1 Calidad técnica</w:t>
      </w:r>
    </w:p>
    <w:p>
      <w:r>
        <w:rPr>
          <w:b w:val="0"/>
        </w:rPr>
        <w:t>Se utiliza ISO/IEC 25010 como marco de calidad; su edición 2023 define un modelo de calidad de producto [T1]. Los umbrales siguientes provienen de D1 y D2 o son propuestas operativas expresamente identificadas; no se atribuyen a ISO.</w:t>
      </w:r>
    </w:p>
    <w:tbl>
      <w:tblPr>
        <w:tblStyle w:val="TableGrid"/>
        <w:tblW w:type="auto" w:w="0"/>
        <w:tblLook w:firstColumn="1" w:firstRow="1" w:lastColumn="0" w:lastRow="0" w:noHBand="0" w:noVBand="1" w:val="04A0"/>
      </w:tblPr>
      <w:tblGrid>
        <w:gridCol w:w="3249"/>
        <w:gridCol w:w="3249"/>
        <w:gridCol w:w="3249"/>
      </w:tblGrid>
      <w:tr>
        <w:tc>
          <w:tcPr>
            <w:tcW w:type="dxa" w:w="3249"/>
            <w:shd w:fill="E5EEF4"/>
          </w:tcPr>
          <w:p>
            <w:r>
              <w:rPr>
                <w:b/>
              </w:rPr>
              <w:t>Dimensión</w:t>
            </w:r>
          </w:p>
        </w:tc>
        <w:tc>
          <w:tcPr>
            <w:tcW w:type="dxa" w:w="3249"/>
            <w:shd w:fill="E5EEF4"/>
          </w:tcPr>
          <w:p>
            <w:r>
              <w:rPr>
                <w:b/>
              </w:rPr>
              <w:t>Criterio verificable</w:t>
            </w:r>
          </w:p>
        </w:tc>
        <w:tc>
          <w:tcPr>
            <w:tcW w:type="dxa" w:w="3249"/>
            <w:shd w:fill="E5EEF4"/>
          </w:tcPr>
          <w:p>
            <w:r>
              <w:rPr>
                <w:b/>
              </w:rPr>
              <w:t>Evidencia requerida</w:t>
            </w:r>
          </w:p>
        </w:tc>
      </w:tr>
      <w:tr>
        <w:tc>
          <w:tcPr>
            <w:tcW w:type="dxa" w:w="3249"/>
          </w:tcPr>
          <w:p>
            <w:r>
              <w:t>Adecuación funcional</w:t>
            </w:r>
          </w:p>
        </w:tc>
        <w:tc>
          <w:tcPr>
            <w:tcW w:type="dxa" w:w="3249"/>
          </w:tcPr>
          <w:p>
            <w:r>
              <w:t>Login, CRUD, adjuntos y permisos conformes a requisitos; eliminación lógica confirmada</w:t>
            </w:r>
          </w:p>
        </w:tc>
        <w:tc>
          <w:tcPr>
            <w:tcW w:type="dxa" w:w="3249"/>
          </w:tcPr>
          <w:p>
            <w:r>
              <w:t>Aserciones API, registros persistidos y capturas del flujo</w:t>
            </w:r>
          </w:p>
        </w:tc>
      </w:tr>
      <w:tr>
        <w:tc>
          <w:tcPr>
            <w:tcW w:type="dxa" w:w="3249"/>
          </w:tcPr>
          <w:p>
            <w:r>
              <w:t>Desempeño</w:t>
            </w:r>
          </w:p>
        </w:tc>
        <w:tc>
          <w:tcPr>
            <w:tcW w:type="dxa" w:w="3249"/>
          </w:tcPr>
          <w:p>
            <w:r>
              <w:t>API simple menor de 300 ms; dashboard menor de 2 s; transferencias menores de 10 s</w:t>
            </w:r>
          </w:p>
        </w:tc>
        <w:tc>
          <w:tcPr>
            <w:tcW w:type="dxa" w:w="3249"/>
          </w:tcPr>
          <w:p>
            <w:r>
              <w:t>Resultados por operación y tamaño de archivo; contexto de red y equipo</w:t>
            </w:r>
          </w:p>
        </w:tc>
      </w:tr>
      <w:tr>
        <w:tc>
          <w:tcPr>
            <w:tcW w:type="dxa" w:w="3249"/>
          </w:tcPr>
          <w:p>
            <w:r>
              <w:t>Capacidad</w:t>
            </w:r>
          </w:p>
        </w:tc>
        <w:tc>
          <w:tcPr>
            <w:tcW w:type="dxa" w:w="3249"/>
          </w:tcPr>
          <w:p>
            <w:r>
              <w:t>200 usuarios concurrentes sin HTTP 5xx ni pérdida de datos</w:t>
            </w:r>
          </w:p>
        </w:tc>
        <w:tc>
          <w:tcPr>
            <w:tcW w:type="dxa" w:w="3249"/>
          </w:tcPr>
          <w:p>
            <w:r>
              <w:t>JTL de JMeter, métricas de contenedores y base de datos</w:t>
            </w:r>
          </w:p>
        </w:tc>
      </w:tr>
      <w:tr>
        <w:tc>
          <w:tcPr>
            <w:tcW w:type="dxa" w:w="3249"/>
          </w:tcPr>
          <w:p>
            <w:r>
              <w:t>Accesibilidad</w:t>
            </w:r>
          </w:p>
        </w:tc>
        <w:tc>
          <w:tcPr>
            <w:tcW w:type="dxa" w:w="3249"/>
          </w:tcPr>
          <w:p>
            <w:r>
              <w:t>WCAG 2.1 AA en las pantallas evaluadas</w:t>
            </w:r>
          </w:p>
        </w:tc>
        <w:tc>
          <w:tcPr>
            <w:tcW w:type="dxa" w:w="3249"/>
          </w:tcPr>
          <w:p>
            <w:r>
              <w:t>Revisión automática y manual por criterio; registro de excepciones</w:t>
            </w:r>
          </w:p>
        </w:tc>
      </w:tr>
      <w:tr>
        <w:tc>
          <w:tcPr>
            <w:tcW w:type="dxa" w:w="3249"/>
          </w:tcPr>
          <w:p>
            <w:r>
              <w:t>Disponibilidad</w:t>
            </w:r>
          </w:p>
        </w:tc>
        <w:tc>
          <w:tcPr>
            <w:tcW w:type="dxa" w:w="3249"/>
          </w:tcPr>
          <w:p>
            <w:r>
              <w:t>Objetivo mensual 99,5%</w:t>
            </w:r>
          </w:p>
        </w:tc>
        <w:tc>
          <w:tcPr>
            <w:tcW w:type="dxa" w:w="3249"/>
          </w:tcPr>
          <w:p>
            <w:r>
              <w:t>Monitoreo del período; una ejecución de carga no basta</w:t>
            </w:r>
          </w:p>
        </w:tc>
      </w:tr>
      <w:tr>
        <w:tc>
          <w:tcPr>
            <w:tcW w:type="dxa" w:w="3249"/>
          </w:tcPr>
          <w:p>
            <w:r>
              <w:t>Recuperación</w:t>
            </w:r>
          </w:p>
        </w:tc>
        <w:tc>
          <w:tcPr>
            <w:tcW w:type="dxa" w:w="3249"/>
          </w:tcPr>
          <w:p>
            <w:r>
              <w:t>Respaldos y restauración verificables</w:t>
            </w:r>
          </w:p>
        </w:tc>
        <w:tc>
          <w:tcPr>
            <w:tcW w:type="dxa" w:w="3249"/>
          </w:tcPr>
          <w:p>
            <w:r>
              <w:t>Acta de restauración; RPO y RTO acordados, aún no especificados</w:t>
            </w:r>
          </w:p>
        </w:tc>
      </w:tr>
    </w:tbl>
    <w:p/>
    <w:p>
      <w:r>
        <w:rPr>
          <w:b w:val="0"/>
        </w:rPr>
        <w:t>Para accesibilidad se comprueban contraste de texto normal de al menos 4,5:1 y de texto grande de 3:1, ampliación al 200% sin pérdida de contenido o función, teclado, foco visible, etiquetas y errores comprensibles [T2]. Se recomienda texto base de 16 px para este público como decisión de diseño, sin presentarlo como un mínimo normativo WCAG. Una muestra exploratoria propuesta de cinco adultos mayores permitirá observar comprensión y bloqueos; no acredita por sí sola conformidad AA de toda la aplicación.</w:t>
      </w:r>
    </w:p>
    <w:p>
      <w:pPr>
        <w:pStyle w:val="Heading2"/>
      </w:pPr>
      <w:r>
        <w:t>2.2 Seguridad de la información</w:t>
      </w:r>
    </w:p>
    <w:tbl>
      <w:tblPr>
        <w:tblStyle w:val="TableGrid"/>
        <w:tblW w:type="auto" w:w="0"/>
        <w:tblLook w:firstColumn="1" w:firstRow="1" w:lastColumn="0" w:lastRow="0" w:noHBand="0" w:noVBand="1" w:val="04A0"/>
      </w:tblPr>
      <w:tblGrid>
        <w:gridCol w:w="3249"/>
        <w:gridCol w:w="3249"/>
        <w:gridCol w:w="3249"/>
      </w:tblGrid>
      <w:tr>
        <w:tc>
          <w:tcPr>
            <w:tcW w:type="dxa" w:w="3249"/>
            <w:shd w:fill="E5EEF4"/>
          </w:tcPr>
          <w:p>
            <w:r>
              <w:rPr>
                <w:b/>
              </w:rPr>
              <w:t>Control</w:t>
            </w:r>
          </w:p>
        </w:tc>
        <w:tc>
          <w:tcPr>
            <w:tcW w:type="dxa" w:w="3249"/>
            <w:shd w:fill="E5EEF4"/>
          </w:tcPr>
          <w:p>
            <w:r>
              <w:rPr>
                <w:b/>
              </w:rPr>
              <w:t>Criterio de aceptación</w:t>
            </w:r>
          </w:p>
        </w:tc>
        <w:tc>
          <w:tcPr>
            <w:tcW w:type="dxa" w:w="3249"/>
            <w:shd w:fill="E5EEF4"/>
          </w:tcPr>
          <w:p>
            <w:r>
              <w:rPr>
                <w:b/>
              </w:rPr>
              <w:t>Comprobación</w:t>
            </w:r>
          </w:p>
        </w:tc>
      </w:tr>
      <w:tr>
        <w:tc>
          <w:tcPr>
            <w:tcW w:type="dxa" w:w="3249"/>
          </w:tcPr>
          <w:p>
            <w:r>
              <w:t>Autenticación JWT</w:t>
            </w:r>
          </w:p>
        </w:tc>
        <w:tc>
          <w:tcPr>
            <w:tcW w:type="dxa" w:w="3249"/>
          </w:tcPr>
          <w:p>
            <w:r>
              <w:t>Rechazar tokens ausentes, alterados y vencidos; acordar vigencia y revocación</w:t>
            </w:r>
          </w:p>
        </w:tc>
        <w:tc>
          <w:tcPr>
            <w:tcW w:type="dxa" w:w="3249"/>
          </w:tcPr>
          <w:p>
            <w:r>
              <w:t>Pruebas negativas y revisión de configuración; JWT firmado no implica contenido cifrado</w:t>
            </w:r>
          </w:p>
        </w:tc>
      </w:tr>
      <w:tr>
        <w:tc>
          <w:tcPr>
            <w:tcW w:type="dxa" w:w="3249"/>
          </w:tcPr>
          <w:p>
            <w:r>
              <w:t>Contraseñas</w:t>
            </w:r>
          </w:p>
        </w:tc>
        <w:tc>
          <w:tcPr>
            <w:tcW w:type="dxa" w:w="3249"/>
          </w:tcPr>
          <w:p>
            <w:r>
              <w:t>Hash adaptativo bcrypt con costo calibrado y comparación segura; nunca texto claro</w:t>
            </w:r>
          </w:p>
        </w:tc>
        <w:tc>
          <w:tcPr>
            <w:tcW w:type="dxa" w:w="3249"/>
          </w:tcPr>
          <w:p>
            <w:r>
              <w:t>Inspección de implementación y datos sintéticos persistidos</w:t>
            </w:r>
          </w:p>
        </w:tc>
      </w:tr>
      <w:tr>
        <w:tc>
          <w:tcPr>
            <w:tcW w:type="dxa" w:w="3249"/>
          </w:tcPr>
          <w:p>
            <w:r>
              <w:t>Transporte</w:t>
            </w:r>
          </w:p>
        </w:tc>
        <w:tc>
          <w:tcPr>
            <w:tcW w:type="dxa" w:w="3249"/>
          </w:tcPr>
          <w:p>
            <w:r>
              <w:t>HTTPS/TLS en despliegue objetivo y protección de conexión a PostgreSQL</w:t>
            </w:r>
          </w:p>
        </w:tc>
        <w:tc>
          <w:tcPr>
            <w:tcW w:type="dxa" w:w="3249"/>
          </w:tcPr>
          <w:p>
            <w:r>
              <w:t>Configuración y negociación observadas; el Compose local HTTP no demuestra TLS</w:t>
            </w:r>
          </w:p>
        </w:tc>
      </w:tr>
      <w:tr>
        <w:tc>
          <w:tcPr>
            <w:tcW w:type="dxa" w:w="3249"/>
          </w:tcPr>
          <w:p>
            <w:r>
              <w:t>SQLi</w:t>
            </w:r>
          </w:p>
        </w:tc>
        <w:tc>
          <w:tcPr>
            <w:tcW w:type="dxa" w:w="3249"/>
          </w:tcPr>
          <w:p>
            <w:r>
              <w:t>Parámetros para valores y listas permitidas para identificadores</w:t>
            </w:r>
          </w:p>
        </w:tc>
        <w:tc>
          <w:tcPr>
            <w:tcW w:type="dxa" w:w="3249"/>
          </w:tcPr>
          <w:p>
            <w:r>
              <w:t>Revisión del flujo entrada-consulta y pruebas negativas</w:t>
            </w:r>
          </w:p>
        </w:tc>
      </w:tr>
      <w:tr>
        <w:tc>
          <w:tcPr>
            <w:tcW w:type="dxa" w:w="3249"/>
          </w:tcPr>
          <w:p>
            <w:r>
              <w:t>XSS</w:t>
            </w:r>
          </w:p>
        </w:tc>
        <w:tc>
          <w:tcPr>
            <w:tcW w:type="dxa" w:w="3249"/>
          </w:tcPr>
          <w:p>
            <w:r>
              <w:t>Codificación contextual de salida y tratamiento seguro de contenido</w:t>
            </w:r>
          </w:p>
        </w:tc>
        <w:tc>
          <w:tcPr>
            <w:tcW w:type="dxa" w:w="3249"/>
          </w:tcPr>
          <w:p>
            <w:r>
              <w:t>Pruebas en campos persistidos y vistas; sanitización genérica no basta</w:t>
            </w:r>
          </w:p>
        </w:tc>
      </w:tr>
      <w:tr>
        <w:tc>
          <w:tcPr>
            <w:tcW w:type="dxa" w:w="3249"/>
          </w:tcPr>
          <w:p>
            <w:r>
              <w:t>RBAC e IDOR</w:t>
            </w:r>
          </w:p>
        </w:tc>
        <w:tc>
          <w:tcPr>
            <w:tcW w:type="dxa" w:w="3249"/>
          </w:tcPr>
          <w:p>
            <w:r>
              <w:t>Autorizar operación y pertenencia del recurso en servidor</w:t>
            </w:r>
          </w:p>
        </w:tc>
        <w:tc>
          <w:tcPr>
            <w:tcW w:type="dxa" w:w="3249"/>
          </w:tcPr>
          <w:p>
            <w:r>
              <w:t>Matriz de roles, dos pacientes diferentes y acceso directo a adjuntos</w:t>
            </w:r>
          </w:p>
        </w:tc>
      </w:tr>
      <w:tr>
        <w:tc>
          <w:tcPr>
            <w:tcW w:type="dxa" w:w="3249"/>
          </w:tcPr>
          <w:p>
            <w:r>
              <w:t>Auditoría</w:t>
            </w:r>
          </w:p>
        </w:tc>
        <w:tc>
          <w:tcPr>
            <w:tcW w:type="dxa" w:w="3249"/>
          </w:tcPr>
          <w:p>
            <w:r>
              <w:t>Actor, acción, recurso, instante y origen; permisos mínimos y detección de alteración</w:t>
            </w:r>
          </w:p>
        </w:tc>
        <w:tc>
          <w:tcPr>
            <w:tcW w:type="dxa" w:w="3249"/>
          </w:tcPr>
          <w:p>
            <w:r>
              <w:t>Pruebas con rol de aplicación y verificación del esquema</w:t>
            </w:r>
          </w:p>
        </w:tc>
      </w:tr>
    </w:tbl>
    <w:p/>
    <w:p>
      <w:r>
        <w:rPr>
          <w:b w:val="0"/>
        </w:rPr>
        <w:t>La prevención de CSRF se evaluará según el mecanismo real de sesión, especialmente si se usan cookies automáticas. Los secretos deben gestionarse fuera de archivos de documentación y las credenciales de demostración deben reemplazarse antes de producción. No se reproducen secretos del repositorio en este informe.</w:t>
      </w:r>
    </w:p>
    <w:p>
      <w:pPr>
        <w:pStyle w:val="Heading2"/>
      </w:pPr>
      <w:r>
        <w:t>2.3 Cumplimiento y privacidad</w:t>
      </w:r>
    </w:p>
    <w:p>
      <w:r>
        <w:rPr>
          <w:b w:val="0"/>
        </w:rPr>
        <w:t>Al 20 de octubre de 2026 se distingue la Ley 19.628 vigente del régimen reformado por la Ley 21.719, cuya entrada en vigor general está prevista para el 1 de diciembre de 2026 [L1, L3]. Se debe documentar finalidad, base habilitante, acceso restringido, deber de confidencialidad y gestión de solicitudes de titulares. No se presume que el consentimiento sea la única base posible para todos los tratamientos de salud.</w:t>
      </w:r>
    </w:p>
    <w:p>
      <w:r>
        <w:rPr>
          <w:b w:val="0"/>
        </w:rPr>
        <w:t>La Ley 21.663 delimita servicios esenciales y operadores de importancia vital; la aplicabilidad a CreaLab y al establecimiento de salud requiere precisar su actividad y calificación [L2]. Se propone auditoría protegida como control de trazabilidad. No se atribuye a la ley la exigencia literal de una tabla denominada logs_auditoria ni de una columna IP en todo registro. La retención debe justificarse por finalidad y obligaciones aplicables; no se inventa un plazo universal ni se equipara soft delete con supresión efectiva de datos.</w:t>
      </w:r>
    </w:p>
    <w:p>
      <w:pPr>
        <w:pStyle w:val="Heading1"/>
      </w:pPr>
      <w:r>
        <w:t>3. Plan de pruebas</w:t>
      </w:r>
    </w:p>
    <w:p>
      <w:pPr>
        <w:pStyle w:val="Heading2"/>
      </w:pPr>
      <w:r>
        <w:t>3.1 Estrategia de pruebas</w:t>
      </w:r>
    </w:p>
    <w:p>
      <w:r>
        <w:rPr>
          <w:b w:val="0"/>
        </w:rPr>
        <w:t>Se aplica enfoque mixto basado en riesgo: primero acceso a datos y privilegios, después integridad, funcionamiento y rendimiento. Secuencia: revisar D1/D2 y criterios; preparar datos sintéticos; ejecutar casos sin corregir rutas; guardar respuestas y consultas; clasificar incidentes; proponer corrección y retest. El flujo requiere trazabilidad requisito → caso → resultado → evidencia → defecto → decisión.</w:t>
      </w:r>
    </w:p>
    <w:p>
      <w:r>
        <w:rPr>
          <w:b w:val="0"/>
        </w:rPr>
        <w:t>Entrada: versión identificada, base cuidarte_qa separada, API accesible, cuentas por rol y casos definidos. Salida: todos los casos críticos/altos ejecutados; cero defectos críticos y altos abiertos; cobertura backend superior al 80%; SAST/DAST revisados; carga representativa y accesibilidad sin bloqueos. Los criterios de salida no se cumplen y se rechaza el despliegue productivo.</w:t>
      </w:r>
    </w:p>
    <w:p>
      <w:r>
        <w:rPr>
          <w:b w:val="0"/>
        </w:rPr>
        <w:t>No se recibió ERS íntegra ni feedback docente. Los ajustes de esta iteración provienen del contraste técnico, no de una supuesta retroalimentación. No se afirma cobertura 100% de requisitos sin denominador verificable.</w:t>
      </w:r>
    </w:p>
    <w:p>
      <w:pPr>
        <w:pStyle w:val="Heading2"/>
      </w:pPr>
      <w:r>
        <w:t>3.2 Tipos de prueba</w:t>
      </w:r>
    </w:p>
    <w:tbl>
      <w:tblPr>
        <w:tblStyle w:val="TableGrid"/>
        <w:tblW w:type="auto" w:w="0"/>
        <w:tblLook w:firstColumn="1" w:firstRow="1" w:lastColumn="0" w:lastRow="0" w:noHBand="0" w:noVBand="1" w:val="04A0"/>
      </w:tblPr>
      <w:tblGrid>
        <w:gridCol w:w="3249"/>
        <w:gridCol w:w="3249"/>
        <w:gridCol w:w="3249"/>
      </w:tblGrid>
      <w:tr>
        <w:tc>
          <w:tcPr>
            <w:tcW w:type="dxa" w:w="3249"/>
            <w:shd w:fill="E5EEF4"/>
          </w:tcPr>
          <w:p>
            <w:r>
              <w:rPr>
                <w:b/>
              </w:rPr>
              <w:t>Tipo</w:t>
            </w:r>
          </w:p>
        </w:tc>
        <w:tc>
          <w:tcPr>
            <w:tcW w:type="dxa" w:w="3249"/>
            <w:shd w:fill="E5EEF4"/>
          </w:tcPr>
          <w:p>
            <w:r>
              <w:rPr>
                <w:b/>
              </w:rPr>
              <w:t>Origen del caso y justificación</w:t>
            </w:r>
          </w:p>
        </w:tc>
        <w:tc>
          <w:tcPr>
            <w:tcW w:type="dxa" w:w="3249"/>
            <w:shd w:fill="E5EEF4"/>
          </w:tcPr>
          <w:p>
            <w:r>
              <w:rPr>
                <w:b/>
              </w:rPr>
              <w:t>Aplicación real</w:t>
            </w:r>
          </w:p>
        </w:tc>
      </w:tr>
      <w:tr>
        <w:tc>
          <w:tcPr>
            <w:tcW w:type="dxa" w:w="3249"/>
          </w:tcPr>
          <w:p>
            <w:r>
              <w:t>Funcional</w:t>
            </w:r>
          </w:p>
        </w:tc>
        <w:tc>
          <w:tcPr>
            <w:tcW w:type="dxa" w:w="3249"/>
          </w:tcPr>
          <w:p>
            <w:r>
              <w:t>RF-1.1 y RF-3.1; confirmar uso correcto y validaciones</w:t>
            </w:r>
          </w:p>
        </w:tc>
        <w:tc>
          <w:tcPr>
            <w:tcW w:type="dxa" w:w="3249"/>
          </w:tcPr>
          <w:p>
            <w:r>
              <w:t>Login válido/incorrecto, campos obligatorios y registro clínico</w:t>
            </w:r>
          </w:p>
        </w:tc>
      </w:tr>
      <w:tr>
        <w:tc>
          <w:tcPr>
            <w:tcW w:type="dxa" w:w="3249"/>
          </w:tcPr>
          <w:p>
            <w:r>
              <w:t>Integración</w:t>
            </w:r>
          </w:p>
        </w:tc>
        <w:tc>
          <w:tcPr>
            <w:tcW w:type="dxa" w:w="3249"/>
          </w:tcPr>
          <w:p>
            <w:r>
              <w:t>RF-4.3/4.4 y RF-5.1; verificar API-base-documento</w:t>
            </w:r>
          </w:p>
        </w:tc>
        <w:tc>
          <w:tcPr>
            <w:tcW w:type="dxa" w:w="3249"/>
          </w:tcPr>
          <w:p>
            <w:r>
              <w:t>Persistencia, bytes del adjunto y evento de rol</w:t>
            </w:r>
          </w:p>
        </w:tc>
      </w:tr>
      <w:tr>
        <w:tc>
          <w:tcPr>
            <w:tcW w:type="dxa" w:w="3249"/>
          </w:tcPr>
          <w:p>
            <w:r>
              <w:t>Seguridad</w:t>
            </w:r>
          </w:p>
        </w:tc>
        <w:tc>
          <w:tcPr>
            <w:tcW w:type="dxa" w:w="3249"/>
          </w:tcPr>
          <w:p>
            <w:r>
              <w:t>NFR-SEG-2/4/9; proteger datos y privilegios</w:t>
            </w:r>
          </w:p>
        </w:tc>
        <w:tc>
          <w:tcPr>
            <w:tcW w:type="dxa" w:w="3249"/>
          </w:tcPr>
          <w:p>
            <w:r>
              <w:t>JWT inválidos, IDOR, contraseñas, escalamiento y acceso anónimo</w:t>
            </w:r>
          </w:p>
        </w:tc>
      </w:tr>
      <w:tr>
        <w:tc>
          <w:tcPr>
            <w:tcW w:type="dxa" w:w="3249"/>
          </w:tcPr>
          <w:p>
            <w:r>
              <w:t>Rendimiento</w:t>
            </w:r>
          </w:p>
        </w:tc>
        <w:tc>
          <w:tcPr>
            <w:tcW w:type="dxa" w:w="3249"/>
          </w:tcPr>
          <w:p>
            <w:r>
              <w:t>NFR-PERF-1/3; evitar demoras de atención</w:t>
            </w:r>
          </w:p>
        </w:tc>
        <w:tc>
          <w:tcPr>
            <w:tcW w:type="dxa" w:w="3249"/>
          </w:tcPr>
          <w:p>
            <w:r>
              <w:t>Consulta individual y lote breve de 200 solicitudes</w:t>
            </w:r>
          </w:p>
        </w:tc>
      </w:tr>
      <w:tr>
        <w:tc>
          <w:tcPr>
            <w:tcW w:type="dxa" w:w="3249"/>
          </w:tcPr>
          <w:p>
            <w:r>
              <w:t>Análisis estático</w:t>
            </w:r>
          </w:p>
        </w:tc>
        <w:tc>
          <w:tcPr>
            <w:tcW w:type="dxa" w:w="3249"/>
          </w:tcPr>
          <w:p>
            <w:r>
              <w:t>Auditar el código sin ejecutar rutas</w:t>
            </w:r>
          </w:p>
        </w:tc>
        <w:tc>
          <w:tcPr>
            <w:tcW w:type="dxa" w:w="3249"/>
          </w:tcPr>
          <w:p>
            <w:r>
              <w:t>SonarQube y revisión manual diferenciados</w:t>
            </w:r>
          </w:p>
        </w:tc>
      </w:tr>
      <w:tr>
        <w:tc>
          <w:tcPr>
            <w:tcW w:type="dxa" w:w="3249"/>
          </w:tcPr>
          <w:p>
            <w:r>
              <w:t>Usabilidad/accesibilidad</w:t>
            </w:r>
          </w:p>
        </w:tc>
        <w:tc>
          <w:tcPr>
            <w:tcW w:type="dxa" w:w="3249"/>
          </w:tcPr>
          <w:p>
            <w:r>
              <w:t>NFR-USAB-1; población adulta mayor</w:t>
            </w:r>
          </w:p>
        </w:tc>
        <w:tc>
          <w:tcPr>
            <w:tcW w:type="dxa" w:w="3249"/>
          </w:tcPr>
          <w:p>
            <w:r>
              <w:t>Antecedentes UI disponibles; evaluación AA completa pendiente</w:t>
            </w:r>
          </w:p>
        </w:tc>
      </w:tr>
    </w:tbl>
    <w:p/>
    <w:p>
      <w:r>
        <w:rPr>
          <w:b w:val="0"/>
        </w:rPr>
        <w:t>La prueba funcional comprueba el comportamiento esperado; integración verifica el efecto en base y archivos; seguridad añade actores hostiles o insuficientemente autorizados; rendimiento mide tiempo y capacidad bajo condiciones registradas. Que un login funcione no demuestra que la contraseña esté protegida. Que IDOR falle en una ruta no prueba que toda la API esté protegida.</w:t>
      </w:r>
    </w:p>
    <w:p>
      <w:pPr>
        <w:pStyle w:val="Heading2"/>
      </w:pPr>
      <w:r>
        <w:t>3.3 Criterios de aceptación</w:t>
      </w:r>
    </w:p>
    <w:p>
      <w:r>
        <w:rPr>
          <w:b w:val="0"/>
        </w:rPr>
        <w:t>Cada caso debe cumplir todos sus resultados esperados y conservar evidencia. No basta un HTTP 200: para borrado se consulta persistencia; para PDF se comparan bytes; para roles se inspecciona usuario_roles. PASS corresponde al alcance verificado; FAIL a desviación observada; BLOCKED a precondición no disponible; SKIPPED a exclusión justificada antes de ejecutar. No se suman pruebas históricas ni inspecciones como nuevas ejecuciones.</w:t>
      </w:r>
    </w:p>
    <w:p>
      <w:r>
        <w:rPr>
          <w:b w:val="0"/>
        </w:rPr>
        <w:t>Se requiere 401 sin sesión y 403 para operaciones prohibidas; se documenta por separado el 404 usado para ocultar recursos ajenos en /examenes/:id. La latencia objetivo menor de 300 ms proviene de D1; p95 es una operacionalización propuesta y se reportan máximos. Una muestra de carga breve no demuestra disponibilidad mensual del 99,5% ni una prueba sostenida de usuarios reales.</w:t>
      </w:r>
    </w:p>
    <w:p>
      <w:pPr>
        <w:pStyle w:val="Heading2"/>
      </w:pPr>
      <w:r>
        <w:t>3.4 Herramientas utilizadas</w:t>
      </w:r>
    </w:p>
    <w:tbl>
      <w:tblPr>
        <w:tblStyle w:val="TableGrid"/>
        <w:tblW w:type="auto" w:w="0"/>
        <w:tblLook w:firstColumn="1" w:firstRow="1" w:lastColumn="0" w:lastRow="0" w:noHBand="0" w:noVBand="1" w:val="04A0"/>
      </w:tblPr>
      <w:tblGrid>
        <w:gridCol w:w="3249"/>
        <w:gridCol w:w="3249"/>
        <w:gridCol w:w="3249"/>
      </w:tblGrid>
      <w:tr>
        <w:tc>
          <w:tcPr>
            <w:tcW w:type="dxa" w:w="3249"/>
            <w:shd w:fill="E5EEF4"/>
          </w:tcPr>
          <w:p>
            <w:r>
              <w:rPr>
                <w:b/>
              </w:rPr>
              <w:t>Herramienta/recurso</w:t>
            </w:r>
          </w:p>
        </w:tc>
        <w:tc>
          <w:tcPr>
            <w:tcW w:type="dxa" w:w="3249"/>
            <w:shd w:fill="E5EEF4"/>
          </w:tcPr>
          <w:p>
            <w:r>
              <w:rPr>
                <w:b/>
              </w:rPr>
              <w:t>Uso comprobado o planificado</w:t>
            </w:r>
          </w:p>
        </w:tc>
        <w:tc>
          <w:tcPr>
            <w:tcW w:type="dxa" w:w="3249"/>
            <w:shd w:fill="E5EEF4"/>
          </w:tcPr>
          <w:p>
            <w:r>
              <w:rPr>
                <w:b/>
              </w:rPr>
              <w:t>Fundamento</w:t>
            </w:r>
          </w:p>
        </w:tc>
      </w:tr>
      <w:tr>
        <w:tc>
          <w:tcPr>
            <w:tcW w:type="dxa" w:w="3249"/>
          </w:tcPr>
          <w:p>
            <w:r>
              <w:t>Node.js v22.16.0</w:t>
            </w:r>
          </w:p>
        </w:tc>
        <w:tc>
          <w:tcPr>
            <w:tcW w:type="dxa" w:w="3249"/>
          </w:tcPr>
          <w:p>
            <w:r>
              <w:t>Usado: runner fetch, JWT y PostgreSQL</w:t>
            </w:r>
          </w:p>
        </w:tc>
        <w:tc>
          <w:tcPr>
            <w:tcW w:type="dxa" w:w="3249"/>
          </w:tcPr>
          <w:p>
            <w:r>
              <w:t>Reproduce peticiones y verifica respuestas sin modificar rutas</w:t>
            </w:r>
          </w:p>
        </w:tc>
      </w:tr>
      <w:tr>
        <w:tc>
          <w:tcPr>
            <w:tcW w:type="dxa" w:w="3249"/>
          </w:tcPr>
          <w:p>
            <w:r>
              <w:t>PostgreSQL 15.19 en Docker</w:t>
            </w:r>
          </w:p>
        </w:tc>
        <w:tc>
          <w:tcPr>
            <w:tcW w:type="dxa" w:w="3249"/>
          </w:tcPr>
          <w:p>
            <w:r>
              <w:t>Usado: base nueva, esquema init.sql y datos sintéticos</w:t>
            </w:r>
          </w:p>
        </w:tc>
        <w:tc>
          <w:tcPr>
            <w:tcW w:type="dxa" w:w="3249"/>
          </w:tcPr>
          <w:p>
            <w:r>
              <w:t>Permite contrastar persistencia y privilegios</w:t>
            </w:r>
          </w:p>
        </w:tc>
      </w:tr>
      <w:tr>
        <w:tc>
          <w:tcPr>
            <w:tcW w:type="dxa" w:w="3249"/>
          </w:tcPr>
          <w:p>
            <w:r>
              <w:t>SonarQube Community y escáner oficial</w:t>
            </w:r>
          </w:p>
        </w:tc>
        <w:tc>
          <w:tcPr>
            <w:tcW w:type="dxa" w:w="3249"/>
          </w:tcPr>
          <w:p>
            <w:r>
              <w:t>Usado, exportación disponible</w:t>
            </w:r>
          </w:p>
        </w:tc>
        <w:tc>
          <w:tcPr>
            <w:tcW w:type="dxa" w:w="3249"/>
          </w:tcPr>
          <w:p>
            <w:r>
              <w:t>Inspecciona calidad y seguridad de código; no sustituye DAST</w:t>
            </w:r>
          </w:p>
        </w:tc>
      </w:tr>
      <w:tr>
        <w:tc>
          <w:tcPr>
            <w:tcW w:type="dxa" w:w="3249"/>
          </w:tcPr>
          <w:p>
            <w:r>
              <w:t>Python, python-docx, python-pptx y ReportLab</w:t>
            </w:r>
          </w:p>
        </w:tc>
        <w:tc>
          <w:tcPr>
            <w:tcW w:type="dxa" w:w="3249"/>
          </w:tcPr>
          <w:p>
            <w:r>
              <w:t>Usado: consolidación, Word, PowerPoint, PDF y CSV</w:t>
            </w:r>
          </w:p>
        </w:tc>
        <w:tc>
          <w:tcPr>
            <w:tcW w:type="dxa" w:w="3249"/>
          </w:tcPr>
          <w:p>
            <w:r>
              <w:t>Entrega editable y artefactos verificables</w:t>
            </w:r>
          </w:p>
        </w:tc>
      </w:tr>
      <w:tr>
        <w:tc>
          <w:tcPr>
            <w:tcW w:type="dxa" w:w="3249"/>
          </w:tcPr>
          <w:p>
            <w:r>
              <w:t>Playwright/Chromium</w:t>
            </w:r>
          </w:p>
        </w:tc>
        <w:tc>
          <w:tcPr>
            <w:tcW w:type="dxa" w:w="3249"/>
          </w:tcPr>
          <w:p>
            <w:r>
              <w:t>Apoyo para capturas si consta acta en evidencias</w:t>
            </w:r>
          </w:p>
        </w:tc>
        <w:tc>
          <w:tcPr>
            <w:tcW w:type="dxa" w:w="3249"/>
          </w:tcPr>
          <w:p>
            <w:r>
              <w:t>Capturas de interfaz y panel; no implica certificación de accesibilidad</w:t>
            </w:r>
          </w:p>
        </w:tc>
      </w:tr>
      <w:tr>
        <w:tc>
          <w:tcPr>
            <w:tcW w:type="dxa" w:w="3249"/>
          </w:tcPr>
          <w:p>
            <w:r>
              <w:t>Jest/Supertest, Cypress/Selenium, JMeter y ZAP</w:t>
            </w:r>
          </w:p>
        </w:tc>
        <w:tc>
          <w:tcPr>
            <w:tcW w:type="dxa" w:w="3249"/>
          </w:tcPr>
          <w:p>
            <w:r>
              <w:t>Planificados; no presentados como ejecutados</w:t>
            </w:r>
          </w:p>
        </w:tc>
        <w:tc>
          <w:tcPr>
            <w:tcW w:type="dxa" w:w="3249"/>
          </w:tcPr>
          <w:p>
            <w:r>
              <w:t>Ampliar unitarias/cobertura, E2E, carga sostenida y DAST</w:t>
            </w:r>
          </w:p>
        </w:tc>
      </w:tr>
    </w:tbl>
    <w:p/>
    <w:p>
      <w:r>
        <w:rPr>
          <w:b w:val="0"/>
        </w:rPr>
        <w:t>Recursos humanos propuestos: Antonella coordina QA/DevSecOps y automatización; Miriam coordina casos, trazabilidad y cumplimiento. Ambas deben revisar toda la entrega. Entorno real: Windows local, API http://127.0.0.1:4445 y PostgreSQL en 127.0.0.1:15443, datos creados por el script. SonarQube se limita a localhost:9000. Las versiones de dependencias se incluyen en package-lock y las de análisis en 06_Evidencias/sonarqube.</w:t>
      </w:r>
    </w:p>
    <w:p>
      <w:pPr>
        <w:pStyle w:val="Heading1"/>
      </w:pPr>
      <w:r>
        <w:t>4. Diseño de casos de prueba</w:t>
      </w:r>
    </w:p>
    <w:p>
      <w:r>
        <w:rPr>
          <w:b w:val="0"/>
        </w:rPr>
        <w:t>Se conservan ocho casos maestros del plan. Las doce comprobaciones automatizadas son puntos de verificación derivados y no se cuentan como doce ejecuciones completas de esos ocho casos. Cada ficha incorpora ID, nombre, requisito, descripción, precondiciones, pasos, esperado, aceptación y datos, tal como exige la plantilla. Se agregan cuatro casos de aula equivalentes al riesgo de Cuidarte+ en la actividad de rol QA, sin afirmar que el sistema sea Atlas o Conecta+.</w:t>
      </w:r>
    </w:p>
    <w:p>
      <w:pPr>
        <w:pStyle w:val="Heading2"/>
      </w:pPr>
      <w:r>
        <w:t>CP-FUNC-001 — Autenticación y sesión JWT</w:t>
      </w:r>
    </w:p>
    <w:tbl>
      <w:tblPr>
        <w:tblStyle w:val="TableGrid"/>
        <w:tblW w:type="auto" w:w="0"/>
        <w:tblLook w:firstColumn="1" w:firstRow="1" w:lastColumn="0" w:lastRow="0" w:noHBand="0" w:noVBand="1" w:val="04A0"/>
      </w:tblPr>
      <w:tblGrid>
        <w:gridCol w:w="3249"/>
        <w:gridCol w:w="3249"/>
        <w:gridCol w:w="3249"/>
      </w:tblGrid>
      <w:tr>
        <w:tc>
          <w:tcPr>
            <w:tcW w:type="dxa" w:w="3249"/>
          </w:tcPr>
          <w:p>
            <w:r>
              <w:t>ID</w:t>
            </w:r>
          </w:p>
        </w:tc>
        <w:tc>
          <w:tcPr>
            <w:tcW w:type="dxa" w:w="3249"/>
          </w:tcPr>
          <w:p>
            <w:r>
              <w:t>NOMBRE</w:t>
            </w:r>
          </w:p>
        </w:tc>
        <w:tc>
          <w:tcPr>
            <w:tcW w:type="dxa" w:w="3249"/>
          </w:tcPr>
          <w:p>
            <w:r>
              <w:t>REQUERIMIENTO</w:t>
            </w:r>
          </w:p>
        </w:tc>
      </w:tr>
      <w:tr>
        <w:tc>
          <w:tcPr>
            <w:tcW w:type="dxa" w:w="3249"/>
          </w:tcPr>
          <w:p>
            <w:r>
              <w:t>CP-FUNC-001</w:t>
            </w:r>
          </w:p>
        </w:tc>
        <w:tc>
          <w:tcPr>
            <w:tcW w:type="dxa" w:w="3249"/>
          </w:tcPr>
          <w:p>
            <w:r>
              <w:t>Autenticación y sesión JWT</w:t>
            </w:r>
          </w:p>
        </w:tc>
        <w:tc>
          <w:tcPr>
            <w:tcW w:type="dxa" w:w="3249"/>
          </w:tcPr>
          <w:p>
            <w:r>
              <w:t>RF-1.1; NFR-SEG-9</w:t>
            </w:r>
          </w:p>
        </w:tc>
      </w:tr>
      <w:tr>
        <w:tc>
          <w:tcPr>
            <w:tcW w:type="dxa" w:w="3249"/>
          </w:tcPr>
          <w:p>
            <w:r>
              <w:t>DESCRIPCIÓN</w:t>
            </w:r>
          </w:p>
        </w:tc>
        <w:tc>
          <w:tcPr>
            <w:tcW w:type="dxa" w:w="6498"/>
            <w:gridSpan w:val="2"/>
          </w:tcPr>
          <w:p>
            <w:r>
              <w:t>Verificar autenticación y sesión jwt.</w:t>
            </w:r>
          </w:p>
        </w:tc>
      </w:tr>
      <w:tr>
        <w:tc>
          <w:tcPr>
            <w:tcW w:type="dxa" w:w="3249"/>
          </w:tcPr>
          <w:p>
            <w:r>
              <w:t>PRECONDICIONES</w:t>
            </w:r>
          </w:p>
        </w:tc>
        <w:tc>
          <w:tcPr>
            <w:tcW w:type="dxa" w:w="6498"/>
            <w:gridSpan w:val="2"/>
          </w:tcPr>
          <w:p>
            <w:r>
              <w:t>Cuenta sintética por rol y API disponible.</w:t>
            </w:r>
          </w:p>
        </w:tc>
      </w:tr>
      <w:tr>
        <w:tc>
          <w:tcPr>
            <w:tcW w:type="dxa" w:w="3249"/>
          </w:tcPr>
          <w:p>
            <w:r>
              <w:t>PASOS</w:t>
            </w:r>
          </w:p>
        </w:tc>
        <w:tc>
          <w:tcPr>
            <w:tcW w:type="dxa" w:w="6498"/>
            <w:gridSpan w:val="2"/>
          </w:tcPr>
          <w:p>
            <w:r>
              <w:t>1. Enviar login válido. 2. Verificar firma y expiración. 3. Consultar recurso permitido. 4. Repetir con credenciales incorrectas y JWT inválidos.</w:t>
            </w:r>
          </w:p>
        </w:tc>
      </w:tr>
      <w:tr>
        <w:tc>
          <w:tcPr>
            <w:tcW w:type="dxa" w:w="3249"/>
          </w:tcPr>
          <w:p>
            <w:r>
              <w:t>RESULTADO ESPERADO</w:t>
            </w:r>
          </w:p>
        </w:tc>
        <w:tc>
          <w:tcPr>
            <w:tcW w:type="dxa" w:w="6498"/>
            <w:gridSpan w:val="2"/>
          </w:tcPr>
          <w:p>
            <w:r>
              <w:t>200 y JWT verificable; 401 para credenciales o sesiones inválidas.</w:t>
            </w:r>
          </w:p>
        </w:tc>
      </w:tr>
      <w:tr>
        <w:tc>
          <w:tcPr>
            <w:tcW w:type="dxa" w:w="3249"/>
          </w:tcPr>
          <w:p>
            <w:r>
              <w:t>CRITERIO DE ACEPTACIÓN</w:t>
            </w:r>
          </w:p>
        </w:tc>
        <w:tc>
          <w:tcPr>
            <w:tcW w:type="dxa" w:w="6498"/>
            <w:gridSpan w:val="2"/>
          </w:tcPr>
          <w:p>
            <w:r>
              <w:t>Todos los escenarios deben cumplir el contrato sin exponer secretos. El hash se verifica por separado en CP-API-008.</w:t>
            </w:r>
          </w:p>
        </w:tc>
      </w:tr>
      <w:tr>
        <w:tc>
          <w:tcPr>
            <w:tcW w:type="dxa" w:w="3249"/>
          </w:tcPr>
          <w:p>
            <w:r>
              <w:t>DATOS DE PRUEBA</w:t>
            </w:r>
          </w:p>
        </w:tc>
        <w:tc>
          <w:tcPr>
            <w:tcW w:type="dxa" w:w="6498"/>
            <w:gridSpan w:val="2"/>
          </w:tcPr>
          <w:p>
            <w:r>
              <w:t>Usuario qa_admin_&lt;ejecución&gt;; contraseña sintética válida y una incorrecta; JWT alterado y vencido.</w:t>
            </w:r>
          </w:p>
        </w:tc>
      </w:tr>
      <w:tr>
        <w:tc>
          <w:tcPr>
            <w:tcW w:type="dxa" w:w="3249"/>
          </w:tcPr>
          <w:p>
            <w:r>
              <w:t>RESULTADO Y ALCANCE</w:t>
            </w:r>
          </w:p>
        </w:tc>
        <w:tc>
          <w:tcPr>
            <w:tcW w:type="dxa" w:w="6498"/>
            <w:gridSpan w:val="2"/>
          </w:tcPr>
          <w:p>
            <w:r>
              <w:t>CP-API-001, 002 y 005: PASS; política de revocación pendiente.</w:t>
            </w:r>
          </w:p>
        </w:tc>
      </w:tr>
    </w:tbl>
    <w:p/>
    <w:p>
      <w:pPr>
        <w:pStyle w:val="Heading2"/>
      </w:pPr>
      <w:r>
        <w:t>CP-FUNC-002 — Registrar examen y adjuntar PDF</w:t>
      </w:r>
    </w:p>
    <w:tbl>
      <w:tblPr>
        <w:tblStyle w:val="TableGrid"/>
        <w:tblW w:type="auto" w:w="0"/>
        <w:tblLook w:firstColumn="1" w:firstRow="1" w:lastColumn="0" w:lastRow="0" w:noHBand="0" w:noVBand="1" w:val="04A0"/>
      </w:tblPr>
      <w:tblGrid>
        <w:gridCol w:w="3249"/>
        <w:gridCol w:w="3249"/>
        <w:gridCol w:w="3249"/>
      </w:tblGrid>
      <w:tr>
        <w:tc>
          <w:tcPr>
            <w:tcW w:type="dxa" w:w="3249"/>
          </w:tcPr>
          <w:p>
            <w:r>
              <w:t>ID</w:t>
            </w:r>
          </w:p>
        </w:tc>
        <w:tc>
          <w:tcPr>
            <w:tcW w:type="dxa" w:w="3249"/>
          </w:tcPr>
          <w:p>
            <w:r>
              <w:t>NOMBRE</w:t>
            </w:r>
          </w:p>
        </w:tc>
        <w:tc>
          <w:tcPr>
            <w:tcW w:type="dxa" w:w="3249"/>
          </w:tcPr>
          <w:p>
            <w:r>
              <w:t>REQUERIMIENTO</w:t>
            </w:r>
          </w:p>
        </w:tc>
      </w:tr>
      <w:tr>
        <w:tc>
          <w:tcPr>
            <w:tcW w:type="dxa" w:w="3249"/>
          </w:tcPr>
          <w:p>
            <w:r>
              <w:t>CP-FUNC-002</w:t>
            </w:r>
          </w:p>
        </w:tc>
        <w:tc>
          <w:tcPr>
            <w:tcW w:type="dxa" w:w="3249"/>
          </w:tcPr>
          <w:p>
            <w:r>
              <w:t>Registrar examen y adjuntar PDF</w:t>
            </w:r>
          </w:p>
        </w:tc>
        <w:tc>
          <w:tcPr>
            <w:tcW w:type="dxa" w:w="3249"/>
          </w:tcPr>
          <w:p>
            <w:r>
              <w:t>RF-3.1; RF-4.3/4.4</w:t>
            </w:r>
          </w:p>
        </w:tc>
      </w:tr>
      <w:tr>
        <w:tc>
          <w:tcPr>
            <w:tcW w:type="dxa" w:w="3249"/>
          </w:tcPr>
          <w:p>
            <w:r>
              <w:t>DESCRIPCIÓN</w:t>
            </w:r>
          </w:p>
        </w:tc>
        <w:tc>
          <w:tcPr>
            <w:tcW w:type="dxa" w:w="6498"/>
            <w:gridSpan w:val="2"/>
          </w:tcPr>
          <w:p>
            <w:r>
              <w:t>Verificar registrar examen y adjuntar pdf.</w:t>
            </w:r>
          </w:p>
        </w:tc>
      </w:tr>
      <w:tr>
        <w:tc>
          <w:tcPr>
            <w:tcW w:type="dxa" w:w="3249"/>
          </w:tcPr>
          <w:p>
            <w:r>
              <w:t>PRECONDICIONES</w:t>
            </w:r>
          </w:p>
        </w:tc>
        <w:tc>
          <w:tcPr>
            <w:tcW w:type="dxa" w:w="6498"/>
            <w:gridSpan w:val="2"/>
          </w:tcPr>
          <w:p>
            <w:r>
              <w:t>Médico y dos pacientes sintéticos, tipo de examen válido.</w:t>
            </w:r>
          </w:p>
        </w:tc>
      </w:tr>
      <w:tr>
        <w:tc>
          <w:tcPr>
            <w:tcW w:type="dxa" w:w="3249"/>
          </w:tcPr>
          <w:p>
            <w:r>
              <w:t>PASOS</w:t>
            </w:r>
          </w:p>
        </w:tc>
        <w:tc>
          <w:tcPr>
            <w:tcW w:type="dxa" w:w="6498"/>
            <w:gridSpan w:val="2"/>
          </w:tcPr>
          <w:p>
            <w:r>
              <w:t>1. POST /examenes. 2. POST /documentos multipart con documento, examen_medico_id y paciente_id. 3. Descargar como titular. 4. Comparar bytes. 5. Intentar como paciente ajeno.</w:t>
            </w:r>
          </w:p>
        </w:tc>
      </w:tr>
      <w:tr>
        <w:tc>
          <w:tcPr>
            <w:tcW w:type="dxa" w:w="3249"/>
          </w:tcPr>
          <w:p>
            <w:r>
              <w:t>RESULTADO ESPERADO</w:t>
            </w:r>
          </w:p>
        </w:tc>
        <w:tc>
          <w:tcPr>
            <w:tcW w:type="dxa" w:w="6498"/>
            <w:gridSpan w:val="2"/>
          </w:tcPr>
          <w:p>
            <w:r>
              <w:t>201 para creación/carga, descarga íntegra para titular y 403 para ajeno.</w:t>
            </w:r>
          </w:p>
        </w:tc>
      </w:tr>
      <w:tr>
        <w:tc>
          <w:tcPr>
            <w:tcW w:type="dxa" w:w="3249"/>
          </w:tcPr>
          <w:p>
            <w:r>
              <w:t>CRITERIO DE ACEPTACIÓN</w:t>
            </w:r>
          </w:p>
        </w:tc>
        <w:tc>
          <w:tcPr>
            <w:tcW w:type="dxa" w:w="6498"/>
            <w:gridSpan w:val="2"/>
          </w:tcPr>
          <w:p>
            <w:r>
              <w:t>Sin alteración de bytes ni divulgación a terceros. El archivo mínimo valida transporte; no acredita validación semántica de un PDF clínico.</w:t>
            </w:r>
          </w:p>
        </w:tc>
      </w:tr>
      <w:tr>
        <w:tc>
          <w:tcPr>
            <w:tcW w:type="dxa" w:w="3249"/>
          </w:tcPr>
          <w:p>
            <w:r>
              <w:t>DATOS DE PRUEBA</w:t>
            </w:r>
          </w:p>
        </w:tc>
        <w:tc>
          <w:tcPr>
            <w:tcW w:type="dxa" w:w="6498"/>
            <w:gridSpan w:val="2"/>
          </w:tcPr>
          <w:p>
            <w:r>
              <w:t>PDF sintético de transferencia; paciente A propietario y paciente B ajeno.</w:t>
            </w:r>
          </w:p>
        </w:tc>
      </w:tr>
      <w:tr>
        <w:tc>
          <w:tcPr>
            <w:tcW w:type="dxa" w:w="3249"/>
          </w:tcPr>
          <w:p>
            <w:r>
              <w:t>RESULTADO Y ALCANCE</w:t>
            </w:r>
          </w:p>
        </w:tc>
        <w:tc>
          <w:tcPr>
            <w:tcW w:type="dxa" w:w="6498"/>
            <w:gridSpan w:val="2"/>
          </w:tcPr>
          <w:p>
            <w:r>
              <w:t>CP-API-006: PASS para transporte y autorización. UI y formatos adicionales pendientes.</w:t>
            </w:r>
          </w:p>
        </w:tc>
      </w:tr>
    </w:tbl>
    <w:p/>
    <w:p>
      <w:pPr>
        <w:pStyle w:val="Heading2"/>
      </w:pPr>
      <w:r>
        <w:t>CP-FUNC-003 — Borrado lógico y confirmación</w:t>
      </w:r>
    </w:p>
    <w:tbl>
      <w:tblPr>
        <w:tblStyle w:val="TableGrid"/>
        <w:tblW w:type="auto" w:w="0"/>
        <w:tblLook w:firstColumn="1" w:firstRow="1" w:lastColumn="0" w:lastRow="0" w:noHBand="0" w:noVBand="1" w:val="04A0"/>
      </w:tblPr>
      <w:tblGrid>
        <w:gridCol w:w="3249"/>
        <w:gridCol w:w="3249"/>
        <w:gridCol w:w="3249"/>
      </w:tblGrid>
      <w:tr>
        <w:tc>
          <w:tcPr>
            <w:tcW w:type="dxa" w:w="3249"/>
          </w:tcPr>
          <w:p>
            <w:r>
              <w:t>ID</w:t>
            </w:r>
          </w:p>
        </w:tc>
        <w:tc>
          <w:tcPr>
            <w:tcW w:type="dxa" w:w="3249"/>
          </w:tcPr>
          <w:p>
            <w:r>
              <w:t>NOMBRE</w:t>
            </w:r>
          </w:p>
        </w:tc>
        <w:tc>
          <w:tcPr>
            <w:tcW w:type="dxa" w:w="3249"/>
          </w:tcPr>
          <w:p>
            <w:r>
              <w:t>REQUERIMIENTO</w:t>
            </w:r>
          </w:p>
        </w:tc>
      </w:tr>
      <w:tr>
        <w:tc>
          <w:tcPr>
            <w:tcW w:type="dxa" w:w="3249"/>
          </w:tcPr>
          <w:p>
            <w:r>
              <w:t>CP-FUNC-003</w:t>
            </w:r>
          </w:p>
        </w:tc>
        <w:tc>
          <w:tcPr>
            <w:tcW w:type="dxa" w:w="3249"/>
          </w:tcPr>
          <w:p>
            <w:r>
              <w:t>Borrado lógico y confirmación</w:t>
            </w:r>
          </w:p>
        </w:tc>
        <w:tc>
          <w:tcPr>
            <w:tcW w:type="dxa" w:w="3249"/>
          </w:tcPr>
          <w:p>
            <w:r>
              <w:t>RF-3.3</w:t>
            </w:r>
          </w:p>
        </w:tc>
      </w:tr>
      <w:tr>
        <w:tc>
          <w:tcPr>
            <w:tcW w:type="dxa" w:w="3249"/>
          </w:tcPr>
          <w:p>
            <w:r>
              <w:t>DESCRIPCIÓN</w:t>
            </w:r>
          </w:p>
        </w:tc>
        <w:tc>
          <w:tcPr>
            <w:tcW w:type="dxa" w:w="6498"/>
            <w:gridSpan w:val="2"/>
          </w:tcPr>
          <w:p>
            <w:r>
              <w:t>Verificar borrado lógico y confirmación.</w:t>
            </w:r>
          </w:p>
        </w:tc>
      </w:tr>
      <w:tr>
        <w:tc>
          <w:tcPr>
            <w:tcW w:type="dxa" w:w="3249"/>
          </w:tcPr>
          <w:p>
            <w:r>
              <w:t>PRECONDICIONES</w:t>
            </w:r>
          </w:p>
        </w:tc>
        <w:tc>
          <w:tcPr>
            <w:tcW w:type="dxa" w:w="6498"/>
            <w:gridSpan w:val="2"/>
          </w:tcPr>
          <w:p>
            <w:r>
              <w:t>Examen sintético y administrador.</w:t>
            </w:r>
          </w:p>
        </w:tc>
      </w:tr>
      <w:tr>
        <w:tc>
          <w:tcPr>
            <w:tcW w:type="dxa" w:w="3249"/>
          </w:tcPr>
          <w:p>
            <w:r>
              <w:t>PASOS</w:t>
            </w:r>
          </w:p>
        </w:tc>
        <w:tc>
          <w:tcPr>
            <w:tcW w:type="dxa" w:w="6498"/>
            <w:gridSpan w:val="2"/>
          </w:tcPr>
          <w:p>
            <w:r>
              <w:t>1. En UI cancelar confirmación y comprobar que permanece. 2. Confirmar como administrador. 3. Consultar fila física y marca de eliminación. 4. Comprobar listados y auditoría.</w:t>
            </w:r>
          </w:p>
        </w:tc>
      </w:tr>
      <w:tr>
        <w:tc>
          <w:tcPr>
            <w:tcW w:type="dxa" w:w="3249"/>
          </w:tcPr>
          <w:p>
            <w:r>
              <w:t>RESULTADO ESPERADO</w:t>
            </w:r>
          </w:p>
        </w:tc>
        <w:tc>
          <w:tcPr>
            <w:tcW w:type="dxa" w:w="6498"/>
            <w:gridSpan w:val="2"/>
          </w:tcPr>
          <w:p>
            <w:r>
              <w:t>Fila conservada con marca lógica; cancelar no modifica; permisos insuficientes con 403.</w:t>
            </w:r>
          </w:p>
        </w:tc>
      </w:tr>
      <w:tr>
        <w:tc>
          <w:tcPr>
            <w:tcW w:type="dxa" w:w="3249"/>
          </w:tcPr>
          <w:p>
            <w:r>
              <w:t>CRITERIO DE ACEPTACIÓN</w:t>
            </w:r>
          </w:p>
        </w:tc>
        <w:tc>
          <w:tcPr>
            <w:tcW w:type="dxa" w:w="6498"/>
            <w:gridSpan w:val="2"/>
          </w:tcPr>
          <w:p>
            <w:r>
              <w:t>No se permite eliminación física. La prueba API comprueba persistencia; la confirmación visual se valida aparte.</w:t>
            </w:r>
          </w:p>
        </w:tc>
      </w:tr>
      <w:tr>
        <w:tc>
          <w:tcPr>
            <w:tcW w:type="dxa" w:w="3249"/>
          </w:tcPr>
          <w:p>
            <w:r>
              <w:t>DATOS DE PRUEBA</w:t>
            </w:r>
          </w:p>
        </w:tc>
        <w:tc>
          <w:tcPr>
            <w:tcW w:type="dxa" w:w="6498"/>
            <w:gridSpan w:val="2"/>
          </w:tcPr>
          <w:p>
            <w:r>
              <w:t>Examen creado por el script; paciente asociado.</w:t>
            </w:r>
          </w:p>
        </w:tc>
      </w:tr>
      <w:tr>
        <w:tc>
          <w:tcPr>
            <w:tcW w:type="dxa" w:w="3249"/>
          </w:tcPr>
          <w:p>
            <w:r>
              <w:t>RESULTADO Y ALCANCE</w:t>
            </w:r>
          </w:p>
        </w:tc>
        <w:tc>
          <w:tcPr>
            <w:tcW w:type="dxa" w:w="6498"/>
            <w:gridSpan w:val="2"/>
          </w:tcPr>
          <w:p>
            <w:r>
              <w:t>CP-API-007: FAIL, cero filas tras DELETE. Confirmación UI: antecedente D3, no reejecutada como caso completo.</w:t>
            </w:r>
          </w:p>
        </w:tc>
      </w:tr>
    </w:tbl>
    <w:p/>
    <w:p>
      <w:pPr>
        <w:pStyle w:val="Heading2"/>
      </w:pPr>
      <w:r>
        <w:t>CP-SEG-001 — Protección frente a SQLi en entradas reales</w:t>
      </w:r>
    </w:p>
    <w:tbl>
      <w:tblPr>
        <w:tblStyle w:val="TableGrid"/>
        <w:tblW w:type="auto" w:w="0"/>
        <w:tblLook w:firstColumn="1" w:firstRow="1" w:lastColumn="0" w:lastRow="0" w:noHBand="0" w:noVBand="1" w:val="04A0"/>
      </w:tblPr>
      <w:tblGrid>
        <w:gridCol w:w="3249"/>
        <w:gridCol w:w="3249"/>
        <w:gridCol w:w="3249"/>
      </w:tblGrid>
      <w:tr>
        <w:tc>
          <w:tcPr>
            <w:tcW w:type="dxa" w:w="3249"/>
          </w:tcPr>
          <w:p>
            <w:r>
              <w:t>ID</w:t>
            </w:r>
          </w:p>
        </w:tc>
        <w:tc>
          <w:tcPr>
            <w:tcW w:type="dxa" w:w="3249"/>
          </w:tcPr>
          <w:p>
            <w:r>
              <w:t>NOMBRE</w:t>
            </w:r>
          </w:p>
        </w:tc>
        <w:tc>
          <w:tcPr>
            <w:tcW w:type="dxa" w:w="3249"/>
          </w:tcPr>
          <w:p>
            <w:r>
              <w:t>REQUERIMIENTO</w:t>
            </w:r>
          </w:p>
        </w:tc>
      </w:tr>
      <w:tr>
        <w:tc>
          <w:tcPr>
            <w:tcW w:type="dxa" w:w="3249"/>
          </w:tcPr>
          <w:p>
            <w:r>
              <w:t>CP-SEG-001</w:t>
            </w:r>
          </w:p>
        </w:tc>
        <w:tc>
          <w:tcPr>
            <w:tcW w:type="dxa" w:w="3249"/>
          </w:tcPr>
          <w:p>
            <w:r>
              <w:t>Protección frente a SQLi en entradas reales</w:t>
            </w:r>
          </w:p>
        </w:tc>
        <w:tc>
          <w:tcPr>
            <w:tcW w:type="dxa" w:w="3249"/>
          </w:tcPr>
          <w:p>
            <w:r>
              <w:t>NFR-SEG-5</w:t>
            </w:r>
          </w:p>
        </w:tc>
      </w:tr>
      <w:tr>
        <w:tc>
          <w:tcPr>
            <w:tcW w:type="dxa" w:w="3249"/>
          </w:tcPr>
          <w:p>
            <w:r>
              <w:t>DESCRIPCIÓN</w:t>
            </w:r>
          </w:p>
        </w:tc>
        <w:tc>
          <w:tcPr>
            <w:tcW w:type="dxa" w:w="6498"/>
            <w:gridSpan w:val="2"/>
          </w:tcPr>
          <w:p>
            <w:r>
              <w:t>Verificar protección frente a sqli en entradas reales.</w:t>
            </w:r>
          </w:p>
        </w:tc>
      </w:tr>
      <w:tr>
        <w:tc>
          <w:tcPr>
            <w:tcW w:type="dxa" w:w="3249"/>
          </w:tcPr>
          <w:p>
            <w:r>
              <w:t>PRECONDICIONES</w:t>
            </w:r>
          </w:p>
        </w:tc>
        <w:tc>
          <w:tcPr>
            <w:tcW w:type="dxa" w:w="6498"/>
            <w:gridSpan w:val="2"/>
          </w:tcPr>
          <w:p>
            <w:r>
              <w:t>Ruta de búsqueda de servidor identificada; instancia sintética.</w:t>
            </w:r>
          </w:p>
        </w:tc>
      </w:tr>
      <w:tr>
        <w:tc>
          <w:tcPr>
            <w:tcW w:type="dxa" w:w="3249"/>
          </w:tcPr>
          <w:p>
            <w:r>
              <w:t>PASOS</w:t>
            </w:r>
          </w:p>
        </w:tc>
        <w:tc>
          <w:tcPr>
            <w:tcW w:type="dxa" w:w="6498"/>
            <w:gridSpan w:val="2"/>
          </w:tcPr>
          <w:p>
            <w:r>
              <w:t>1. Localizar si la búsqueda se ejecuta en cliente o servidor. 2. Enviar entradas al parámetro real. 3. Comparar resultados. 4. Revisar parametrización y errores.</w:t>
            </w:r>
          </w:p>
        </w:tc>
      </w:tr>
      <w:tr>
        <w:tc>
          <w:tcPr>
            <w:tcW w:type="dxa" w:w="3249"/>
          </w:tcPr>
          <w:p>
            <w:r>
              <w:t>RESULTADO ESPERADO</w:t>
            </w:r>
          </w:p>
        </w:tc>
        <w:tc>
          <w:tcPr>
            <w:tcW w:type="dxa" w:w="6498"/>
            <w:gridSpan w:val="2"/>
          </w:tcPr>
          <w:p>
            <w:r>
              <w:t>Sin ampliación de acceso, cambios no autorizados ni errores SQL expuestos.</w:t>
            </w:r>
          </w:p>
        </w:tc>
      </w:tr>
      <w:tr>
        <w:tc>
          <w:tcPr>
            <w:tcW w:type="dxa" w:w="3249"/>
          </w:tcPr>
          <w:p>
            <w:r>
              <w:t>CRITERIO DE ACEPTACIÓN</w:t>
            </w:r>
          </w:p>
        </w:tc>
        <w:tc>
          <w:tcPr>
            <w:tcW w:type="dxa" w:w="6498"/>
            <w:gridSpan w:val="2"/>
          </w:tcPr>
          <w:p>
            <w:r>
              <w:t>Los valores se parametrizan; no se presume vulnerabilidad por concatenar fragmentos fijos.</w:t>
            </w:r>
          </w:p>
        </w:tc>
      </w:tr>
      <w:tr>
        <w:tc>
          <w:tcPr>
            <w:tcW w:type="dxa" w:w="3249"/>
          </w:tcPr>
          <w:p>
            <w:r>
              <w:t>DATOS DE PRUEBA</w:t>
            </w:r>
          </w:p>
        </w:tc>
        <w:tc>
          <w:tcPr>
            <w:tcW w:type="dxa" w:w="6498"/>
            <w:gridSpan w:val="2"/>
          </w:tcPr>
          <w:p>
            <w:r>
              <w:t>Texto normal, apóstrofe y entrada no destructiva de prueba.</w:t>
            </w:r>
          </w:p>
        </w:tc>
      </w:tr>
      <w:tr>
        <w:tc>
          <w:tcPr>
            <w:tcW w:type="dxa" w:w="3249"/>
          </w:tcPr>
          <w:p>
            <w:r>
              <w:t>RESULTADO Y ALCANCE</w:t>
            </w:r>
          </w:p>
        </w:tc>
        <w:tc>
          <w:tcPr>
            <w:tcW w:type="dxa" w:w="6498"/>
            <w:gridSpan w:val="2"/>
          </w:tcPr>
          <w:p>
            <w:r>
              <w:t>Prueba dinámica específica BLOCKED: no se identificó parámetro de búsqueda textual en GET /examenes. Revisión manual parcial: parámetros observados.</w:t>
            </w:r>
          </w:p>
        </w:tc>
      </w:tr>
    </w:tbl>
    <w:p/>
    <w:p>
      <w:pPr>
        <w:pStyle w:val="Heading2"/>
      </w:pPr>
      <w:r>
        <w:t>CP-SEG-002 — RBAC e IDOR</w:t>
      </w:r>
    </w:p>
    <w:tbl>
      <w:tblPr>
        <w:tblStyle w:val="TableGrid"/>
        <w:tblW w:type="auto" w:w="0"/>
        <w:tblLook w:firstColumn="1" w:firstRow="1" w:lastColumn="0" w:lastRow="0" w:noHBand="0" w:noVBand="1" w:val="04A0"/>
      </w:tblPr>
      <w:tblGrid>
        <w:gridCol w:w="3249"/>
        <w:gridCol w:w="3249"/>
        <w:gridCol w:w="3249"/>
      </w:tblGrid>
      <w:tr>
        <w:tc>
          <w:tcPr>
            <w:tcW w:type="dxa" w:w="3249"/>
          </w:tcPr>
          <w:p>
            <w:r>
              <w:t>ID</w:t>
            </w:r>
          </w:p>
        </w:tc>
        <w:tc>
          <w:tcPr>
            <w:tcW w:type="dxa" w:w="3249"/>
          </w:tcPr>
          <w:p>
            <w:r>
              <w:t>NOMBRE</w:t>
            </w:r>
          </w:p>
        </w:tc>
        <w:tc>
          <w:tcPr>
            <w:tcW w:type="dxa" w:w="3249"/>
          </w:tcPr>
          <w:p>
            <w:r>
              <w:t>REQUERIMIENTO</w:t>
            </w:r>
          </w:p>
        </w:tc>
      </w:tr>
      <w:tr>
        <w:tc>
          <w:tcPr>
            <w:tcW w:type="dxa" w:w="3249"/>
          </w:tcPr>
          <w:p>
            <w:r>
              <w:t>CP-SEG-002</w:t>
            </w:r>
          </w:p>
        </w:tc>
        <w:tc>
          <w:tcPr>
            <w:tcW w:type="dxa" w:w="3249"/>
          </w:tcPr>
          <w:p>
            <w:r>
              <w:t>RBAC e IDOR</w:t>
            </w:r>
          </w:p>
        </w:tc>
        <w:tc>
          <w:tcPr>
            <w:tcW w:type="dxa" w:w="3249"/>
          </w:tcPr>
          <w:p>
            <w:r>
              <w:t>NFR-SEG-4</w:t>
            </w:r>
          </w:p>
        </w:tc>
      </w:tr>
      <w:tr>
        <w:tc>
          <w:tcPr>
            <w:tcW w:type="dxa" w:w="3249"/>
          </w:tcPr>
          <w:p>
            <w:r>
              <w:t>DESCRIPCIÓN</w:t>
            </w:r>
          </w:p>
        </w:tc>
        <w:tc>
          <w:tcPr>
            <w:tcW w:type="dxa" w:w="6498"/>
            <w:gridSpan w:val="2"/>
          </w:tcPr>
          <w:p>
            <w:r>
              <w:t>Verificar rbac e idor.</w:t>
            </w:r>
          </w:p>
        </w:tc>
      </w:tr>
      <w:tr>
        <w:tc>
          <w:tcPr>
            <w:tcW w:type="dxa" w:w="3249"/>
          </w:tcPr>
          <w:p>
            <w:r>
              <w:t>PRECONDICIONES</w:t>
            </w:r>
          </w:p>
        </w:tc>
        <w:tc>
          <w:tcPr>
            <w:tcW w:type="dxa" w:w="6498"/>
            <w:gridSpan w:val="2"/>
          </w:tcPr>
          <w:p>
            <w:r>
              <w:t>Pacientes A y B con recursos separados.</w:t>
            </w:r>
          </w:p>
        </w:tc>
      </w:tr>
      <w:tr>
        <w:tc>
          <w:tcPr>
            <w:tcW w:type="dxa" w:w="3249"/>
          </w:tcPr>
          <w:p>
            <w:r>
              <w:t>PASOS</w:t>
            </w:r>
          </w:p>
        </w:tc>
        <w:tc>
          <w:tcPr>
            <w:tcW w:type="dxa" w:w="6498"/>
            <w:gridSpan w:val="2"/>
          </w:tcPr>
          <w:p>
            <w:r>
              <w:t>1. Acceder a recurso propio. 2. Acceder como B a /examenes/paciente/:id y al documento. 3. Probar edición privilegiada y eliminación sin sesión.</w:t>
            </w:r>
          </w:p>
        </w:tc>
      </w:tr>
      <w:tr>
        <w:tc>
          <w:tcPr>
            <w:tcW w:type="dxa" w:w="3249"/>
          </w:tcPr>
          <w:p>
            <w:r>
              <w:t>RESULTADO ESPERADO</w:t>
            </w:r>
          </w:p>
        </w:tc>
        <w:tc>
          <w:tcPr>
            <w:tcW w:type="dxa" w:w="6498"/>
            <w:gridSpan w:val="2"/>
          </w:tcPr>
          <w:p>
            <w:r>
              <w:t>Acceso propio permitido; 403 para ajeno y 401 sin sesión; rol solo modificable por administrador.</w:t>
            </w:r>
          </w:p>
        </w:tc>
      </w:tr>
      <w:tr>
        <w:tc>
          <w:tcPr>
            <w:tcW w:type="dxa" w:w="3249"/>
          </w:tcPr>
          <w:p>
            <w:r>
              <w:t>CRITERIO DE ACEPTACIÓN</w:t>
            </w:r>
          </w:p>
        </w:tc>
        <w:tc>
          <w:tcPr>
            <w:tcW w:type="dxa" w:w="6498"/>
            <w:gridSpan w:val="2"/>
          </w:tcPr>
          <w:p>
            <w:r>
              <w:t>Todos los recursos y operaciones deben aplicar autorización del servidor. En /examenes/:id el código usa 404 como ocultación, pendiente de acordar contrato.</w:t>
            </w:r>
          </w:p>
        </w:tc>
      </w:tr>
      <w:tr>
        <w:tc>
          <w:tcPr>
            <w:tcW w:type="dxa" w:w="3249"/>
          </w:tcPr>
          <w:p>
            <w:r>
              <w:t>DATOS DE PRUEBA</w:t>
            </w:r>
          </w:p>
        </w:tc>
        <w:tc>
          <w:tcPr>
            <w:tcW w:type="dxa" w:w="6498"/>
            <w:gridSpan w:val="2"/>
          </w:tcPr>
          <w:p>
            <w:r>
              <w:t>JWT de A y B; examen y PDF de A.</w:t>
            </w:r>
          </w:p>
        </w:tc>
      </w:tr>
      <w:tr>
        <w:tc>
          <w:tcPr>
            <w:tcW w:type="dxa" w:w="3249"/>
          </w:tcPr>
          <w:p>
            <w:r>
              <w:t>RESULTADO Y ALCANCE</w:t>
            </w:r>
          </w:p>
        </w:tc>
        <w:tc>
          <w:tcPr>
            <w:tcW w:type="dxa" w:w="6498"/>
            <w:gridSpan w:val="2"/>
          </w:tcPr>
          <w:p>
            <w:r>
              <w:t>CP-API-004 y autorización PDF PASS; CP-API-010 y 012 FAIL. El caso amplio no se aprueba con una sola ruta correcta.</w:t>
            </w:r>
          </w:p>
        </w:tc>
      </w:tr>
    </w:tbl>
    <w:p/>
    <w:p>
      <w:pPr>
        <w:pStyle w:val="Heading2"/>
      </w:pPr>
      <w:r>
        <w:t>CP-PERF-001 — Capacidad y rendimiento</w:t>
      </w:r>
    </w:p>
    <w:tbl>
      <w:tblPr>
        <w:tblStyle w:val="TableGrid"/>
        <w:tblW w:type="auto" w:w="0"/>
        <w:tblLook w:firstColumn="1" w:firstRow="1" w:lastColumn="0" w:lastRow="0" w:noHBand="0" w:noVBand="1" w:val="04A0"/>
      </w:tblPr>
      <w:tblGrid>
        <w:gridCol w:w="3249"/>
        <w:gridCol w:w="3249"/>
        <w:gridCol w:w="3249"/>
      </w:tblGrid>
      <w:tr>
        <w:tc>
          <w:tcPr>
            <w:tcW w:type="dxa" w:w="3249"/>
          </w:tcPr>
          <w:p>
            <w:r>
              <w:t>ID</w:t>
            </w:r>
          </w:p>
        </w:tc>
        <w:tc>
          <w:tcPr>
            <w:tcW w:type="dxa" w:w="3249"/>
          </w:tcPr>
          <w:p>
            <w:r>
              <w:t>NOMBRE</w:t>
            </w:r>
          </w:p>
        </w:tc>
        <w:tc>
          <w:tcPr>
            <w:tcW w:type="dxa" w:w="3249"/>
          </w:tcPr>
          <w:p>
            <w:r>
              <w:t>REQUERIMIENTO</w:t>
            </w:r>
          </w:p>
        </w:tc>
      </w:tr>
      <w:tr>
        <w:tc>
          <w:tcPr>
            <w:tcW w:type="dxa" w:w="3249"/>
          </w:tcPr>
          <w:p>
            <w:r>
              <w:t>CP-PERF-001</w:t>
            </w:r>
          </w:p>
        </w:tc>
        <w:tc>
          <w:tcPr>
            <w:tcW w:type="dxa" w:w="3249"/>
          </w:tcPr>
          <w:p>
            <w:r>
              <w:t>Capacidad y rendimiento</w:t>
            </w:r>
          </w:p>
        </w:tc>
        <w:tc>
          <w:tcPr>
            <w:tcW w:type="dxa" w:w="3249"/>
          </w:tcPr>
          <w:p>
            <w:r>
              <w:t>NFR-PERF-1/2/3</w:t>
            </w:r>
          </w:p>
        </w:tc>
      </w:tr>
      <w:tr>
        <w:tc>
          <w:tcPr>
            <w:tcW w:type="dxa" w:w="3249"/>
          </w:tcPr>
          <w:p>
            <w:r>
              <w:t>DESCRIPCIÓN</w:t>
            </w:r>
          </w:p>
        </w:tc>
        <w:tc>
          <w:tcPr>
            <w:tcW w:type="dxa" w:w="6498"/>
            <w:gridSpan w:val="2"/>
          </w:tcPr>
          <w:p>
            <w:r>
              <w:t>Verificar capacidad y rendimiento.</w:t>
            </w:r>
          </w:p>
        </w:tc>
      </w:tr>
      <w:tr>
        <w:tc>
          <w:tcPr>
            <w:tcW w:type="dxa" w:w="3249"/>
          </w:tcPr>
          <w:p>
            <w:r>
              <w:t>PRECONDICIONES</w:t>
            </w:r>
          </w:p>
        </w:tc>
        <w:tc>
          <w:tcPr>
            <w:tcW w:type="dxa" w:w="6498"/>
            <w:gridSpan w:val="2"/>
          </w:tcPr>
          <w:p>
            <w:r>
              <w:t>Host, base y API aislados; dataset y mezcla representativos.</w:t>
            </w:r>
          </w:p>
        </w:tc>
      </w:tr>
      <w:tr>
        <w:tc>
          <w:tcPr>
            <w:tcW w:type="dxa" w:w="3249"/>
          </w:tcPr>
          <w:p>
            <w:r>
              <w:t>PASOS</w:t>
            </w:r>
          </w:p>
        </w:tc>
        <w:tc>
          <w:tcPr>
            <w:tcW w:type="dxa" w:w="6498"/>
            <w:gridSpan w:val="2"/>
          </w:tcPr>
          <w:p>
            <w:r>
              <w:t>1. Registrar entorno. 2. Ejecutar lote y capturar tiempos/HTTP. 3. Evaluar p95 y errores. 4. Ampliar a 10 minutos y mezcla clínica en JMeter. 5. Medir dashboard con navegador.</w:t>
            </w:r>
          </w:p>
        </w:tc>
      </w:tr>
      <w:tr>
        <w:tc>
          <w:tcPr>
            <w:tcW w:type="dxa" w:w="3249"/>
          </w:tcPr>
          <w:p>
            <w:r>
              <w:t>RESULTADO ESPERADO</w:t>
            </w:r>
          </w:p>
        </w:tc>
        <w:tc>
          <w:tcPr>
            <w:tcW w:type="dxa" w:w="6498"/>
            <w:gridSpan w:val="2"/>
          </w:tcPr>
          <w:p>
            <w:r>
              <w:t>API menor de 300 ms y cero 5xx; dashboard menor de 2 s.</w:t>
            </w:r>
          </w:p>
        </w:tc>
      </w:tr>
      <w:tr>
        <w:tc>
          <w:tcPr>
            <w:tcW w:type="dxa" w:w="3249"/>
          </w:tcPr>
          <w:p>
            <w:r>
              <w:t>CRITERIO DE ACEPTACIÓN</w:t>
            </w:r>
          </w:p>
        </w:tc>
        <w:tc>
          <w:tcPr>
            <w:tcW w:type="dxa" w:w="6498"/>
            <w:gridSpan w:val="2"/>
          </w:tcPr>
          <w:p>
            <w:r>
              <w:t>El lote breve solo permite concluir sobre su alcance; no acredita estabilidad prolongada, carga de UI o SLA mensual.</w:t>
            </w:r>
          </w:p>
        </w:tc>
      </w:tr>
      <w:tr>
        <w:tc>
          <w:tcPr>
            <w:tcW w:type="dxa" w:w="3249"/>
          </w:tcPr>
          <w:p>
            <w:r>
              <w:t>DATOS DE PRUEBA</w:t>
            </w:r>
          </w:p>
        </w:tc>
        <w:tc>
          <w:tcPr>
            <w:tcW w:type="dxa" w:w="6498"/>
            <w:gridSpan w:val="2"/>
          </w:tcPr>
          <w:p>
            <w:r>
              <w:t>200 solicitudes simultáneas GET /examenes con JWT sintético; extensión planificada a 200 usuarios sostenidos.</w:t>
            </w:r>
          </w:p>
        </w:tc>
      </w:tr>
      <w:tr>
        <w:tc>
          <w:tcPr>
            <w:tcW w:type="dxa" w:w="3249"/>
          </w:tcPr>
          <w:p>
            <w:r>
              <w:t>RESULTADO Y ALCANCE</w:t>
            </w:r>
          </w:p>
        </w:tc>
        <w:tc>
          <w:tcPr>
            <w:tcW w:type="dxa" w:w="6498"/>
            <w:gridSpan w:val="2"/>
          </w:tcPr>
          <w:p>
            <w:r>
              <w:t>FAIL en lote real: p95 8698 ms, 0 errores. JMeter sostenido pendiente.</w:t>
            </w:r>
          </w:p>
        </w:tc>
      </w:tr>
    </w:tbl>
    <w:p/>
    <w:p>
      <w:pPr>
        <w:pStyle w:val="Heading2"/>
      </w:pPr>
      <w:r>
        <w:t>CP-USAB-001 — Accesibilidad y uso por adultos mayores</w:t>
      </w:r>
    </w:p>
    <w:tbl>
      <w:tblPr>
        <w:tblStyle w:val="TableGrid"/>
        <w:tblW w:type="auto" w:w="0"/>
        <w:tblLook w:firstColumn="1" w:firstRow="1" w:lastColumn="0" w:lastRow="0" w:noHBand="0" w:noVBand="1" w:val="04A0"/>
      </w:tblPr>
      <w:tblGrid>
        <w:gridCol w:w="3249"/>
        <w:gridCol w:w="3249"/>
        <w:gridCol w:w="3249"/>
      </w:tblGrid>
      <w:tr>
        <w:tc>
          <w:tcPr>
            <w:tcW w:type="dxa" w:w="3249"/>
          </w:tcPr>
          <w:p>
            <w:r>
              <w:t>ID</w:t>
            </w:r>
          </w:p>
        </w:tc>
        <w:tc>
          <w:tcPr>
            <w:tcW w:type="dxa" w:w="3249"/>
          </w:tcPr>
          <w:p>
            <w:r>
              <w:t>NOMBRE</w:t>
            </w:r>
          </w:p>
        </w:tc>
        <w:tc>
          <w:tcPr>
            <w:tcW w:type="dxa" w:w="3249"/>
          </w:tcPr>
          <w:p>
            <w:r>
              <w:t>REQUERIMIENTO</w:t>
            </w:r>
          </w:p>
        </w:tc>
      </w:tr>
      <w:tr>
        <w:tc>
          <w:tcPr>
            <w:tcW w:type="dxa" w:w="3249"/>
          </w:tcPr>
          <w:p>
            <w:r>
              <w:t>CP-USAB-001</w:t>
            </w:r>
          </w:p>
        </w:tc>
        <w:tc>
          <w:tcPr>
            <w:tcW w:type="dxa" w:w="3249"/>
          </w:tcPr>
          <w:p>
            <w:r>
              <w:t>Accesibilidad y uso por adultos mayores</w:t>
            </w:r>
          </w:p>
        </w:tc>
        <w:tc>
          <w:tcPr>
            <w:tcW w:type="dxa" w:w="3249"/>
          </w:tcPr>
          <w:p>
            <w:r>
              <w:t>NFR-USAB-1; NFR-COMPAT-2</w:t>
            </w:r>
          </w:p>
        </w:tc>
      </w:tr>
      <w:tr>
        <w:tc>
          <w:tcPr>
            <w:tcW w:type="dxa" w:w="3249"/>
          </w:tcPr>
          <w:p>
            <w:r>
              <w:t>DESCRIPCIÓN</w:t>
            </w:r>
          </w:p>
        </w:tc>
        <w:tc>
          <w:tcPr>
            <w:tcW w:type="dxa" w:w="6498"/>
            <w:gridSpan w:val="2"/>
          </w:tcPr>
          <w:p>
            <w:r>
              <w:t>Verificar accesibilidad y uso por adultos mayores.</w:t>
            </w:r>
          </w:p>
        </w:tc>
      </w:tr>
      <w:tr>
        <w:tc>
          <w:tcPr>
            <w:tcW w:type="dxa" w:w="3249"/>
          </w:tcPr>
          <w:p>
            <w:r>
              <w:t>PRECONDICIONES</w:t>
            </w:r>
          </w:p>
        </w:tc>
        <w:tc>
          <w:tcPr>
            <w:tcW w:type="dxa" w:w="6498"/>
            <w:gridSpan w:val="2"/>
          </w:tcPr>
          <w:p>
            <w:r>
              <w:t>Pantallas críticas, teclado, lector de pantalla y evaluación informada.</w:t>
            </w:r>
          </w:p>
        </w:tc>
      </w:tr>
      <w:tr>
        <w:tc>
          <w:tcPr>
            <w:tcW w:type="dxa" w:w="3249"/>
          </w:tcPr>
          <w:p>
            <w:r>
              <w:t>PASOS</w:t>
            </w:r>
          </w:p>
        </w:tc>
        <w:tc>
          <w:tcPr>
            <w:tcW w:type="dxa" w:w="6498"/>
            <w:gridSpan w:val="2"/>
          </w:tcPr>
          <w:p>
            <w:r>
              <w:t>1. Recorrer con teclado. 2. Revisar foco, etiquetas y errores. 3. Medir contraste. 4. Ampliar 200%. 5. Observar tareas con adultos mayores.</w:t>
            </w:r>
          </w:p>
        </w:tc>
      </w:tr>
      <w:tr>
        <w:tc>
          <w:tcPr>
            <w:tcW w:type="dxa" w:w="3249"/>
          </w:tcPr>
          <w:p>
            <w:r>
              <w:t>RESULTADO ESPERADO</w:t>
            </w:r>
          </w:p>
        </w:tc>
        <w:tc>
          <w:tcPr>
            <w:tcW w:type="dxa" w:w="6498"/>
            <w:gridSpan w:val="2"/>
          </w:tcPr>
          <w:p>
            <w:r>
              <w:t>Contraste 4,5:1 en texto normal y 3:1 en grande; contenido y función conservados; sin bloqueos.</w:t>
            </w:r>
          </w:p>
        </w:tc>
      </w:tr>
      <w:tr>
        <w:tc>
          <w:tcPr>
            <w:tcW w:type="dxa" w:w="3249"/>
          </w:tcPr>
          <w:p>
            <w:r>
              <w:t>CRITERIO DE ACEPTACIÓN</w:t>
            </w:r>
          </w:p>
        </w:tc>
        <w:tc>
          <w:tcPr>
            <w:tcW w:type="dxa" w:w="6498"/>
            <w:gridSpan w:val="2"/>
          </w:tcPr>
          <w:p>
            <w:r>
              <w:t>Todos los criterios WCAG 2.1 AA aplicables al alcance deben documentarse, con revisión manual y usuarios.</w:t>
            </w:r>
          </w:p>
        </w:tc>
      </w:tr>
      <w:tr>
        <w:tc>
          <w:tcPr>
            <w:tcW w:type="dxa" w:w="3249"/>
          </w:tcPr>
          <w:p>
            <w:r>
              <w:t>DATOS DE PRUEBA</w:t>
            </w:r>
          </w:p>
        </w:tc>
        <w:tc>
          <w:tcPr>
            <w:tcW w:type="dxa" w:w="6498"/>
            <w:gridSpan w:val="2"/>
          </w:tcPr>
          <w:p>
            <w:r>
              <w:t>Escritorio y móvil; zoom 200%; tareas de login, consulta y descarga.</w:t>
            </w:r>
          </w:p>
        </w:tc>
      </w:tr>
      <w:tr>
        <w:tc>
          <w:tcPr>
            <w:tcW w:type="dxa" w:w="3249"/>
          </w:tcPr>
          <w:p>
            <w:r>
              <w:t>RESULTADO Y ALCANCE</w:t>
            </w:r>
          </w:p>
        </w:tc>
        <w:tc>
          <w:tcPr>
            <w:tcW w:type="dxa" w:w="6498"/>
            <w:gridSpan w:val="2"/>
          </w:tcPr>
          <w:p>
            <w:r>
              <w:t>BLOCKED para certificación AA: no se realizó auditoría completa ni estudio con usuarios. Capturas no bastan.</w:t>
            </w:r>
          </w:p>
        </w:tc>
      </w:tr>
    </w:tbl>
    <w:p/>
    <w:p>
      <w:pPr>
        <w:pStyle w:val="Heading2"/>
      </w:pPr>
      <w:r>
        <w:t>CP-CUMP-001 — Trazabilidad de cambios de rol</w:t>
      </w:r>
    </w:p>
    <w:tbl>
      <w:tblPr>
        <w:tblStyle w:val="TableGrid"/>
        <w:tblW w:type="auto" w:w="0"/>
        <w:tblLook w:firstColumn="1" w:firstRow="1" w:lastColumn="0" w:lastRow="0" w:noHBand="0" w:noVBand="1" w:val="04A0"/>
      </w:tblPr>
      <w:tblGrid>
        <w:gridCol w:w="3249"/>
        <w:gridCol w:w="3249"/>
        <w:gridCol w:w="3249"/>
      </w:tblGrid>
      <w:tr>
        <w:tc>
          <w:tcPr>
            <w:tcW w:type="dxa" w:w="3249"/>
          </w:tcPr>
          <w:p>
            <w:r>
              <w:t>ID</w:t>
            </w:r>
          </w:p>
        </w:tc>
        <w:tc>
          <w:tcPr>
            <w:tcW w:type="dxa" w:w="3249"/>
          </w:tcPr>
          <w:p>
            <w:r>
              <w:t>NOMBRE</w:t>
            </w:r>
          </w:p>
        </w:tc>
        <w:tc>
          <w:tcPr>
            <w:tcW w:type="dxa" w:w="3249"/>
          </w:tcPr>
          <w:p>
            <w:r>
              <w:t>REQUERIMIENTO</w:t>
            </w:r>
          </w:p>
        </w:tc>
      </w:tr>
      <w:tr>
        <w:tc>
          <w:tcPr>
            <w:tcW w:type="dxa" w:w="3249"/>
          </w:tcPr>
          <w:p>
            <w:r>
              <w:t>CP-CUMP-001</w:t>
            </w:r>
          </w:p>
        </w:tc>
        <w:tc>
          <w:tcPr>
            <w:tcW w:type="dxa" w:w="3249"/>
          </w:tcPr>
          <w:p>
            <w:r>
              <w:t>Trazabilidad de cambios de rol</w:t>
            </w:r>
          </w:p>
        </w:tc>
        <w:tc>
          <w:tcPr>
            <w:tcW w:type="dxa" w:w="3249"/>
          </w:tcPr>
          <w:p>
            <w:r>
              <w:t>RF-5.1</w:t>
            </w:r>
          </w:p>
        </w:tc>
      </w:tr>
      <w:tr>
        <w:tc>
          <w:tcPr>
            <w:tcW w:type="dxa" w:w="3249"/>
          </w:tcPr>
          <w:p>
            <w:r>
              <w:t>DESCRIPCIÓN</w:t>
            </w:r>
          </w:p>
        </w:tc>
        <w:tc>
          <w:tcPr>
            <w:tcW w:type="dxa" w:w="6498"/>
            <w:gridSpan w:val="2"/>
          </w:tcPr>
          <w:p>
            <w:r>
              <w:t>Verificar trazabilidad de cambios de rol.</w:t>
            </w:r>
          </w:p>
        </w:tc>
      </w:tr>
      <w:tr>
        <w:tc>
          <w:tcPr>
            <w:tcW w:type="dxa" w:w="3249"/>
          </w:tcPr>
          <w:p>
            <w:r>
              <w:t>PRECONDICIONES</w:t>
            </w:r>
          </w:p>
        </w:tc>
        <w:tc>
          <w:tcPr>
            <w:tcW w:type="dxa" w:w="6498"/>
            <w:gridSpan w:val="2"/>
          </w:tcPr>
          <w:p>
            <w:r>
              <w:t>Administrador, usuario sintético y acceso de consulta a base QA.</w:t>
            </w:r>
          </w:p>
        </w:tc>
      </w:tr>
      <w:tr>
        <w:tc>
          <w:tcPr>
            <w:tcW w:type="dxa" w:w="3249"/>
          </w:tcPr>
          <w:p>
            <w:r>
              <w:t>PASOS</w:t>
            </w:r>
          </w:p>
        </w:tc>
        <w:tc>
          <w:tcPr>
            <w:tcW w:type="dxa" w:w="6498"/>
            <w:gridSpan w:val="2"/>
          </w:tcPr>
          <w:p>
            <w:r>
              <w:t>1. PUT /usuarios/:id con rol_id. 2. Consultar evento. 3. Revisar actor, acción, fecha y origen. 4. Ensayar permisos UPDATE/DELETE y fallo de auditoría con rol de aplicación.</w:t>
            </w:r>
          </w:p>
        </w:tc>
      </w:tr>
      <w:tr>
        <w:tc>
          <w:tcPr>
            <w:tcW w:type="dxa" w:w="3249"/>
          </w:tcPr>
          <w:p>
            <w:r>
              <w:t>RESULTADO ESPERADO</w:t>
            </w:r>
          </w:p>
        </w:tc>
        <w:tc>
          <w:tcPr>
            <w:tcW w:type="dxa" w:w="6498"/>
            <w:gridSpan w:val="2"/>
          </w:tcPr>
          <w:p>
            <w:r>
              <w:t>Cambio con traza completa y origen confiable; protección frente a alteración y atomicidad.</w:t>
            </w:r>
          </w:p>
        </w:tc>
      </w:tr>
      <w:tr>
        <w:tc>
          <w:tcPr>
            <w:tcW w:type="dxa" w:w="3249"/>
          </w:tcPr>
          <w:p>
            <w:r>
              <w:t>CRITERIO DE ACEPTACIÓN</w:t>
            </w:r>
          </w:p>
        </w:tc>
        <w:tc>
          <w:tcPr>
            <w:tcW w:type="dxa" w:w="6498"/>
            <w:gridSpan w:val="2"/>
          </w:tcPr>
          <w:p>
            <w:r>
              <w:t>No se considera inmutable una tabla común sin controles. No es obligatorio por ley usar el nombre logs_auditoria.</w:t>
            </w:r>
          </w:p>
        </w:tc>
      </w:tr>
      <w:tr>
        <w:tc>
          <w:tcPr>
            <w:tcW w:type="dxa" w:w="3249"/>
          </w:tcPr>
          <w:p>
            <w:r>
              <w:t>DATOS DE PRUEBA</w:t>
            </w:r>
          </w:p>
        </w:tc>
        <w:tc>
          <w:tcPr>
            <w:tcW w:type="dxa" w:w="6498"/>
            <w:gridSpan w:val="2"/>
          </w:tcPr>
          <w:p>
            <w:r>
              <w:t>Cambio de rol de usuario B; tabla real auditoria.</w:t>
            </w:r>
          </w:p>
        </w:tc>
      </w:tr>
      <w:tr>
        <w:tc>
          <w:tcPr>
            <w:tcW w:type="dxa" w:w="3249"/>
          </w:tcPr>
          <w:p>
            <w:r>
              <w:t>RESULTADO Y ALCANCE</w:t>
            </w:r>
          </w:p>
        </w:tc>
        <w:tc>
          <w:tcPr>
            <w:tcW w:type="dxa" w:w="6498"/>
            <w:gridSpan w:val="2"/>
          </w:tcPr>
          <w:p>
            <w:r>
              <w:t>CP-API-009 FAIL: evento sin columna IP. Inmutabilidad y atomicidad: revisión parcial, ensayo específico pendiente.</w:t>
            </w:r>
          </w:p>
        </w:tc>
      </w:tr>
    </w:tbl>
    <w:p/>
    <w:p>
      <w:pPr>
        <w:pStyle w:val="Heading2"/>
      </w:pPr>
      <w:r>
        <w:t>Trazabilidad y cobertura</w:t>
      </w:r>
    </w:p>
    <w:tbl>
      <w:tblPr>
        <w:tblStyle w:val="TableGrid"/>
        <w:tblW w:type="auto" w:w="0"/>
        <w:tblLook w:firstColumn="1" w:firstRow="1" w:lastColumn="0" w:lastRow="0" w:noHBand="0" w:noVBand="1" w:val="04A0"/>
      </w:tblPr>
      <w:tblGrid>
        <w:gridCol w:w="3249"/>
        <w:gridCol w:w="3249"/>
        <w:gridCol w:w="3249"/>
      </w:tblGrid>
      <w:tr>
        <w:tc>
          <w:tcPr>
            <w:tcW w:type="dxa" w:w="3249"/>
            <w:shd w:fill="E5EEF4"/>
          </w:tcPr>
          <w:p>
            <w:r>
              <w:rPr>
                <w:b/>
              </w:rPr>
              <w:t>Caso maestro</w:t>
            </w:r>
          </w:p>
        </w:tc>
        <w:tc>
          <w:tcPr>
            <w:tcW w:type="dxa" w:w="3249"/>
            <w:shd w:fill="E5EEF4"/>
          </w:tcPr>
          <w:p>
            <w:r>
              <w:rPr>
                <w:b/>
              </w:rPr>
              <w:t>Comprobaciones / evidencia</w:t>
            </w:r>
          </w:p>
        </w:tc>
        <w:tc>
          <w:tcPr>
            <w:tcW w:type="dxa" w:w="3249"/>
            <w:shd w:fill="E5EEF4"/>
          </w:tcPr>
          <w:p>
            <w:r>
              <w:rPr>
                <w:b/>
              </w:rPr>
              <w:t>Estado del alcance</w:t>
            </w:r>
          </w:p>
        </w:tc>
      </w:tr>
      <w:tr>
        <w:tc>
          <w:tcPr>
            <w:tcW w:type="dxa" w:w="3249"/>
          </w:tcPr>
          <w:p>
            <w:r>
              <w:t>CP-FUNC-001</w:t>
            </w:r>
          </w:p>
        </w:tc>
        <w:tc>
          <w:tcPr>
            <w:tcW w:type="dxa" w:w="3249"/>
          </w:tcPr>
          <w:p>
            <w:r>
              <w:t>CP-API-001, 002 y 005: PASS; política de revocación pendiente.</w:t>
            </w:r>
          </w:p>
        </w:tc>
        <w:tc>
          <w:tcPr>
            <w:tcW w:type="dxa" w:w="3249"/>
          </w:tcPr>
          <w:p>
            <w:r>
              <w:t>Ver detalle; cobertura parcial o fallo</w:t>
            </w:r>
          </w:p>
        </w:tc>
      </w:tr>
      <w:tr>
        <w:tc>
          <w:tcPr>
            <w:tcW w:type="dxa" w:w="3249"/>
          </w:tcPr>
          <w:p>
            <w:r>
              <w:t>CP-FUNC-002</w:t>
            </w:r>
          </w:p>
        </w:tc>
        <w:tc>
          <w:tcPr>
            <w:tcW w:type="dxa" w:w="3249"/>
          </w:tcPr>
          <w:p>
            <w:r>
              <w:t>CP-API-006: PASS para transporte y autorización. UI y formatos adicionales pendientes.</w:t>
            </w:r>
          </w:p>
        </w:tc>
        <w:tc>
          <w:tcPr>
            <w:tcW w:type="dxa" w:w="3249"/>
          </w:tcPr>
          <w:p>
            <w:r>
              <w:t>Ver detalle; cobertura parcial o fallo</w:t>
            </w:r>
          </w:p>
        </w:tc>
      </w:tr>
      <w:tr>
        <w:tc>
          <w:tcPr>
            <w:tcW w:type="dxa" w:w="3249"/>
          </w:tcPr>
          <w:p>
            <w:r>
              <w:t>CP-FUNC-003</w:t>
            </w:r>
          </w:p>
        </w:tc>
        <w:tc>
          <w:tcPr>
            <w:tcW w:type="dxa" w:w="3249"/>
          </w:tcPr>
          <w:p>
            <w:r>
              <w:t>CP-API-007: FAIL, cero filas tras DELETE. Confirmación UI: antecedente D3, no reejecutada como caso completo.</w:t>
            </w:r>
          </w:p>
        </w:tc>
        <w:tc>
          <w:tcPr>
            <w:tcW w:type="dxa" w:w="3249"/>
          </w:tcPr>
          <w:p>
            <w:r>
              <w:t>Ver detalle; cobertura parcial o fallo</w:t>
            </w:r>
          </w:p>
        </w:tc>
      </w:tr>
      <w:tr>
        <w:tc>
          <w:tcPr>
            <w:tcW w:type="dxa" w:w="3249"/>
          </w:tcPr>
          <w:p>
            <w:r>
              <w:t>CP-SEG-001</w:t>
            </w:r>
          </w:p>
        </w:tc>
        <w:tc>
          <w:tcPr>
            <w:tcW w:type="dxa" w:w="3249"/>
          </w:tcPr>
          <w:p>
            <w:r>
              <w:t>Prueba dinámica específica BLOCKED: no se identificó parámetro de búsqueda textual en GET /examenes. Revisión manual parcial: parámetros observados.</w:t>
            </w:r>
          </w:p>
        </w:tc>
        <w:tc>
          <w:tcPr>
            <w:tcW w:type="dxa" w:w="3249"/>
          </w:tcPr>
          <w:p>
            <w:r>
              <w:t>BLOCKED</w:t>
            </w:r>
          </w:p>
        </w:tc>
      </w:tr>
      <w:tr>
        <w:tc>
          <w:tcPr>
            <w:tcW w:type="dxa" w:w="3249"/>
          </w:tcPr>
          <w:p>
            <w:r>
              <w:t>CP-SEG-002</w:t>
            </w:r>
          </w:p>
        </w:tc>
        <w:tc>
          <w:tcPr>
            <w:tcW w:type="dxa" w:w="3249"/>
          </w:tcPr>
          <w:p>
            <w:r>
              <w:t>CP-API-004 y autorización PDF PASS; CP-API-010 y 012 FAIL. El caso amplio no se aprueba con una sola ruta correcta.</w:t>
            </w:r>
          </w:p>
        </w:tc>
        <w:tc>
          <w:tcPr>
            <w:tcW w:type="dxa" w:w="3249"/>
          </w:tcPr>
          <w:p>
            <w:r>
              <w:t>Ver detalle; cobertura parcial o fallo</w:t>
            </w:r>
          </w:p>
        </w:tc>
      </w:tr>
      <w:tr>
        <w:tc>
          <w:tcPr>
            <w:tcW w:type="dxa" w:w="3249"/>
          </w:tcPr>
          <w:p>
            <w:r>
              <w:t>CP-PERF-001</w:t>
            </w:r>
          </w:p>
        </w:tc>
        <w:tc>
          <w:tcPr>
            <w:tcW w:type="dxa" w:w="3249"/>
          </w:tcPr>
          <w:p>
            <w:r>
              <w:t>FAIL en lote real: p95 8698 ms, 0 errores. JMeter sostenido pendiente.</w:t>
            </w:r>
          </w:p>
        </w:tc>
        <w:tc>
          <w:tcPr>
            <w:tcW w:type="dxa" w:w="3249"/>
          </w:tcPr>
          <w:p>
            <w:r>
              <w:t>Ver detalle; cobertura parcial o fallo</w:t>
            </w:r>
          </w:p>
        </w:tc>
      </w:tr>
      <w:tr>
        <w:tc>
          <w:tcPr>
            <w:tcW w:type="dxa" w:w="3249"/>
          </w:tcPr>
          <w:p>
            <w:r>
              <w:t>CP-USAB-001</w:t>
            </w:r>
          </w:p>
        </w:tc>
        <w:tc>
          <w:tcPr>
            <w:tcW w:type="dxa" w:w="3249"/>
          </w:tcPr>
          <w:p>
            <w:r>
              <w:t>BLOCKED para certificación AA: no se realizó auditoría completa ni estudio con usuarios. Capturas no bastan.</w:t>
            </w:r>
          </w:p>
        </w:tc>
        <w:tc>
          <w:tcPr>
            <w:tcW w:type="dxa" w:w="3249"/>
          </w:tcPr>
          <w:p>
            <w:r>
              <w:t>BLOCKED</w:t>
            </w:r>
          </w:p>
        </w:tc>
      </w:tr>
      <w:tr>
        <w:tc>
          <w:tcPr>
            <w:tcW w:type="dxa" w:w="3249"/>
          </w:tcPr>
          <w:p>
            <w:r>
              <w:t>CP-CUMP-001</w:t>
            </w:r>
          </w:p>
        </w:tc>
        <w:tc>
          <w:tcPr>
            <w:tcW w:type="dxa" w:w="3249"/>
          </w:tcPr>
          <w:p>
            <w:r>
              <w:t>CP-API-009 FAIL: evento sin columna IP. Inmutabilidad y atomicidad: revisión parcial, ensayo específico pendiente.</w:t>
            </w:r>
          </w:p>
        </w:tc>
        <w:tc>
          <w:tcPr>
            <w:tcW w:type="dxa" w:w="3249"/>
          </w:tcPr>
          <w:p>
            <w:r>
              <w:t>Ver detalle; cobertura parcial o fallo</w:t>
            </w:r>
          </w:p>
        </w:tc>
      </w:tr>
    </w:tbl>
    <w:p/>
    <w:p>
      <w:r>
        <w:rPr>
          <w:b w:val="0"/>
        </w:rPr>
        <w:t>Cobertura de requisitos = requisitos con casos trazados / total de requisitos de ERS × 100. La ERS completa no se recibió; se informa cobertura temática de los ocho casos solicitados y no una cifra de cobertura total. Se requieren casos adicionales para CRUD completo, respaldos, restauración, cifrado en reposo, retención y otros adjuntos.</w:t>
      </w:r>
    </w:p>
    <w:p>
      <w:pPr>
        <w:pStyle w:val="Heading1"/>
      </w:pPr>
      <w:r>
        <w:t>5. Ejecución de pruebas</w:t>
      </w:r>
    </w:p>
    <w:p>
      <w:pPr>
        <w:pStyle w:val="Heading2"/>
      </w:pPr>
      <w:r>
        <w:t>5.1 Resumen de ejecución</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E5EEF4"/>
          </w:tcPr>
          <w:p>
            <w:r>
              <w:rPr>
                <w:b/>
              </w:rPr>
              <w:t>Conjunto</w:t>
            </w:r>
          </w:p>
        </w:tc>
        <w:tc>
          <w:tcPr>
            <w:tcW w:type="dxa" w:w="1624"/>
            <w:shd w:fill="E5EEF4"/>
          </w:tcPr>
          <w:p>
            <w:r>
              <w:rPr>
                <w:b/>
              </w:rPr>
              <w:t>Diseñados</w:t>
            </w:r>
          </w:p>
        </w:tc>
        <w:tc>
          <w:tcPr>
            <w:tcW w:type="dxa" w:w="1624"/>
            <w:shd w:fill="E5EEF4"/>
          </w:tcPr>
          <w:p>
            <w:r>
              <w:rPr>
                <w:b/>
              </w:rPr>
              <w:t>Ejecutados</w:t>
            </w:r>
          </w:p>
        </w:tc>
        <w:tc>
          <w:tcPr>
            <w:tcW w:type="dxa" w:w="1624"/>
            <w:shd w:fill="E5EEF4"/>
          </w:tcPr>
          <w:p>
            <w:r>
              <w:rPr>
                <w:b/>
              </w:rPr>
              <w:t>PASS</w:t>
            </w:r>
          </w:p>
        </w:tc>
        <w:tc>
          <w:tcPr>
            <w:tcW w:type="dxa" w:w="1624"/>
            <w:shd w:fill="E5EEF4"/>
          </w:tcPr>
          <w:p>
            <w:r>
              <w:rPr>
                <w:b/>
              </w:rPr>
              <w:t>FAIL</w:t>
            </w:r>
          </w:p>
        </w:tc>
        <w:tc>
          <w:tcPr>
            <w:tcW w:type="dxa" w:w="1624"/>
            <w:shd w:fill="E5EEF4"/>
          </w:tcPr>
          <w:p>
            <w:r>
              <w:rPr>
                <w:b/>
              </w:rPr>
              <w:t>BLOCKED</w:t>
            </w:r>
          </w:p>
        </w:tc>
      </w:tr>
      <w:tr>
        <w:tc>
          <w:tcPr>
            <w:tcW w:type="dxa" w:w="1624"/>
          </w:tcPr>
          <w:p>
            <w:r>
              <w:t>Comprobaciones API automatizadas</w:t>
            </w:r>
          </w:p>
        </w:tc>
        <w:tc>
          <w:tcPr>
            <w:tcW w:type="dxa" w:w="1624"/>
          </w:tcPr>
          <w:p>
            <w:r>
              <w:t>12</w:t>
            </w:r>
          </w:p>
        </w:tc>
        <w:tc>
          <w:tcPr>
            <w:tcW w:type="dxa" w:w="1624"/>
          </w:tcPr>
          <w:p>
            <w:r>
              <w:t>12</w:t>
            </w:r>
          </w:p>
        </w:tc>
        <w:tc>
          <w:tcPr>
            <w:tcW w:type="dxa" w:w="1624"/>
          </w:tcPr>
          <w:p>
            <w:r>
              <w:t>6</w:t>
            </w:r>
          </w:p>
        </w:tc>
        <w:tc>
          <w:tcPr>
            <w:tcW w:type="dxa" w:w="1624"/>
          </w:tcPr>
          <w:p>
            <w:r>
              <w:t>6</w:t>
            </w:r>
          </w:p>
        </w:tc>
        <w:tc>
          <w:tcPr>
            <w:tcW w:type="dxa" w:w="1624"/>
          </w:tcPr>
          <w:p>
            <w:r>
              <w:t>0</w:t>
            </w:r>
          </w:p>
        </w:tc>
      </w:tr>
      <w:tr>
        <w:tc>
          <w:tcPr>
            <w:tcW w:type="dxa" w:w="1624"/>
          </w:tcPr>
          <w:p>
            <w:r>
              <w:t>Casos maestros integrales</w:t>
            </w:r>
          </w:p>
        </w:tc>
        <w:tc>
          <w:tcPr>
            <w:tcW w:type="dxa" w:w="1624"/>
          </w:tcPr>
          <w:p>
            <w:r>
              <w:t>8</w:t>
            </w:r>
          </w:p>
        </w:tc>
        <w:tc>
          <w:tcPr>
            <w:tcW w:type="dxa" w:w="1624"/>
          </w:tcPr>
          <w:p>
            <w:r>
              <w:t>No se declara ejecución integral de todos</w:t>
            </w:r>
          </w:p>
        </w:tc>
        <w:tc>
          <w:tcPr>
            <w:tcW w:type="dxa" w:w="1624"/>
          </w:tcPr>
          <w:p>
            <w:r>
              <w:t>Ver correspondencia</w:t>
            </w:r>
          </w:p>
        </w:tc>
        <w:tc>
          <w:tcPr>
            <w:tcW w:type="dxa" w:w="1624"/>
          </w:tcPr>
          <w:p>
            <w:r>
              <w:t>Ver correspondencia</w:t>
            </w:r>
          </w:p>
        </w:tc>
        <w:tc>
          <w:tcPr>
            <w:tcW w:type="dxa" w:w="1624"/>
          </w:tcPr>
          <w:p>
            <w:r>
              <w:t>SQLi y WCAG pendientes</w:t>
            </w:r>
          </w:p>
        </w:tc>
      </w:tr>
      <w:tr>
        <w:tc>
          <w:tcPr>
            <w:tcW w:type="dxa" w:w="1624"/>
          </w:tcPr>
          <w:p>
            <w:r>
              <w:t>Lote breve de carga</w:t>
            </w:r>
          </w:p>
        </w:tc>
        <w:tc>
          <w:tcPr>
            <w:tcW w:type="dxa" w:w="1624"/>
          </w:tcPr>
          <w:p>
            <w:r>
              <w:t>1</w:t>
            </w:r>
          </w:p>
        </w:tc>
        <w:tc>
          <w:tcPr>
            <w:tcW w:type="dxa" w:w="1624"/>
          </w:tcPr>
          <w:p>
            <w:r>
              <w:t>1</w:t>
            </w:r>
          </w:p>
        </w:tc>
        <w:tc>
          <w:tcPr>
            <w:tcW w:type="dxa" w:w="1624"/>
          </w:tcPr>
          <w:p>
            <w:r>
              <w:t>0</w:t>
            </w:r>
          </w:p>
        </w:tc>
        <w:tc>
          <w:tcPr>
            <w:tcW w:type="dxa" w:w="1624"/>
          </w:tcPr>
          <w:p>
            <w:r>
              <w:t>1</w:t>
            </w:r>
          </w:p>
        </w:tc>
        <w:tc>
          <w:tcPr>
            <w:tcW w:type="dxa" w:w="1624"/>
          </w:tcPr>
          <w:p>
            <w:r>
              <w:t>0</w:t>
            </w:r>
          </w:p>
        </w:tc>
      </w:tr>
      <w:tr>
        <w:tc>
          <w:tcPr>
            <w:tcW w:type="dxa" w:w="1624"/>
          </w:tcPr>
          <w:p>
            <w:r>
              <w:t>UI histórica D3</w:t>
            </w:r>
          </w:p>
        </w:tc>
        <w:tc>
          <w:tcPr>
            <w:tcW w:type="dxa" w:w="1624"/>
          </w:tcPr>
          <w:p>
            <w:r>
              <w:t>5</w:t>
            </w:r>
          </w:p>
        </w:tc>
        <w:tc>
          <w:tcPr>
            <w:tcW w:type="dxa" w:w="1624"/>
          </w:tcPr>
          <w:p>
            <w:r>
              <w:t>5 declarados en D3</w:t>
            </w:r>
          </w:p>
        </w:tc>
        <w:tc>
          <w:tcPr>
            <w:tcW w:type="dxa" w:w="1624"/>
          </w:tcPr>
          <w:p>
            <w:r>
              <w:t>5 declarados</w:t>
            </w:r>
          </w:p>
        </w:tc>
        <w:tc>
          <w:tcPr>
            <w:tcW w:type="dxa" w:w="1624"/>
          </w:tcPr>
          <w:p>
            <w:r>
              <w:t>0 declarados</w:t>
            </w:r>
          </w:p>
        </w:tc>
        <w:tc>
          <w:tcPr>
            <w:tcW w:type="dxa" w:w="1624"/>
          </w:tcPr>
          <w:p>
            <w:r>
              <w:t>No recontar como actuales</w:t>
            </w:r>
          </w:p>
        </w:tc>
      </w:tr>
    </w:tbl>
    <w:p/>
    <w:p>
      <w:r>
        <w:rPr>
          <w:b w:val="0"/>
        </w:rPr>
        <w:t>La tasa de éxito de las comprobaciones API ejecutadas es 6/12 = 50%; la tasa de ejecución de esa suite es 100%. El lote de carga es un experimento separado y no se suma a los doce checkpoints. Los cinco PASS históricos de interfaz se conservan como declaraciones de D3, sin probar persistencia ni seguridad actuales. La fecha y el actor automatizado constan en cada fila de resultados_api.json; las integrantes deben validar el expediente.</w:t>
      </w:r>
    </w:p>
    <w:p>
      <w:r>
        <w:rPr>
          <w:b w:val="0"/>
        </w:rPr>
        <w:t>Carga real: 200 solicitudes lanzadas en paralelo, máximo 200 en vuelo; duración 9321 ms; p50 8537 ms, p95 8698 ms, p99 8713 ms, máximo 8741 ms; 0 HTTP 5xx y 0 errores. Se concluye FAIL frente al umbral, sin inferir estabilidad de diez minutos. Las descargas de herramientas y el host compartido limitan la generalización de estas cifras; la demora de 5000 ms está además explícita en el código.</w:t>
      </w:r>
    </w:p>
    <w:p>
      <w:pPr>
        <w:pStyle w:val="Heading2"/>
      </w:pPr>
      <w:r>
        <w:t>5.2 Detalle de ejecución de casos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E5EEF4"/>
          </w:tcPr>
          <w:p>
            <w:r>
              <w:rPr>
                <w:b/>
              </w:rPr>
              <w:t>Caso</w:t>
            </w:r>
          </w:p>
        </w:tc>
        <w:tc>
          <w:tcPr>
            <w:tcW w:type="dxa" w:w="1949"/>
            <w:shd w:fill="E5EEF4"/>
          </w:tcPr>
          <w:p>
            <w:r>
              <w:rPr>
                <w:b/>
              </w:rPr>
              <w:t>Descripción</w:t>
            </w:r>
          </w:p>
        </w:tc>
        <w:tc>
          <w:tcPr>
            <w:tcW w:type="dxa" w:w="1949"/>
            <w:shd w:fill="E5EEF4"/>
          </w:tcPr>
          <w:p>
            <w:r>
              <w:rPr>
                <w:b/>
              </w:rPr>
              <w:t>Resultado</w:t>
            </w:r>
          </w:p>
        </w:tc>
        <w:tc>
          <w:tcPr>
            <w:tcW w:type="dxa" w:w="1949"/>
            <w:shd w:fill="E5EEF4"/>
          </w:tcPr>
          <w:p>
            <w:r>
              <w:rPr>
                <w:b/>
              </w:rPr>
              <w:t>Evidencia</w:t>
            </w:r>
          </w:p>
        </w:tc>
        <w:tc>
          <w:tcPr>
            <w:tcW w:type="dxa" w:w="1949"/>
            <w:shd w:fill="E5EEF4"/>
          </w:tcPr>
          <w:p>
            <w:r>
              <w:rPr>
                <w:b/>
              </w:rPr>
              <w:t>Tipo</w:t>
            </w:r>
          </w:p>
        </w:tc>
      </w:tr>
      <w:tr>
        <w:tc>
          <w:tcPr>
            <w:tcW w:type="dxa" w:w="1949"/>
          </w:tcPr>
          <w:p>
            <w:r>
              <w:t>CP-API-001</w:t>
            </w:r>
          </w:p>
        </w:tc>
        <w:tc>
          <w:tcPr>
            <w:tcW w:type="dxa" w:w="1949"/>
          </w:tcPr>
          <w:p>
            <w:r>
              <w:t>Login válido y JWT</w:t>
            </w:r>
          </w:p>
        </w:tc>
        <w:tc>
          <w:tcPr>
            <w:tcW w:type="dxa" w:w="1949"/>
          </w:tcPr>
          <w:p>
            <w:r>
              <w:t>PASS; HTTP 200; firma válida=true</w:t>
            </w:r>
          </w:p>
        </w:tc>
        <w:tc>
          <w:tcPr>
            <w:tcW w:type="dxa" w:w="1949"/>
          </w:tcPr>
          <w:p>
            <w:r>
              <w:t>06_Evidencias/api/resultados_api.json → CP-API-001</w:t>
            </w:r>
          </w:p>
        </w:tc>
        <w:tc>
          <w:tcPr>
            <w:tcW w:type="dxa" w:w="1949"/>
          </w:tcPr>
          <w:p>
            <w:r>
              <w:t>API / integración / seguridad</w:t>
            </w:r>
          </w:p>
        </w:tc>
      </w:tr>
      <w:tr>
        <w:tc>
          <w:tcPr>
            <w:tcW w:type="dxa" w:w="1949"/>
          </w:tcPr>
          <w:p>
            <w:r>
              <w:t>CP-API-002</w:t>
            </w:r>
          </w:p>
        </w:tc>
        <w:tc>
          <w:tcPr>
            <w:tcW w:type="dxa" w:w="1949"/>
          </w:tcPr>
          <w:p>
            <w:r>
              <w:t>Credenciales inválidas</w:t>
            </w:r>
          </w:p>
        </w:tc>
        <w:tc>
          <w:tcPr>
            <w:tcW w:type="dxa" w:w="1949"/>
          </w:tcPr>
          <w:p>
            <w:r>
              <w:t>PASS; HTTP 401</w:t>
            </w:r>
          </w:p>
        </w:tc>
        <w:tc>
          <w:tcPr>
            <w:tcW w:type="dxa" w:w="1949"/>
          </w:tcPr>
          <w:p>
            <w:r>
              <w:t>06_Evidencias/api/resultados_api.json → CP-API-002</w:t>
            </w:r>
          </w:p>
        </w:tc>
        <w:tc>
          <w:tcPr>
            <w:tcW w:type="dxa" w:w="1949"/>
          </w:tcPr>
          <w:p>
            <w:r>
              <w:t>API / integración / seguridad</w:t>
            </w:r>
          </w:p>
        </w:tc>
      </w:tr>
      <w:tr>
        <w:tc>
          <w:tcPr>
            <w:tcW w:type="dxa" w:w="1949"/>
          </w:tcPr>
          <w:p>
            <w:r>
              <w:t>CP-API-003</w:t>
            </w:r>
          </w:p>
        </w:tc>
        <w:tc>
          <w:tcPr>
            <w:tcW w:type="dxa" w:w="1949"/>
          </w:tcPr>
          <w:p>
            <w:r>
              <w:t>Campos obligatorios de examen</w:t>
            </w:r>
          </w:p>
        </w:tc>
        <w:tc>
          <w:tcPr>
            <w:tcW w:type="dxa" w:w="1949"/>
          </w:tcPr>
          <w:p>
            <w:r>
              <w:t>PASS; HTTP 400</w:t>
            </w:r>
          </w:p>
        </w:tc>
        <w:tc>
          <w:tcPr>
            <w:tcW w:type="dxa" w:w="1949"/>
          </w:tcPr>
          <w:p>
            <w:r>
              <w:t>06_Evidencias/api/resultados_api.json → CP-API-003</w:t>
            </w:r>
          </w:p>
        </w:tc>
        <w:tc>
          <w:tcPr>
            <w:tcW w:type="dxa" w:w="1949"/>
          </w:tcPr>
          <w:p>
            <w:r>
              <w:t>API / integración / seguridad</w:t>
            </w:r>
          </w:p>
        </w:tc>
      </w:tr>
      <w:tr>
        <w:tc>
          <w:tcPr>
            <w:tcW w:type="dxa" w:w="1949"/>
          </w:tcPr>
          <w:p>
            <w:r>
              <w:t>CP-API-004</w:t>
            </w:r>
          </w:p>
        </w:tc>
        <w:tc>
          <w:tcPr>
            <w:tcW w:type="dxa" w:w="1949"/>
          </w:tcPr>
          <w:p>
            <w:r>
              <w:t>IDOR por paciente ajeno</w:t>
            </w:r>
          </w:p>
        </w:tc>
        <w:tc>
          <w:tcPr>
            <w:tcW w:type="dxa" w:w="1949"/>
          </w:tcPr>
          <w:p>
            <w:r>
              <w:t>PASS; HTTP 403</w:t>
            </w:r>
          </w:p>
        </w:tc>
        <w:tc>
          <w:tcPr>
            <w:tcW w:type="dxa" w:w="1949"/>
          </w:tcPr>
          <w:p>
            <w:r>
              <w:t>06_Evidencias/api/resultados_api.json → CP-API-004</w:t>
            </w:r>
          </w:p>
        </w:tc>
        <w:tc>
          <w:tcPr>
            <w:tcW w:type="dxa" w:w="1949"/>
          </w:tcPr>
          <w:p>
            <w:r>
              <w:t>API / integración / seguridad</w:t>
            </w:r>
          </w:p>
        </w:tc>
      </w:tr>
      <w:tr>
        <w:tc>
          <w:tcPr>
            <w:tcW w:type="dxa" w:w="1949"/>
          </w:tcPr>
          <w:p>
            <w:r>
              <w:t>CP-API-005</w:t>
            </w:r>
          </w:p>
        </w:tc>
        <w:tc>
          <w:tcPr>
            <w:tcW w:type="dxa" w:w="1949"/>
          </w:tcPr>
          <w:p>
            <w:r>
              <w:t>JWT alterado y vencido</w:t>
            </w:r>
          </w:p>
        </w:tc>
        <w:tc>
          <w:tcPr>
            <w:tcW w:type="dxa" w:w="1949"/>
          </w:tcPr>
          <w:p>
            <w:r>
              <w:t>PASS; Alterado 401; vencido 401</w:t>
            </w:r>
          </w:p>
        </w:tc>
        <w:tc>
          <w:tcPr>
            <w:tcW w:type="dxa" w:w="1949"/>
          </w:tcPr>
          <w:p>
            <w:r>
              <w:t>06_Evidencias/api/resultados_api.json → CP-API-005</w:t>
            </w:r>
          </w:p>
        </w:tc>
        <w:tc>
          <w:tcPr>
            <w:tcW w:type="dxa" w:w="1949"/>
          </w:tcPr>
          <w:p>
            <w:r>
              <w:t>API / integración / seguridad</w:t>
            </w:r>
          </w:p>
        </w:tc>
      </w:tr>
      <w:tr>
        <w:tc>
          <w:tcPr>
            <w:tcW w:type="dxa" w:w="1949"/>
          </w:tcPr>
          <w:p>
            <w:r>
              <w:t>CP-API-006</w:t>
            </w:r>
          </w:p>
        </w:tc>
        <w:tc>
          <w:tcPr>
            <w:tcW w:type="dxa" w:w="1949"/>
          </w:tcPr>
          <w:p>
            <w:r>
              <w:t>Registro y adjunto PDF</w:t>
            </w:r>
          </w:p>
        </w:tc>
        <w:tc>
          <w:tcPr>
            <w:tcW w:type="dxa" w:w="1949"/>
          </w:tcPr>
          <w:p>
            <w:r>
              <w:t>PASS; Crear 201; subir 201; propio 200; ajeno 403</w:t>
            </w:r>
          </w:p>
        </w:tc>
        <w:tc>
          <w:tcPr>
            <w:tcW w:type="dxa" w:w="1949"/>
          </w:tcPr>
          <w:p>
            <w:r>
              <w:t>06_Evidencias/api/resultados_api.json → CP-API-006</w:t>
            </w:r>
          </w:p>
        </w:tc>
        <w:tc>
          <w:tcPr>
            <w:tcW w:type="dxa" w:w="1949"/>
          </w:tcPr>
          <w:p>
            <w:r>
              <w:t>API / integración / seguridad</w:t>
            </w:r>
          </w:p>
        </w:tc>
      </w:tr>
      <w:tr>
        <w:tc>
          <w:tcPr>
            <w:tcW w:type="dxa" w:w="1949"/>
          </w:tcPr>
          <w:p>
            <w:r>
              <w:t>CP-API-007</w:t>
            </w:r>
          </w:p>
        </w:tc>
        <w:tc>
          <w:tcPr>
            <w:tcW w:type="dxa" w:w="1949"/>
          </w:tcPr>
          <w:p>
            <w:r>
              <w:t>Persistencia de borrado lógico</w:t>
            </w:r>
          </w:p>
        </w:tc>
        <w:tc>
          <w:tcPr>
            <w:tcW w:type="dxa" w:w="1949"/>
          </w:tcPr>
          <w:p>
            <w:r>
              <w:t>FAIL; HTTP 200; filas persistidas=0</w:t>
            </w:r>
          </w:p>
        </w:tc>
        <w:tc>
          <w:tcPr>
            <w:tcW w:type="dxa" w:w="1949"/>
          </w:tcPr>
          <w:p>
            <w:r>
              <w:t>06_Evidencias/api/resultados_api.json → CP-API-007</w:t>
            </w:r>
          </w:p>
        </w:tc>
        <w:tc>
          <w:tcPr>
            <w:tcW w:type="dxa" w:w="1949"/>
          </w:tcPr>
          <w:p>
            <w:r>
              <w:t>API / integración / seguridad</w:t>
            </w:r>
          </w:p>
        </w:tc>
      </w:tr>
      <w:tr>
        <w:tc>
          <w:tcPr>
            <w:tcW w:type="dxa" w:w="1949"/>
          </w:tcPr>
          <w:p>
            <w:r>
              <w:t>CP-API-008</w:t>
            </w:r>
          </w:p>
        </w:tc>
        <w:tc>
          <w:tcPr>
            <w:tcW w:type="dxa" w:w="1949"/>
          </w:tcPr>
          <w:p>
            <w:r>
              <w:t>Contraseña con hash adaptativo</w:t>
            </w:r>
          </w:p>
        </w:tc>
        <w:tc>
          <w:tcPr>
            <w:tcW w:type="dxa" w:w="1949"/>
          </w:tcPr>
          <w:p>
            <w:r>
              <w:t>FAIL; Formato bcrypt=false; igualdad con entrada=true</w:t>
            </w:r>
          </w:p>
        </w:tc>
        <w:tc>
          <w:tcPr>
            <w:tcW w:type="dxa" w:w="1949"/>
          </w:tcPr>
          <w:p>
            <w:r>
              <w:t>06_Evidencias/api/resultados_api.json → CP-API-008</w:t>
            </w:r>
          </w:p>
        </w:tc>
        <w:tc>
          <w:tcPr>
            <w:tcW w:type="dxa" w:w="1949"/>
          </w:tcPr>
          <w:p>
            <w:r>
              <w:t>API / integración / seguridad</w:t>
            </w:r>
          </w:p>
        </w:tc>
      </w:tr>
      <w:tr>
        <w:tc>
          <w:tcPr>
            <w:tcW w:type="dxa" w:w="1949"/>
          </w:tcPr>
          <w:p>
            <w:r>
              <w:t>CP-API-009</w:t>
            </w:r>
          </w:p>
        </w:tc>
        <w:tc>
          <w:tcPr>
            <w:tcW w:type="dxa" w:w="1949"/>
          </w:tcPr>
          <w:p>
            <w:r>
              <w:t>Auditoría de cambio de rol con origen</w:t>
            </w:r>
          </w:p>
        </w:tc>
        <w:tc>
          <w:tcPr>
            <w:tcW w:type="dxa" w:w="1949"/>
          </w:tcPr>
          <w:p>
            <w:r>
              <w:t>FAIL; HTTP 400; columnas=id, usuario_id, accion, fecha_hora</w:t>
            </w:r>
          </w:p>
        </w:tc>
        <w:tc>
          <w:tcPr>
            <w:tcW w:type="dxa" w:w="1949"/>
          </w:tcPr>
          <w:p>
            <w:r>
              <w:t>06_Evidencias/api/resultados_api.json → CP-API-009</w:t>
            </w:r>
          </w:p>
        </w:tc>
        <w:tc>
          <w:tcPr>
            <w:tcW w:type="dxa" w:w="1949"/>
          </w:tcPr>
          <w:p>
            <w:r>
              <w:t>API / integración / seguridad</w:t>
            </w:r>
          </w:p>
        </w:tc>
      </w:tr>
      <w:tr>
        <w:tc>
          <w:tcPr>
            <w:tcW w:type="dxa" w:w="1949"/>
          </w:tcPr>
          <w:p>
            <w:r>
              <w:t>CP-API-010</w:t>
            </w:r>
          </w:p>
        </w:tc>
        <w:tc>
          <w:tcPr>
            <w:tcW w:type="dxa" w:w="1949"/>
          </w:tcPr>
          <w:p>
            <w:r>
              <w:t>Médico no puede asignarse administrador</w:t>
            </w:r>
          </w:p>
        </w:tc>
        <w:tc>
          <w:tcPr>
            <w:tcW w:type="dxa" w:w="1949"/>
          </w:tcPr>
          <w:p>
            <w:r>
              <w:t>FAIL; HTTP 400; roles=medico</w:t>
            </w:r>
          </w:p>
        </w:tc>
        <w:tc>
          <w:tcPr>
            <w:tcW w:type="dxa" w:w="1949"/>
          </w:tcPr>
          <w:p>
            <w:r>
              <w:t>06_Evidencias/api/resultados_api.json → CP-API-010</w:t>
            </w:r>
          </w:p>
        </w:tc>
        <w:tc>
          <w:tcPr>
            <w:tcW w:type="dxa" w:w="1949"/>
          </w:tcPr>
          <w:p>
            <w:r>
              <w:t>API / integración / seguridad</w:t>
            </w:r>
          </w:p>
        </w:tc>
      </w:tr>
      <w:tr>
        <w:tc>
          <w:tcPr>
            <w:tcW w:type="dxa" w:w="1949"/>
          </w:tcPr>
          <w:p>
            <w:r>
              <w:t>CP-API-011</w:t>
            </w:r>
          </w:p>
        </w:tc>
        <w:tc>
          <w:tcPr>
            <w:tcW w:type="dxa" w:w="1949"/>
          </w:tcPr>
          <w:p>
            <w:r>
              <w:t>Latencia de consulta menor de 300 ms</w:t>
            </w:r>
          </w:p>
        </w:tc>
        <w:tc>
          <w:tcPr>
            <w:tcW w:type="dxa" w:w="1949"/>
          </w:tcPr>
          <w:p>
            <w:r>
              <w:t>FAIL; HTTP 200; 5120 ms</w:t>
            </w:r>
          </w:p>
        </w:tc>
        <w:tc>
          <w:tcPr>
            <w:tcW w:type="dxa" w:w="1949"/>
          </w:tcPr>
          <w:p>
            <w:r>
              <w:t>06_Evidencias/api/resultados_api.json → CP-API-011</w:t>
            </w:r>
          </w:p>
        </w:tc>
        <w:tc>
          <w:tcPr>
            <w:tcW w:type="dxa" w:w="1949"/>
          </w:tcPr>
          <w:p>
            <w:r>
              <w:t>Rendimiento</w:t>
            </w:r>
          </w:p>
        </w:tc>
      </w:tr>
      <w:tr>
        <w:tc>
          <w:tcPr>
            <w:tcW w:type="dxa" w:w="1949"/>
          </w:tcPr>
          <w:p>
            <w:r>
              <w:t>CP-API-012</w:t>
            </w:r>
          </w:p>
        </w:tc>
        <w:tc>
          <w:tcPr>
            <w:tcW w:type="dxa" w:w="1949"/>
          </w:tcPr>
          <w:p>
            <w:r>
              <w:t>Eliminar usuario sin autenticar</w:t>
            </w:r>
          </w:p>
        </w:tc>
        <w:tc>
          <w:tcPr>
            <w:tcW w:type="dxa" w:w="1949"/>
          </w:tcPr>
          <w:p>
            <w:r>
              <w:t>FAIL; HTTP 200; filas restantes=0</w:t>
            </w:r>
          </w:p>
        </w:tc>
        <w:tc>
          <w:tcPr>
            <w:tcW w:type="dxa" w:w="1949"/>
          </w:tcPr>
          <w:p>
            <w:r>
              <w:t>06_Evidencias/api/resultados_api.json → CP-API-012</w:t>
            </w:r>
          </w:p>
        </w:tc>
        <w:tc>
          <w:tcPr>
            <w:tcW w:type="dxa" w:w="1949"/>
          </w:tcPr>
          <w:p>
            <w:r>
              <w:t>API / integración / seguridad</w:t>
            </w:r>
          </w:p>
        </w:tc>
      </w:tr>
    </w:tbl>
    <w:p/>
    <w:p>
      <w:r>
        <w:rPr>
          <w:b w:val="0"/>
        </w:rPr>
        <w:t>Fecha de ejecución: 20 de octubre de 2026 (los JSON usan UTC ISO 8601). Actor de ejecución: automatización QA asistida. Entorno, esperado, obtenido y evidencia están incluidos caso a caso en el JSON y en la bitácora CSV. No se incluyen tokens completos ni contraseñas en resultados.</w:t>
      </w:r>
    </w:p>
    <w:p>
      <w:pPr>
        <w:pStyle w:val="Heading3"/>
      </w:pPr>
      <w:r>
        <w:t>Resultados reales de SonarQube</w:t>
      </w:r>
    </w:p>
    <w:p>
      <w:r>
        <w:rPr>
          <w:b w:val="0"/>
        </w:rPr>
        <w:t xml:space="preserve">Servidor </w:t>
      </w:r>
      <w:r>
        <w:rPr>
          <w:b/>
        </w:rPr>
        <w:t>9.9.8.100196</w:t>
      </w:r>
      <w:r>
        <w:rPr>
          <w:b w:val="0"/>
        </w:rPr>
        <w:t xml:space="preserve">, imagen oficial 9.9-community (línea LTA histórica), y SonarScanner CLI </w:t>
      </w:r>
      <w:r>
        <w:rPr>
          <w:b/>
        </w:rPr>
        <w:t>8.1.0.6389</w:t>
      </w:r>
      <w:r>
        <w:rPr>
          <w:b w:val="0"/>
        </w:rPr>
        <w:t xml:space="preserve">. Proyecto isy1102-cuidarte; código del snapshot 07_Codigo; exportaciones API y log del escáner en 06_Evidencias/sonarqube. El escáner terminó con EXECUTION SUCCESS y la tarea del servidor con SUCCESS. Se indexaron 63 archivos y se analizaron 56/56 archivos JavaScript. Quality Gate: </w:t>
      </w:r>
      <w:r>
        <w:rPr>
          <w:b/>
        </w:rPr>
        <w:t>OK</w:t>
      </w:r>
      <w:r>
        <w:rPr>
          <w:b w:val="0"/>
        </w:rPr>
        <w:t>.</w:t>
      </w:r>
    </w:p>
    <w:tbl>
      <w:tblPr>
        <w:tblStyle w:val="TableGrid"/>
        <w:tblW w:type="auto" w:w="0"/>
        <w:tblLook w:firstColumn="1" w:firstRow="1" w:lastColumn="0" w:lastRow="0" w:noHBand="0" w:noVBand="1" w:val="04A0"/>
      </w:tblPr>
      <w:tblGrid>
        <w:gridCol w:w="3249"/>
        <w:gridCol w:w="3249"/>
        <w:gridCol w:w="3249"/>
      </w:tblGrid>
      <w:tr>
        <w:tc>
          <w:tcPr>
            <w:tcW w:type="dxa" w:w="3249"/>
            <w:shd w:fill="E5EEF4"/>
          </w:tcPr>
          <w:p>
            <w:r>
              <w:rPr>
                <w:b/>
              </w:rPr>
              <w:t>Métrica</w:t>
            </w:r>
          </w:p>
        </w:tc>
        <w:tc>
          <w:tcPr>
            <w:tcW w:type="dxa" w:w="3249"/>
            <w:shd w:fill="E5EEF4"/>
          </w:tcPr>
          <w:p>
            <w:r>
              <w:rPr>
                <w:b/>
              </w:rPr>
              <w:t>Valor</w:t>
            </w:r>
          </w:p>
        </w:tc>
        <w:tc>
          <w:tcPr>
            <w:tcW w:type="dxa" w:w="3249"/>
            <w:shd w:fill="E5EEF4"/>
          </w:tcPr>
          <w:p>
            <w:r>
              <w:rPr>
                <w:b/>
              </w:rPr>
              <w:t>Interpretación</w:t>
            </w:r>
          </w:p>
        </w:tc>
      </w:tr>
      <w:tr>
        <w:tc>
          <w:tcPr>
            <w:tcW w:type="dxa" w:w="3249"/>
          </w:tcPr>
          <w:p>
            <w:r>
              <w:t>Bugs</w:t>
            </w:r>
          </w:p>
        </w:tc>
        <w:tc>
          <w:tcPr>
            <w:tcW w:type="dxa" w:w="3249"/>
          </w:tcPr>
          <w:p>
            <w:r>
              <w:t>1</w:t>
            </w:r>
          </w:p>
        </w:tc>
        <w:tc>
          <w:tcPr>
            <w:tcW w:type="dxa" w:w="3249"/>
          </w:tcPr>
          <w:p>
            <w:r>
              <w:t>Medido por análisis</w:t>
            </w:r>
          </w:p>
        </w:tc>
      </w:tr>
      <w:tr>
        <w:tc>
          <w:tcPr>
            <w:tcW w:type="dxa" w:w="3249"/>
          </w:tcPr>
          <w:p>
            <w:r>
              <w:t>Vulnerabilities</w:t>
            </w:r>
          </w:p>
        </w:tc>
        <w:tc>
          <w:tcPr>
            <w:tcW w:type="dxa" w:w="3249"/>
          </w:tcPr>
          <w:p>
            <w:r>
              <w:t>0</w:t>
            </w:r>
          </w:p>
        </w:tc>
        <w:tc>
          <w:tcPr>
            <w:tcW w:type="dxa" w:w="3249"/>
          </w:tcPr>
          <w:p>
            <w:r>
              <w:t>Medido por análisis</w:t>
            </w:r>
          </w:p>
        </w:tc>
      </w:tr>
      <w:tr>
        <w:tc>
          <w:tcPr>
            <w:tcW w:type="dxa" w:w="3249"/>
          </w:tcPr>
          <w:p>
            <w:r>
              <w:t>Security Hotspots</w:t>
            </w:r>
          </w:p>
        </w:tc>
        <w:tc>
          <w:tcPr>
            <w:tcW w:type="dxa" w:w="3249"/>
          </w:tcPr>
          <w:p>
            <w:r>
              <w:t>3</w:t>
            </w:r>
          </w:p>
        </w:tc>
        <w:tc>
          <w:tcPr>
            <w:tcW w:type="dxa" w:w="3249"/>
          </w:tcPr>
          <w:p>
            <w:r>
              <w:t>Medido por análisis</w:t>
            </w:r>
          </w:p>
        </w:tc>
      </w:tr>
      <w:tr>
        <w:tc>
          <w:tcPr>
            <w:tcW w:type="dxa" w:w="3249"/>
          </w:tcPr>
          <w:p>
            <w:r>
              <w:t>Code Smells</w:t>
            </w:r>
          </w:p>
        </w:tc>
        <w:tc>
          <w:tcPr>
            <w:tcW w:type="dxa" w:w="3249"/>
          </w:tcPr>
          <w:p>
            <w:r>
              <w:t>72</w:t>
            </w:r>
          </w:p>
        </w:tc>
        <w:tc>
          <w:tcPr>
            <w:tcW w:type="dxa" w:w="3249"/>
          </w:tcPr>
          <w:p>
            <w:r>
              <w:t>Medido por análisis</w:t>
            </w:r>
          </w:p>
        </w:tc>
      </w:tr>
      <w:tr>
        <w:tc>
          <w:tcPr>
            <w:tcW w:type="dxa" w:w="3249"/>
          </w:tcPr>
          <w:p>
            <w:r>
              <w:t>Coverage (%)</w:t>
            </w:r>
          </w:p>
        </w:tc>
        <w:tc>
          <w:tcPr>
            <w:tcW w:type="dxa" w:w="3249"/>
          </w:tcPr>
          <w:p>
            <w:r>
              <w:t>0.0</w:t>
            </w:r>
          </w:p>
        </w:tc>
        <w:tc>
          <w:tcPr>
            <w:tcW w:type="dxa" w:w="3249"/>
          </w:tcPr>
          <w:p>
            <w:r>
              <w:t>Medido por análisis</w:t>
            </w:r>
          </w:p>
        </w:tc>
      </w:tr>
      <w:tr>
        <w:tc>
          <w:tcPr>
            <w:tcW w:type="dxa" w:w="3249"/>
          </w:tcPr>
          <w:p>
            <w:r>
              <w:t>Líneas de código</w:t>
            </w:r>
          </w:p>
        </w:tc>
        <w:tc>
          <w:tcPr>
            <w:tcW w:type="dxa" w:w="3249"/>
          </w:tcPr>
          <w:p>
            <w:r>
              <w:t>10133</w:t>
            </w:r>
          </w:p>
        </w:tc>
        <w:tc>
          <w:tcPr>
            <w:tcW w:type="dxa" w:w="3249"/>
          </w:tcPr>
          <w:p>
            <w:r>
              <w:t>Medido por análisis</w:t>
            </w:r>
          </w:p>
        </w:tc>
      </w:tr>
      <w:tr>
        <w:tc>
          <w:tcPr>
            <w:tcW w:type="dxa" w:w="3249"/>
          </w:tcPr>
          <w:p>
            <w:r>
              <w:t>Duplicación (%)</w:t>
            </w:r>
          </w:p>
        </w:tc>
        <w:tc>
          <w:tcPr>
            <w:tcW w:type="dxa" w:w="3249"/>
          </w:tcPr>
          <w:p>
            <w:r>
              <w:t>14.5</w:t>
            </w:r>
          </w:p>
        </w:tc>
        <w:tc>
          <w:tcPr>
            <w:tcW w:type="dxa" w:w="3249"/>
          </w:tcPr>
          <w:p>
            <w:r>
              <w:t>Medido por análisis</w:t>
            </w:r>
          </w:p>
        </w:tc>
      </w:tr>
      <w:tr>
        <w:tc>
          <w:tcPr>
            <w:tcW w:type="dxa" w:w="3249"/>
          </w:tcPr>
          <w:p>
            <w:r>
              <w:t>Hotspots revisados (%)</w:t>
            </w:r>
          </w:p>
        </w:tc>
        <w:tc>
          <w:tcPr>
            <w:tcW w:type="dxa" w:w="3249"/>
          </w:tcPr>
          <w:p>
            <w:r>
              <w:t>0.0</w:t>
            </w:r>
          </w:p>
        </w:tc>
        <w:tc>
          <w:tcPr>
            <w:tcW w:type="dxa" w:w="3249"/>
          </w:tcPr>
          <w:p>
            <w:r>
              <w:t>Medido por análisis</w:t>
            </w:r>
          </w:p>
        </w:tc>
      </w:tr>
    </w:tbl>
    <w:p/>
    <w:p>
      <w:r>
        <w:rPr>
          <w:b w:val="0"/>
        </w:rPr>
        <w:t>Bugs indican problemas potenciales de fiabilidad; vulnerabilities requieren validación y corrección; hotspots requieren revisión contextual, no son automáticamente una vulnerabilidad; code smells reflejan mantenibilidad. Coverage proviene de pruebas instrumentadas: no se generó LCOV. Un valor reportado de 0% no equivale a cero pruebas de API; significa que el análisis no recibió cobertura ejecutable. El resultado del gate no sustituye la decisión QA ni certifica cumplimiento legal.</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E5EEF4"/>
          </w:tcPr>
          <w:p>
            <w:r>
              <w:rPr>
                <w:b/>
              </w:rPr>
              <w:t>Regla</w:t>
            </w:r>
          </w:p>
        </w:tc>
        <w:tc>
          <w:tcPr>
            <w:tcW w:type="dxa" w:w="2436"/>
            <w:shd w:fill="E5EEF4"/>
          </w:tcPr>
          <w:p>
            <w:r>
              <w:rPr>
                <w:b/>
              </w:rPr>
              <w:t>Severidad del analizador</w:t>
            </w:r>
          </w:p>
        </w:tc>
        <w:tc>
          <w:tcPr>
            <w:tcW w:type="dxa" w:w="2436"/>
            <w:shd w:fill="E5EEF4"/>
          </w:tcPr>
          <w:p>
            <w:r>
              <w:rPr>
                <w:b/>
              </w:rPr>
              <w:t>Archivo/línea</w:t>
            </w:r>
          </w:p>
        </w:tc>
        <w:tc>
          <w:tcPr>
            <w:tcW w:type="dxa" w:w="2436"/>
            <w:shd w:fill="E5EEF4"/>
          </w:tcPr>
          <w:p>
            <w:r>
              <w:rPr>
                <w:b/>
              </w:rPr>
              <w:t>Mensaje</w:t>
            </w:r>
          </w:p>
        </w:tc>
      </w:tr>
      <w:tr>
        <w:tc>
          <w:tcPr>
            <w:tcW w:type="dxa" w:w="2436"/>
          </w:tcPr>
          <w:p>
            <w:r>
              <w:t>javascript:S3776</w:t>
            </w:r>
          </w:p>
        </w:tc>
        <w:tc>
          <w:tcPr>
            <w:tcW w:type="dxa" w:w="2436"/>
          </w:tcPr>
          <w:p>
            <w:r>
              <w:t>CRITICAL</w:t>
            </w:r>
          </w:p>
        </w:tc>
        <w:tc>
          <w:tcPr>
            <w:tcW w:type="dxa" w:w="2436"/>
          </w:tcPr>
          <w:p>
            <w:r>
              <w:t>BACKEND/src/routes/auth.js:71</w:t>
            </w:r>
          </w:p>
        </w:tc>
        <w:tc>
          <w:tcPr>
            <w:tcW w:type="dxa" w:w="2436"/>
          </w:tcPr>
          <w:p>
            <w:r>
              <w:t>Refactor this function to reduce its Cognitive Complexity from 17 to the 15 allowed.</w:t>
            </w:r>
          </w:p>
        </w:tc>
      </w:tr>
      <w:tr>
        <w:tc>
          <w:tcPr>
            <w:tcW w:type="dxa" w:w="2436"/>
          </w:tcPr>
          <w:p>
            <w:r>
              <w:t>javascript:S3776</w:t>
            </w:r>
          </w:p>
        </w:tc>
        <w:tc>
          <w:tcPr>
            <w:tcW w:type="dxa" w:w="2436"/>
          </w:tcPr>
          <w:p>
            <w:r>
              <w:t>CRITICAL</w:t>
            </w:r>
          </w:p>
        </w:tc>
        <w:tc>
          <w:tcPr>
            <w:tcW w:type="dxa" w:w="2436"/>
          </w:tcPr>
          <w:p>
            <w:r>
              <w:t>BACKEND/src/routes/pacientes.js:48</w:t>
            </w:r>
          </w:p>
        </w:tc>
        <w:tc>
          <w:tcPr>
            <w:tcW w:type="dxa" w:w="2436"/>
          </w:tcPr>
          <w:p>
            <w:r>
              <w:t>Refactor this function to reduce its Cognitive Complexity from 22 to the 15 allowed.</w:t>
            </w:r>
          </w:p>
        </w:tc>
      </w:tr>
      <w:tr>
        <w:tc>
          <w:tcPr>
            <w:tcW w:type="dxa" w:w="2436"/>
          </w:tcPr>
          <w:p>
            <w:r>
              <w:t>javascript:S3776</w:t>
            </w:r>
          </w:p>
        </w:tc>
        <w:tc>
          <w:tcPr>
            <w:tcW w:type="dxa" w:w="2436"/>
          </w:tcPr>
          <w:p>
            <w:r>
              <w:t>CRITICAL</w:t>
            </w:r>
          </w:p>
        </w:tc>
        <w:tc>
          <w:tcPr>
            <w:tcW w:type="dxa" w:w="2436"/>
          </w:tcPr>
          <w:p>
            <w:r>
              <w:t>BACKEND/src/routes/pacientes.js:276</w:t>
            </w:r>
          </w:p>
        </w:tc>
        <w:tc>
          <w:tcPr>
            <w:tcW w:type="dxa" w:w="2436"/>
          </w:tcPr>
          <w:p>
            <w:r>
              <w:t>Refactor this function to reduce its Cognitive Complexity from 21 to the 15 allowed.</w:t>
            </w:r>
          </w:p>
        </w:tc>
      </w:tr>
      <w:tr>
        <w:tc>
          <w:tcPr>
            <w:tcW w:type="dxa" w:w="2436"/>
          </w:tcPr>
          <w:p>
            <w:r>
              <w:t>javascript:S3776</w:t>
            </w:r>
          </w:p>
        </w:tc>
        <w:tc>
          <w:tcPr>
            <w:tcW w:type="dxa" w:w="2436"/>
          </w:tcPr>
          <w:p>
            <w:r>
              <w:t>CRITICAL</w:t>
            </w:r>
          </w:p>
        </w:tc>
        <w:tc>
          <w:tcPr>
            <w:tcW w:type="dxa" w:w="2436"/>
          </w:tcPr>
          <w:p>
            <w:r>
              <w:t>BACKEND/src/routes/users.js:283</w:t>
            </w:r>
          </w:p>
        </w:tc>
        <w:tc>
          <w:tcPr>
            <w:tcW w:type="dxa" w:w="2436"/>
          </w:tcPr>
          <w:p>
            <w:r>
              <w:t>Refactor this function to reduce its Cognitive Complexity from 27 to the 15 allowed.</w:t>
            </w:r>
          </w:p>
        </w:tc>
      </w:tr>
      <w:tr>
        <w:tc>
          <w:tcPr>
            <w:tcW w:type="dxa" w:w="2436"/>
          </w:tcPr>
          <w:p>
            <w:r>
              <w:t>javascript:S3776</w:t>
            </w:r>
          </w:p>
        </w:tc>
        <w:tc>
          <w:tcPr>
            <w:tcW w:type="dxa" w:w="2436"/>
          </w:tcPr>
          <w:p>
            <w:r>
              <w:t>CRITICAL</w:t>
            </w:r>
          </w:p>
        </w:tc>
        <w:tc>
          <w:tcPr>
            <w:tcW w:type="dxa" w:w="2436"/>
          </w:tcPr>
          <w:p>
            <w:r>
              <w:t>BACKEND/src/routes/users.js:437</w:t>
            </w:r>
          </w:p>
        </w:tc>
        <w:tc>
          <w:tcPr>
            <w:tcW w:type="dxa" w:w="2436"/>
          </w:tcPr>
          <w:p>
            <w:r>
              <w:t>Refactor this function to reduce its Cognitive Complexity from 24 to the 15 allowed.</w:t>
            </w:r>
          </w:p>
        </w:tc>
      </w:tr>
      <w:tr>
        <w:tc>
          <w:tcPr>
            <w:tcW w:type="dxa" w:w="2436"/>
          </w:tcPr>
          <w:p>
            <w:r>
              <w:t>javascript:S3776</w:t>
            </w:r>
          </w:p>
        </w:tc>
        <w:tc>
          <w:tcPr>
            <w:tcW w:type="dxa" w:w="2436"/>
          </w:tcPr>
          <w:p>
            <w:r>
              <w:t>CRITICAL</w:t>
            </w:r>
          </w:p>
        </w:tc>
        <w:tc>
          <w:tcPr>
            <w:tcW w:type="dxa" w:w="2436"/>
          </w:tcPr>
          <w:p>
            <w:r>
              <w:t>FRONTEND/src/pages/examenes/ExamenForm.jsx:47</w:t>
            </w:r>
          </w:p>
        </w:tc>
        <w:tc>
          <w:tcPr>
            <w:tcW w:type="dxa" w:w="2436"/>
          </w:tcPr>
          <w:p>
            <w:r>
              <w:t>Refactor this function to reduce its Cognitive Complexity from 33 to the 15 allowed.</w:t>
            </w:r>
          </w:p>
        </w:tc>
      </w:tr>
      <w:tr>
        <w:tc>
          <w:tcPr>
            <w:tcW w:type="dxa" w:w="2436"/>
          </w:tcPr>
          <w:p>
            <w:r>
              <w:t>javascript:S3776</w:t>
            </w:r>
          </w:p>
        </w:tc>
        <w:tc>
          <w:tcPr>
            <w:tcW w:type="dxa" w:w="2436"/>
          </w:tcPr>
          <w:p>
            <w:r>
              <w:t>CRITICAL</w:t>
            </w:r>
          </w:p>
        </w:tc>
        <w:tc>
          <w:tcPr>
            <w:tcW w:type="dxa" w:w="2436"/>
          </w:tcPr>
          <w:p>
            <w:r>
              <w:t>FRONTEND/src/pages/pacientes/PacienteForm.jsx:21</w:t>
            </w:r>
          </w:p>
        </w:tc>
        <w:tc>
          <w:tcPr>
            <w:tcW w:type="dxa" w:w="2436"/>
          </w:tcPr>
          <w:p>
            <w:r>
              <w:t>Refactor this function to reduce its Cognitive Complexity from 22 to the 15 allowed.</w:t>
            </w:r>
          </w:p>
        </w:tc>
      </w:tr>
      <w:tr>
        <w:tc>
          <w:tcPr>
            <w:tcW w:type="dxa" w:w="2436"/>
          </w:tcPr>
          <w:p>
            <w:r>
              <w:t>javascript:S3776</w:t>
            </w:r>
          </w:p>
        </w:tc>
        <w:tc>
          <w:tcPr>
            <w:tcW w:type="dxa" w:w="2436"/>
          </w:tcPr>
          <w:p>
            <w:r>
              <w:t>CRITICAL</w:t>
            </w:r>
          </w:p>
        </w:tc>
        <w:tc>
          <w:tcPr>
            <w:tcW w:type="dxa" w:w="2436"/>
          </w:tcPr>
          <w:p>
            <w:r>
              <w:t>FRONTEND/src/pages/usuarios/UsuarioForm.jsx:173</w:t>
            </w:r>
          </w:p>
        </w:tc>
        <w:tc>
          <w:tcPr>
            <w:tcW w:type="dxa" w:w="2436"/>
          </w:tcPr>
          <w:p>
            <w:r>
              <w:t>Refactor this function to reduce its Cognitive Complexity from 39 to the 15 allowed.</w:t>
            </w:r>
          </w:p>
        </w:tc>
      </w:tr>
      <w:tr>
        <w:tc>
          <w:tcPr>
            <w:tcW w:type="dxa" w:w="2436"/>
          </w:tcPr>
          <w:p>
            <w:r>
              <w:t>javascript:S4165</w:t>
            </w:r>
          </w:p>
        </w:tc>
        <w:tc>
          <w:tcPr>
            <w:tcW w:type="dxa" w:w="2436"/>
          </w:tcPr>
          <w:p>
            <w:r>
              <w:t>MAJOR</w:t>
            </w:r>
          </w:p>
        </w:tc>
        <w:tc>
          <w:tcPr>
            <w:tcW w:type="dxa" w:w="2436"/>
          </w:tcPr>
          <w:p>
            <w:r>
              <w:t>BACKEND/src/routes/documentos.js:244</w:t>
            </w:r>
          </w:p>
        </w:tc>
        <w:tc>
          <w:tcPr>
            <w:tcW w:type="dxa" w:w="2436"/>
          </w:tcPr>
          <w:p>
            <w:r>
              <w:t>Review this redundant assignment: "contentType" already holds the assigned value along all execution paths.</w:t>
            </w:r>
          </w:p>
        </w:tc>
      </w:tr>
      <w:tr>
        <w:tc>
          <w:tcPr>
            <w:tcW w:type="dxa" w:w="2436"/>
          </w:tcPr>
          <w:p>
            <w:r>
              <w:t>javascript:S4624</w:t>
            </w:r>
          </w:p>
        </w:tc>
        <w:tc>
          <w:tcPr>
            <w:tcW w:type="dxa" w:w="2436"/>
          </w:tcPr>
          <w:p>
            <w:r>
              <w:t>MAJOR</w:t>
            </w:r>
          </w:p>
        </w:tc>
        <w:tc>
          <w:tcPr>
            <w:tcW w:type="dxa" w:w="2436"/>
          </w:tcPr>
          <w:p>
            <w:r>
              <w:t>BACKEND/src/routes/users.js:60</w:t>
            </w:r>
          </w:p>
        </w:tc>
        <w:tc>
          <w:tcPr>
            <w:tcW w:type="dxa" w:w="2436"/>
          </w:tcPr>
          <w:p>
            <w:r>
              <w:t>Refactor this code to not use nested template literals.</w:t>
            </w:r>
          </w:p>
        </w:tc>
      </w:tr>
      <w:tr>
        <w:tc>
          <w:tcPr>
            <w:tcW w:type="dxa" w:w="2436"/>
          </w:tcPr>
          <w:p>
            <w:r>
              <w:t>javascript:S1854</w:t>
            </w:r>
          </w:p>
        </w:tc>
        <w:tc>
          <w:tcPr>
            <w:tcW w:type="dxa" w:w="2436"/>
          </w:tcPr>
          <w:p>
            <w:r>
              <w:t>MAJOR</w:t>
            </w:r>
          </w:p>
        </w:tc>
        <w:tc>
          <w:tcPr>
            <w:tcW w:type="dxa" w:w="2436"/>
          </w:tcPr>
          <w:p>
            <w:r>
              <w:t>FRONTEND/src/components/RoleGuard.jsx:28</w:t>
            </w:r>
          </w:p>
        </w:tc>
        <w:tc>
          <w:tcPr>
            <w:tcW w:type="dxa" w:w="2436"/>
          </w:tcPr>
          <w:p>
            <w:r>
              <w:t>Remove this useless assignment to variable "location".</w:t>
            </w:r>
          </w:p>
        </w:tc>
      </w:tr>
      <w:tr>
        <w:tc>
          <w:tcPr>
            <w:tcW w:type="dxa" w:w="2436"/>
          </w:tcPr>
          <w:p>
            <w:r>
              <w:t>css:S4649</w:t>
            </w:r>
          </w:p>
        </w:tc>
        <w:tc>
          <w:tcPr>
            <w:tcW w:type="dxa" w:w="2436"/>
          </w:tcPr>
          <w:p>
            <w:r>
              <w:t>MAJOR</w:t>
            </w:r>
          </w:p>
        </w:tc>
        <w:tc>
          <w:tcPr>
            <w:tcW w:type="dxa" w:w="2436"/>
          </w:tcPr>
          <w:p>
            <w:r>
              <w:t>FRONTEND/src/index.css:6</w:t>
            </w:r>
          </w:p>
        </w:tc>
        <w:tc>
          <w:tcPr>
            <w:tcW w:type="dxa" w:w="2436"/>
          </w:tcPr>
          <w:p>
            <w:r>
              <w:t>Unexpected missing generic font family</w:t>
            </w:r>
          </w:p>
        </w:tc>
      </w:tr>
    </w:tbl>
    <w:p/>
    <w:p>
      <w:r>
        <w:rPr>
          <w:b w:val="0"/>
        </w:rPr>
        <w:t>La hipótesis de SQLi del encargo menciona backend/src/controllers/examenes.controller.js, archivo ausente. El código real usa BACKEND/src/routes/examenes.js y consultas parametrizadas observadas. No se atribuye a SonarQube una SQLi que no figure en sus issues. Si una edición del analizador no detecta un riesgo confirmado por API, la evidencia dinámica conserva validez y debe tratarse en QA.</w:t>
      </w:r>
    </w:p>
    <w:p>
      <w:pPr>
        <w:pStyle w:val="Heading3"/>
      </w:pPr>
      <w:r>
        <w:t>Hallazgos estáticos concretos y comparación con criterios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E5EEF4"/>
          </w:tcPr>
          <w:p>
            <w:r>
              <w:rPr>
                <w:b/>
              </w:rPr>
              <w:t>Hallazgo real</w:t>
            </w:r>
          </w:p>
        </w:tc>
        <w:tc>
          <w:tcPr>
            <w:tcW w:type="dxa" w:w="2436"/>
            <w:shd w:fill="E5EEF4"/>
          </w:tcPr>
          <w:p>
            <w:r>
              <w:rPr>
                <w:b/>
              </w:rPr>
              <w:t>Ubicación</w:t>
            </w:r>
          </w:p>
        </w:tc>
        <w:tc>
          <w:tcPr>
            <w:tcW w:type="dxa" w:w="2436"/>
            <w:shd w:fill="E5EEF4"/>
          </w:tcPr>
          <w:p>
            <w:r>
              <w:rPr>
                <w:b/>
              </w:rPr>
              <w:t>Interpretación técnica y criterio</w:t>
            </w:r>
          </w:p>
        </w:tc>
        <w:tc>
          <w:tcPr>
            <w:tcW w:type="dxa" w:w="2436"/>
            <w:shd w:fill="E5EEF4"/>
          </w:tcPr>
          <w:p>
            <w:r>
              <w:rPr>
                <w:b/>
              </w:rPr>
              <w:t>Acción propuesta</w:t>
            </w:r>
          </w:p>
        </w:tc>
      </w:tr>
      <w:tr>
        <w:tc>
          <w:tcPr>
            <w:tcW w:type="dxa" w:w="2436"/>
          </w:tcPr>
          <w:p>
            <w:r>
              <w:t>css:S4649, BUG MAJOR</w:t>
            </w:r>
          </w:p>
        </w:tc>
        <w:tc>
          <w:tcPr>
            <w:tcW w:type="dxa" w:w="2436"/>
          </w:tcPr>
          <w:p>
            <w:r>
              <w:t>FRONTEND/src/index.css:6</w:t>
            </w:r>
          </w:p>
        </w:tc>
        <w:tc>
          <w:tcPr>
            <w:tcW w:type="dxa" w:w="2436"/>
          </w:tcPr>
          <w:p>
            <w:r>
              <w:t>Falta familia tipográfica genérica de respaldo; afecta robustez visual/usabilidad. No demuestra por sí solo incumplimiento WCAG AA</w:t>
            </w:r>
          </w:p>
        </w:tc>
        <w:tc>
          <w:tcPr>
            <w:tcW w:type="dxa" w:w="2436"/>
          </w:tcPr>
          <w:p>
            <w:r>
              <w:t>Añadir respaldo adecuado y verificar legibilidad y zoom</w:t>
            </w:r>
          </w:p>
        </w:tc>
      </w:tr>
      <w:tr>
        <w:tc>
          <w:tcPr>
            <w:tcW w:type="dxa" w:w="2436"/>
          </w:tcPr>
          <w:p>
            <w:r>
              <w:t>javascript:S5693, hotspot TO_REVIEW</w:t>
            </w:r>
          </w:p>
        </w:tc>
        <w:tc>
          <w:tcPr>
            <w:tcW w:type="dxa" w:w="2436"/>
          </w:tcPr>
          <w:p>
            <w:r>
              <w:t>BACKEND/src/routes/documentos.js:11</w:t>
            </w:r>
          </w:p>
        </w:tc>
        <w:tc>
          <w:tcPr>
            <w:tcW w:type="dxa" w:w="2436"/>
          </w:tcPr>
          <w:p>
            <w:r>
              <w:t>Revisar límite de carga y memoria; riesgo de disponibilidad si múltiples archivos agotan recursos</w:t>
            </w:r>
          </w:p>
        </w:tc>
        <w:tc>
          <w:tcPr>
            <w:tcW w:type="dxa" w:w="2436"/>
          </w:tcPr>
          <w:p>
            <w:r>
              <w:t>Validar límite, concurrencia, almacenamiento y controles por actor</w:t>
            </w:r>
          </w:p>
        </w:tc>
      </w:tr>
      <w:tr>
        <w:tc>
          <w:tcPr>
            <w:tcW w:type="dxa" w:w="2436"/>
          </w:tcPr>
          <w:p>
            <w:r>
              <w:t>javascript:S5122, hotspot TO_REVIEW</w:t>
            </w:r>
          </w:p>
        </w:tc>
        <w:tc>
          <w:tcPr>
            <w:tcW w:type="dxa" w:w="2436"/>
          </w:tcPr>
          <w:p>
            <w:r>
              <w:t>BACKEND/src/app.js:21</w:t>
            </w:r>
          </w:p>
        </w:tc>
        <w:tc>
          <w:tcPr>
            <w:tcW w:type="dxa" w:w="2436"/>
          </w:tcPr>
          <w:p>
            <w:r>
              <w:t>CORS abierto requiere evaluación contextual de orígenes; se relaciona con protección de datos de salud, sin probar por sí solo acceso no autorizado</w:t>
            </w:r>
          </w:p>
        </w:tc>
        <w:tc>
          <w:tcPr>
            <w:tcW w:type="dxa" w:w="2436"/>
          </w:tcPr>
          <w:p>
            <w:r>
              <w:t>Definir allowlist y probar origen permitido/no permitido; mantener autorización por recurso</w:t>
            </w:r>
          </w:p>
        </w:tc>
      </w:tr>
      <w:tr>
        <w:tc>
          <w:tcPr>
            <w:tcW w:type="dxa" w:w="2436"/>
          </w:tcPr>
          <w:p>
            <w:r>
              <w:t>javascript:S5689, hotspot TO_REVIEW</w:t>
            </w:r>
          </w:p>
        </w:tc>
        <w:tc>
          <w:tcPr>
            <w:tcW w:type="dxa" w:w="2436"/>
          </w:tcPr>
          <w:p>
            <w:r>
              <w:t>BACKEND/src/app.js:19</w:t>
            </w:r>
          </w:p>
        </w:tc>
        <w:tc>
          <w:tcPr>
            <w:tcW w:type="dxa" w:w="2436"/>
          </w:tcPr>
          <w:p>
            <w:r>
              <w:t>Exposición de identificación tecnológica; revisión de configuración y superficie de información</w:t>
            </w:r>
          </w:p>
        </w:tc>
        <w:tc>
          <w:tcPr>
            <w:tcW w:type="dxa" w:w="2436"/>
          </w:tcPr>
          <w:p>
            <w:r>
              <w:t>Evaluar encabezados y deshabilitar divulgación innecesaria</w:t>
            </w:r>
          </w:p>
        </w:tc>
      </w:tr>
      <w:tr>
        <w:tc>
          <w:tcPr>
            <w:tcW w:type="dxa" w:w="2436"/>
          </w:tcPr>
          <w:p>
            <w:r>
              <w:t>72 Code Smells</w:t>
            </w:r>
          </w:p>
        </w:tc>
        <w:tc>
          <w:tcPr>
            <w:tcW w:type="dxa" w:w="2436"/>
          </w:tcPr>
          <w:p>
            <w:r>
              <w:t>issues.json y Hallazgos_sonar.csv</w:t>
            </w:r>
          </w:p>
        </w:tc>
        <w:tc>
          <w:tcPr>
            <w:tcW w:type="dxa" w:w="2436"/>
          </w:tcPr>
          <w:p>
            <w:r>
              <w:t>Deuda de mantenibilidad conforme al criterio de calidad ISO/IEC 25010; no equivalen a 72 vulnerabilidades</w:t>
            </w:r>
          </w:p>
        </w:tc>
        <w:tc>
          <w:tcPr>
            <w:tcW w:type="dxa" w:w="2436"/>
          </w:tcPr>
          <w:p>
            <w:r>
              <w:t>Priorizar complejidad y duplicación con regresión</w:t>
            </w:r>
          </w:p>
        </w:tc>
      </w:tr>
    </w:tbl>
    <w:p/>
    <w:p>
      <w:r>
        <w:rPr>
          <w:b w:val="0"/>
        </w:rPr>
        <w:t>La exportación del gate indica status OK y conditions vacío: no aporta condiciones evaluadas que permitan inferir el cumplimiento de nuestros umbrales de aceptación. Cero vulnerabilidades SAST no significa ausencia de vulnerabilidades: la API confirmó dos defectos críticos de autorización. Los tres hotspots permanecen TO_REVIEW, con 0% de revisión en la herramienta. No se simula que hayan sido cerrados.</w:t>
      </w:r>
    </w:p>
    <w:p>
      <w:r>
        <w:rPr>
          <w:b w:val="0"/>
        </w:rPr>
        <w:t>Limitación de compatibilidad: el analizador advirtió que Node.js 22 no era una versión recomendada para esa edición (recomendaba 16/18). Aun así registró 56/56 archivos JavaScript analizados y completó el reporte. Se documenta la advertencia y se requiere repetir con una combinación validada antes de una certificación final. La edición LTA histórica se usa solo para este análisis académico local; no se presenta como recomendación productiva vigente. El primer intento con la imagen reciente quedó en arranque bajo presión de memoria y se conserva como diagnóstico separado, sin mezclar resultados.</w:t>
      </w:r>
    </w:p>
    <w:p>
      <w:pPr>
        <w:pStyle w:val="Heading2"/>
      </w:pPr>
      <w:r>
        <w:t>5.3 Criticidad de incidentes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E5EEF4"/>
          </w:tcPr>
          <w:p>
            <w:r>
              <w:rPr>
                <w:b/>
              </w:rPr>
              <w:t>Nivel</w:t>
            </w:r>
          </w:p>
        </w:tc>
        <w:tc>
          <w:tcPr>
            <w:tcW w:type="dxa" w:w="2436"/>
            <w:shd w:fill="E5EEF4"/>
          </w:tcPr>
          <w:p>
            <w:r>
              <w:rPr>
                <w:b/>
              </w:rPr>
              <w:t>Descripción</w:t>
            </w:r>
          </w:p>
        </w:tc>
        <w:tc>
          <w:tcPr>
            <w:tcW w:type="dxa" w:w="2436"/>
            <w:shd w:fill="E5EEF4"/>
          </w:tcPr>
          <w:p>
            <w:r>
              <w:rPr>
                <w:b/>
              </w:rPr>
              <w:t>Impacto</w:t>
            </w:r>
          </w:p>
        </w:tc>
        <w:tc>
          <w:tcPr>
            <w:tcW w:type="dxa" w:w="2436"/>
            <w:shd w:fill="E5EEF4"/>
          </w:tcPr>
          <w:p>
            <w:r>
              <w:rPr>
                <w:b/>
              </w:rPr>
              <w:t>Tratamiento</w:t>
            </w:r>
          </w:p>
        </w:tc>
      </w:tr>
      <w:tr>
        <w:tc>
          <w:tcPr>
            <w:tcW w:type="dxa" w:w="2436"/>
          </w:tcPr>
          <w:p>
            <w:r>
              <w:t>CRÍTICO</w:t>
            </w:r>
          </w:p>
        </w:tc>
        <w:tc>
          <w:tcPr>
            <w:tcW w:type="dxa" w:w="2436"/>
          </w:tcPr>
          <w:p>
            <w:r>
              <w:t>Acceso privilegiado o acción destructiva sin autorización</w:t>
            </w:r>
          </w:p>
        </w:tc>
        <w:tc>
          <w:tcPr>
            <w:tcW w:type="dxa" w:w="2436"/>
          </w:tcPr>
          <w:p>
            <w:r>
              <w:t>Confidencialidad e integridad severamente comprometidas</w:t>
            </w:r>
          </w:p>
        </w:tc>
        <w:tc>
          <w:tcPr>
            <w:tcW w:type="dxa" w:w="2436"/>
          </w:tcPr>
          <w:p>
            <w:r>
              <w:t>Bloquear despliegue; remediación y retest prioritarios</w:t>
            </w:r>
          </w:p>
        </w:tc>
      </w:tr>
      <w:tr>
        <w:tc>
          <w:tcPr>
            <w:tcW w:type="dxa" w:w="2436"/>
          </w:tcPr>
          <w:p>
            <w:r>
              <w:t>GRAVE</w:t>
            </w:r>
          </w:p>
        </w:tc>
        <w:tc>
          <w:tcPr>
            <w:tcW w:type="dxa" w:w="2436"/>
          </w:tcPr>
          <w:p>
            <w:r>
              <w:t>Función principal, protección de datos o trazabilidad incumplida</w:t>
            </w:r>
          </w:p>
        </w:tc>
        <w:tc>
          <w:tcPr>
            <w:tcW w:type="dxa" w:w="2436"/>
          </w:tcPr>
          <w:p>
            <w:r>
              <w:t>Alto; el sistema puede operar parcialmente</w:t>
            </w:r>
          </w:p>
        </w:tc>
        <w:tc>
          <w:tcPr>
            <w:tcW w:type="dxa" w:w="2436"/>
          </w:tcPr>
          <w:p>
            <w:r>
              <w:t>Corregir antes de producción</w:t>
            </w:r>
          </w:p>
        </w:tc>
      </w:tr>
      <w:tr>
        <w:tc>
          <w:tcPr>
            <w:tcW w:type="dxa" w:w="2436"/>
          </w:tcPr>
          <w:p>
            <w:r>
              <w:t>MODERADO</w:t>
            </w:r>
          </w:p>
        </w:tc>
        <w:tc>
          <w:tcPr>
            <w:tcW w:type="dxa" w:w="2436"/>
          </w:tcPr>
          <w:p>
            <w:r>
              <w:t>Desviación secundaria sin bloqueo principal</w:t>
            </w:r>
          </w:p>
        </w:tc>
        <w:tc>
          <w:tcPr>
            <w:tcW w:type="dxa" w:w="2436"/>
          </w:tcPr>
          <w:p>
            <w:r>
              <w:t>Medio; existe alternativa aceptable</w:t>
            </w:r>
          </w:p>
        </w:tc>
        <w:tc>
          <w:tcPr>
            <w:tcW w:type="dxa" w:w="2436"/>
          </w:tcPr>
          <w:p>
            <w:r>
              <w:t>Planificar corrección con responsable</w:t>
            </w:r>
          </w:p>
        </w:tc>
      </w:tr>
      <w:tr>
        <w:tc>
          <w:tcPr>
            <w:tcW w:type="dxa" w:w="2436"/>
          </w:tcPr>
          <w:p>
            <w:r>
              <w:t>LEVE</w:t>
            </w:r>
          </w:p>
        </w:tc>
        <w:tc>
          <w:tcPr>
            <w:tcW w:type="dxa" w:w="2436"/>
          </w:tcPr>
          <w:p>
            <w:r>
              <w:t>Texto o apariencia sin efecto funcional</w:t>
            </w:r>
          </w:p>
        </w:tc>
        <w:tc>
          <w:tcPr>
            <w:tcW w:type="dxa" w:w="2436"/>
          </w:tcPr>
          <w:p>
            <w:r>
              <w:t>Bajo</w:t>
            </w:r>
          </w:p>
        </w:tc>
        <w:tc>
          <w:tcPr>
            <w:tcW w:type="dxa" w:w="2436"/>
          </w:tcPr>
          <w:p>
            <w:r>
              <w:t>Resolver por prioridad acordada</w:t>
            </w:r>
          </w:p>
        </w:tc>
      </w:tr>
    </w:tbl>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E5EEF4"/>
          </w:tcPr>
          <w:p>
            <w:r>
              <w:rPr>
                <w:b/>
              </w:rPr>
              <w:t>Incidente</w:t>
            </w:r>
          </w:p>
        </w:tc>
        <w:tc>
          <w:tcPr>
            <w:tcW w:type="dxa" w:w="1949"/>
            <w:shd w:fill="E5EEF4"/>
          </w:tcPr>
          <w:p>
            <w:r>
              <w:rPr>
                <w:b/>
              </w:rPr>
              <w:t>Caso</w:t>
            </w:r>
          </w:p>
        </w:tc>
        <w:tc>
          <w:tcPr>
            <w:tcW w:type="dxa" w:w="1949"/>
            <w:shd w:fill="E5EEF4"/>
          </w:tcPr>
          <w:p>
            <w:r>
              <w:rPr>
                <w:b/>
              </w:rPr>
              <w:t>Criticidad</w:t>
            </w:r>
          </w:p>
        </w:tc>
        <w:tc>
          <w:tcPr>
            <w:tcW w:type="dxa" w:w="1949"/>
            <w:shd w:fill="E5EEF4"/>
          </w:tcPr>
          <w:p>
            <w:r>
              <w:rPr>
                <w:b/>
              </w:rPr>
              <w:t>Descripción</w:t>
            </w:r>
          </w:p>
        </w:tc>
        <w:tc>
          <w:tcPr>
            <w:tcW w:type="dxa" w:w="1949"/>
            <w:shd w:fill="E5EEF4"/>
          </w:tcPr>
          <w:p>
            <w:r>
              <w:rPr>
                <w:b/>
              </w:rPr>
              <w:t>Resultado observado</w:t>
            </w:r>
          </w:p>
        </w:tc>
      </w:tr>
      <w:tr>
        <w:tc>
          <w:tcPr>
            <w:tcW w:type="dxa" w:w="1949"/>
          </w:tcPr>
          <w:p>
            <w:r>
              <w:t>DEF-001</w:t>
            </w:r>
          </w:p>
        </w:tc>
        <w:tc>
          <w:tcPr>
            <w:tcW w:type="dxa" w:w="1949"/>
          </w:tcPr>
          <w:p>
            <w:r>
              <w:t>CP-API-009</w:t>
            </w:r>
          </w:p>
        </w:tc>
        <w:tc>
          <w:tcPr>
            <w:tcW w:type="dxa" w:w="1949"/>
          </w:tcPr>
          <w:p>
            <w:r>
              <w:t>GRAVE / Alta</w:t>
            </w:r>
          </w:p>
        </w:tc>
        <w:tc>
          <w:tcPr>
            <w:tcW w:type="dxa" w:w="1949"/>
          </w:tcPr>
          <w:p>
            <w:r>
              <w:t>Auditoría sin origen IP</w:t>
            </w:r>
          </w:p>
        </w:tc>
        <w:tc>
          <w:tcPr>
            <w:tcW w:type="dxa" w:w="1949"/>
          </w:tcPr>
          <w:p>
            <w:r>
              <w:t>El cambio devuelve 200 y existe evento, pero auditoria solo contiene id, usuario_id, accion y fecha_hora.</w:t>
            </w:r>
          </w:p>
        </w:tc>
      </w:tr>
      <w:tr>
        <w:tc>
          <w:tcPr>
            <w:tcW w:type="dxa" w:w="1949"/>
          </w:tcPr>
          <w:p>
            <w:r>
              <w:t>DEF-002</w:t>
            </w:r>
          </w:p>
        </w:tc>
        <w:tc>
          <w:tcPr>
            <w:tcW w:type="dxa" w:w="1949"/>
          </w:tcPr>
          <w:p>
            <w:r>
              <w:t>CP-API-008</w:t>
            </w:r>
          </w:p>
        </w:tc>
        <w:tc>
          <w:tcPr>
            <w:tcW w:type="dxa" w:w="1949"/>
          </w:tcPr>
          <w:p>
            <w:r>
              <w:t>GRAVE / Alta</w:t>
            </w:r>
          </w:p>
        </w:tc>
        <w:tc>
          <w:tcPr>
            <w:tcW w:type="dxa" w:w="1949"/>
          </w:tcPr>
          <w:p>
            <w:r>
              <w:t>Contraseñas en texto claro</w:t>
            </w:r>
          </w:p>
        </w:tc>
        <w:tc>
          <w:tcPr>
            <w:tcW w:type="dxa" w:w="1949"/>
          </w:tcPr>
          <w:p>
            <w:r>
              <w:t>La contraseña persistida es idéntica a la entrada y no tiene formato bcrypt.</w:t>
            </w:r>
          </w:p>
        </w:tc>
      </w:tr>
      <w:tr>
        <w:tc>
          <w:tcPr>
            <w:tcW w:type="dxa" w:w="1949"/>
          </w:tcPr>
          <w:p>
            <w:r>
              <w:t>DEF-003</w:t>
            </w:r>
          </w:p>
        </w:tc>
        <w:tc>
          <w:tcPr>
            <w:tcW w:type="dxa" w:w="1949"/>
          </w:tcPr>
          <w:p>
            <w:r>
              <w:t>CP-API-007</w:t>
            </w:r>
          </w:p>
        </w:tc>
        <w:tc>
          <w:tcPr>
            <w:tcW w:type="dxa" w:w="1949"/>
          </w:tcPr>
          <w:p>
            <w:r>
              <w:t>GRAVE / Alta</w:t>
            </w:r>
          </w:p>
        </w:tc>
        <w:tc>
          <w:tcPr>
            <w:tcW w:type="dxa" w:w="1949"/>
          </w:tcPr>
          <w:p>
            <w:r>
              <w:t>Eliminación física de exámenes</w:t>
            </w:r>
          </w:p>
        </w:tc>
        <w:tc>
          <w:tcPr>
            <w:tcW w:type="dxa" w:w="1949"/>
          </w:tcPr>
          <w:p>
            <w:r>
              <w:t>DELETE responde 200 y la consulta posterior retorna cero filas.</w:t>
            </w:r>
          </w:p>
        </w:tc>
      </w:tr>
      <w:tr>
        <w:tc>
          <w:tcPr>
            <w:tcW w:type="dxa" w:w="1949"/>
          </w:tcPr>
          <w:p>
            <w:r>
              <w:t>DEF-004</w:t>
            </w:r>
          </w:p>
        </w:tc>
        <w:tc>
          <w:tcPr>
            <w:tcW w:type="dxa" w:w="1949"/>
          </w:tcPr>
          <w:p>
            <w:r>
              <w:t>CP-API-011</w:t>
            </w:r>
          </w:p>
        </w:tc>
        <w:tc>
          <w:tcPr>
            <w:tcW w:type="dxa" w:w="1949"/>
          </w:tcPr>
          <w:p>
            <w:r>
              <w:t>GRAVE / Alta</w:t>
            </w:r>
          </w:p>
        </w:tc>
        <w:tc>
          <w:tcPr>
            <w:tcW w:type="dxa" w:w="1949"/>
          </w:tcPr>
          <w:p>
            <w:r>
              <w:t>Latencia fuera de criterio</w:t>
            </w:r>
          </w:p>
        </w:tc>
        <w:tc>
          <w:tcPr>
            <w:tcW w:type="dxa" w:w="1949"/>
          </w:tcPr>
          <w:p>
            <w:r>
              <w:t>GET /examenes supera 300 ms; hay delayMiddleware(5000).</w:t>
            </w:r>
          </w:p>
        </w:tc>
      </w:tr>
      <w:tr>
        <w:tc>
          <w:tcPr>
            <w:tcW w:type="dxa" w:w="1949"/>
          </w:tcPr>
          <w:p>
            <w:r>
              <w:t>DEF-005</w:t>
            </w:r>
          </w:p>
        </w:tc>
        <w:tc>
          <w:tcPr>
            <w:tcW w:type="dxa" w:w="1949"/>
          </w:tcPr>
          <w:p>
            <w:r>
              <w:t>CP-API-010</w:t>
            </w:r>
          </w:p>
        </w:tc>
        <w:tc>
          <w:tcPr>
            <w:tcW w:type="dxa" w:w="1949"/>
          </w:tcPr>
          <w:p>
            <w:r>
              <w:t>CRÍTICO</w:t>
            </w:r>
          </w:p>
        </w:tc>
        <w:tc>
          <w:tcPr>
            <w:tcW w:type="dxa" w:w="1949"/>
          </w:tcPr>
          <w:p>
            <w:r>
              <w:t>Escalamiento de médico a administrador</w:t>
            </w:r>
          </w:p>
        </w:tc>
        <w:tc>
          <w:tcPr>
            <w:tcW w:type="dxa" w:w="1949"/>
          </w:tcPr>
          <w:p>
            <w:r>
              <w:t>Médico modifica su propio rol con HTTP 200 y queda como admin en usuario_roles.</w:t>
            </w:r>
          </w:p>
        </w:tc>
      </w:tr>
      <w:tr>
        <w:tc>
          <w:tcPr>
            <w:tcW w:type="dxa" w:w="1949"/>
          </w:tcPr>
          <w:p>
            <w:r>
              <w:t>DEF-006</w:t>
            </w:r>
          </w:p>
        </w:tc>
        <w:tc>
          <w:tcPr>
            <w:tcW w:type="dxa" w:w="1949"/>
          </w:tcPr>
          <w:p>
            <w:r>
              <w:t>CP-API-012</w:t>
            </w:r>
          </w:p>
        </w:tc>
        <w:tc>
          <w:tcPr>
            <w:tcW w:type="dxa" w:w="1949"/>
          </w:tcPr>
          <w:p>
            <w:r>
              <w:t>CRÍTICO</w:t>
            </w:r>
          </w:p>
        </w:tc>
        <w:tc>
          <w:tcPr>
            <w:tcW w:type="dxa" w:w="1949"/>
          </w:tcPr>
          <w:p>
            <w:r>
              <w:t>Eliminación de usuario sin autenticar</w:t>
            </w:r>
          </w:p>
        </w:tc>
        <w:tc>
          <w:tcPr>
            <w:tcW w:type="dxa" w:w="1949"/>
          </w:tcPr>
          <w:p>
            <w:r>
              <w:t>DELETE /usuarios/:id sin token devuelve 200 y elimina la cuenta sintética.</w:t>
            </w:r>
          </w:p>
        </w:tc>
      </w:tr>
    </w:tbl>
    <w:p/>
    <w:p>
      <w:r>
        <w:rPr>
          <w:b w:val="0"/>
        </w:rPr>
        <w:t>Se identificaron seis defectos de ejecución: dos críticos y cuatro graves. Se encuentran abiertos; no hubo remediación ni retest de cierre. Los hallazgos SonarQube se registran aparte y no se suman automáticamente como defectos únicos, porque pueden duplicar problemas o requerir revisión contextual.</w:t>
      </w:r>
    </w:p>
    <w:p>
      <w:pPr>
        <w:pStyle w:val="Heading3"/>
      </w:pPr>
      <w:r>
        <w:t>DEF-001 — Auditoría sin origen IP</w:t>
      </w:r>
    </w:p>
    <w:p>
      <w:r>
        <w:rPr>
          <w:b w:val="0"/>
        </w:rPr>
      </w:r>
      <w:r>
        <w:rPr>
          <w:b/>
        </w:rPr>
        <w:t>Caso y severidad:</w:t>
      </w:r>
      <w:r>
        <w:rPr>
          <w:b w:val="0"/>
        </w:rPr>
        <w:t xml:space="preserve"> CP-API-009; GRAVE / Alta. </w:t>
      </w:r>
      <w:r>
        <w:rPr>
          <w:b/>
        </w:rPr>
        <w:t>Entorno:</w:t>
      </w:r>
      <w:r>
        <w:rPr>
          <w:b w:val="0"/>
        </w:rPr>
        <w:t xml:space="preserve"> API 4445, base cuidarte_qa sintética. </w:t>
      </w:r>
      <w:r>
        <w:rPr>
          <w:b/>
        </w:rPr>
        <w:t>Estado:</w:t>
      </w:r>
      <w:r>
        <w:rPr>
          <w:b w:val="0"/>
        </w:rPr>
        <w:t xml:space="preserve"> abierto.</w:t>
      </w:r>
    </w:p>
    <w:p>
      <w:r>
        <w:rPr>
          <w:b w:val="0"/>
        </w:rPr>
      </w:r>
      <w:r>
        <w:rPr>
          <w:b/>
        </w:rPr>
        <w:t>Pasos reproducibles:</w:t>
      </w:r>
      <w:r>
        <w:rPr>
          <w:b w:val="0"/>
        </w:rPr>
        <w:t xml:space="preserve"> ejecutar el script y localizar CP-API-009; la ficha de caso y el código del runner contienen peticiones, datos sintéticos y comprobación de base. </w:t>
      </w:r>
      <w:r>
        <w:rPr>
          <w:b/>
        </w:rPr>
        <w:t>Esperado:</w:t>
      </w:r>
      <w:r>
        <w:rPr>
          <w:b w:val="0"/>
        </w:rPr>
        <w:t xml:space="preserve"> Cambio auditado con origen IP. </w:t>
      </w:r>
      <w:r>
        <w:rPr>
          <w:b/>
        </w:rPr>
        <w:t>Obtenido:</w:t>
      </w:r>
      <w:r>
        <w:rPr>
          <w:b w:val="0"/>
        </w:rPr>
        <w:t xml:space="preserve"> El cambio devuelve 200 y existe evento, pero auditoria solo contiene id, usuario_id, accion y fecha_hora.</w:t>
      </w:r>
    </w:p>
    <w:p>
      <w:r>
        <w:rPr>
          <w:b w:val="0"/>
        </w:rPr>
      </w:r>
      <w:r>
        <w:rPr>
          <w:b/>
        </w:rPr>
        <w:t>Impacto:</w:t>
      </w:r>
      <w:r>
        <w:rPr>
          <w:b w:val="0"/>
        </w:rPr>
        <w:t xml:space="preserve"> Dificulta correlación e investigación de cambios privilegiados. </w:t>
      </w:r>
      <w:r>
        <w:rPr>
          <w:b/>
        </w:rPr>
        <w:t>Recomendación:</w:t>
      </w:r>
      <w:r>
        <w:rPr>
          <w:b w:val="0"/>
        </w:rPr>
        <w:t xml:space="preserve"> Capturar origen validado, evento estructurado y transacción; limitar privilegios y retestar proxies. </w:t>
      </w:r>
      <w:r>
        <w:rPr>
          <w:b/>
        </w:rPr>
        <w:t>Evidencia:</w:t>
      </w:r>
      <w:r>
        <w:rPr>
          <w:b w:val="0"/>
        </w:rPr>
        <w:t xml:space="preserve"> resultados_api.json, fila CP-API-009, y capturas del resumen de ejecución. </w:t>
      </w:r>
      <w:r>
        <w:rPr>
          <w:b/>
        </w:rPr>
        <w:t>Responsable propuesto:</w:t>
      </w:r>
      <w:r>
        <w:rPr>
          <w:b w:val="0"/>
        </w:rPr>
        <w:t xml:space="preserve"> desarrollo backend; revisión QA. </w:t>
      </w:r>
      <w:r>
        <w:rPr>
          <w:b/>
        </w:rPr>
        <w:t>Retest:</w:t>
      </w:r>
      <w:r>
        <w:rPr>
          <w:b w:val="0"/>
        </w:rPr>
        <w:t xml:space="preserve"> repetir positivo y negativo, comprobar persistencia y ejecutar regresión de roles y sesiones.</w:t>
      </w:r>
    </w:p>
    <w:p>
      <w:pPr>
        <w:pStyle w:val="Heading3"/>
      </w:pPr>
      <w:r>
        <w:t>DEF-002 — Contraseñas en texto claro</w:t>
      </w:r>
    </w:p>
    <w:p>
      <w:r>
        <w:rPr>
          <w:b w:val="0"/>
        </w:rPr>
      </w:r>
      <w:r>
        <w:rPr>
          <w:b/>
        </w:rPr>
        <w:t>Caso y severidad:</w:t>
      </w:r>
      <w:r>
        <w:rPr>
          <w:b w:val="0"/>
        </w:rPr>
        <w:t xml:space="preserve"> CP-API-008; GRAVE / Alta. </w:t>
      </w:r>
      <w:r>
        <w:rPr>
          <w:b/>
        </w:rPr>
        <w:t>Entorno:</w:t>
      </w:r>
      <w:r>
        <w:rPr>
          <w:b w:val="0"/>
        </w:rPr>
        <w:t xml:space="preserve"> API 4445, base cuidarte_qa sintética. </w:t>
      </w:r>
      <w:r>
        <w:rPr>
          <w:b/>
        </w:rPr>
        <w:t>Estado:</w:t>
      </w:r>
      <w:r>
        <w:rPr>
          <w:b w:val="0"/>
        </w:rPr>
        <w:t xml:space="preserve"> abierto.</w:t>
      </w:r>
    </w:p>
    <w:p>
      <w:r>
        <w:rPr>
          <w:b w:val="0"/>
        </w:rPr>
      </w:r>
      <w:r>
        <w:rPr>
          <w:b/>
        </w:rPr>
        <w:t>Pasos reproducibles:</w:t>
      </w:r>
      <w:r>
        <w:rPr>
          <w:b w:val="0"/>
        </w:rPr>
        <w:t xml:space="preserve"> ejecutar el script y localizar CP-API-008; la ficha de caso y el código del runner contienen peticiones, datos sintéticos y comprobación de base. </w:t>
      </w:r>
      <w:r>
        <w:rPr>
          <w:b/>
        </w:rPr>
        <w:t>Esperado:</w:t>
      </w:r>
      <w:r>
        <w:rPr>
          <w:b w:val="0"/>
        </w:rPr>
        <w:t xml:space="preserve"> Hash bcrypt; no texto claro. </w:t>
      </w:r>
      <w:r>
        <w:rPr>
          <w:b/>
        </w:rPr>
        <w:t>Obtenido:</w:t>
      </w:r>
      <w:r>
        <w:rPr>
          <w:b w:val="0"/>
        </w:rPr>
        <w:t xml:space="preserve"> La contraseña persistida es idéntica a la entrada y no tiene formato bcrypt.</w:t>
      </w:r>
    </w:p>
    <w:p>
      <w:r>
        <w:rPr>
          <w:b w:val="0"/>
        </w:rPr>
      </w:r>
      <w:r>
        <w:rPr>
          <w:b/>
        </w:rPr>
        <w:t>Impacto:</w:t>
      </w:r>
      <w:r>
        <w:rPr>
          <w:b w:val="0"/>
        </w:rPr>
        <w:t xml:space="preserve"> Compromiso de cuentas si se expone la base. </w:t>
      </w:r>
      <w:r>
        <w:rPr>
          <w:b/>
        </w:rPr>
        <w:t>Recomendación:</w:t>
      </w:r>
      <w:r>
        <w:rPr>
          <w:b w:val="0"/>
        </w:rPr>
        <w:t xml:space="preserve"> Hash adaptativo, migración y verificación segura; retest de login. </w:t>
      </w:r>
      <w:r>
        <w:rPr>
          <w:b/>
        </w:rPr>
        <w:t>Evidencia:</w:t>
      </w:r>
      <w:r>
        <w:rPr>
          <w:b w:val="0"/>
        </w:rPr>
        <w:t xml:space="preserve"> resultados_api.json, fila CP-API-008, y capturas del resumen de ejecución. </w:t>
      </w:r>
      <w:r>
        <w:rPr>
          <w:b/>
        </w:rPr>
        <w:t>Responsable propuesto:</w:t>
      </w:r>
      <w:r>
        <w:rPr>
          <w:b w:val="0"/>
        </w:rPr>
        <w:t xml:space="preserve"> desarrollo backend; revisión QA. </w:t>
      </w:r>
      <w:r>
        <w:rPr>
          <w:b/>
        </w:rPr>
        <w:t>Retest:</w:t>
      </w:r>
      <w:r>
        <w:rPr>
          <w:b w:val="0"/>
        </w:rPr>
        <w:t xml:space="preserve"> repetir positivo y negativo, comprobar persistencia y ejecutar regresión de roles y sesiones.</w:t>
      </w:r>
    </w:p>
    <w:p>
      <w:pPr>
        <w:pStyle w:val="Heading3"/>
      </w:pPr>
      <w:r>
        <w:t>DEF-003 — Eliminación física de exámenes</w:t>
      </w:r>
    </w:p>
    <w:p>
      <w:r>
        <w:rPr>
          <w:b w:val="0"/>
        </w:rPr>
      </w:r>
      <w:r>
        <w:rPr>
          <w:b/>
        </w:rPr>
        <w:t>Caso y severidad:</w:t>
      </w:r>
      <w:r>
        <w:rPr>
          <w:b w:val="0"/>
        </w:rPr>
        <w:t xml:space="preserve"> CP-API-007; GRAVE / Alta. </w:t>
      </w:r>
      <w:r>
        <w:rPr>
          <w:b/>
        </w:rPr>
        <w:t>Entorno:</w:t>
      </w:r>
      <w:r>
        <w:rPr>
          <w:b w:val="0"/>
        </w:rPr>
        <w:t xml:space="preserve"> API 4445, base cuidarte_qa sintética. </w:t>
      </w:r>
      <w:r>
        <w:rPr>
          <w:b/>
        </w:rPr>
        <w:t>Estado:</w:t>
      </w:r>
      <w:r>
        <w:rPr>
          <w:b w:val="0"/>
        </w:rPr>
        <w:t xml:space="preserve"> abierto.</w:t>
      </w:r>
    </w:p>
    <w:p>
      <w:r>
        <w:rPr>
          <w:b w:val="0"/>
        </w:rPr>
      </w:r>
      <w:r>
        <w:rPr>
          <w:b/>
        </w:rPr>
        <w:t>Pasos reproducibles:</w:t>
      </w:r>
      <w:r>
        <w:rPr>
          <w:b w:val="0"/>
        </w:rPr>
        <w:t xml:space="preserve"> ejecutar el script y localizar CP-API-007; la ficha de caso y el código del runner contienen peticiones, datos sintéticos y comprobación de base. </w:t>
      </w:r>
      <w:r>
        <w:rPr>
          <w:b/>
        </w:rPr>
        <w:t>Esperado:</w:t>
      </w:r>
      <w:r>
        <w:rPr>
          <w:b w:val="0"/>
        </w:rPr>
        <w:t xml:space="preserve"> La fila permanece con marca lógica. </w:t>
      </w:r>
      <w:r>
        <w:rPr>
          <w:b/>
        </w:rPr>
        <w:t>Obtenido:</w:t>
      </w:r>
      <w:r>
        <w:rPr>
          <w:b w:val="0"/>
        </w:rPr>
        <w:t xml:space="preserve"> DELETE responde 200 y la consulta posterior retorna cero filas.</w:t>
      </w:r>
    </w:p>
    <w:p>
      <w:r>
        <w:rPr>
          <w:b w:val="0"/>
        </w:rPr>
      </w:r>
      <w:r>
        <w:rPr>
          <w:b/>
        </w:rPr>
        <w:t>Impacto:</w:t>
      </w:r>
      <w:r>
        <w:rPr>
          <w:b w:val="0"/>
        </w:rPr>
        <w:t xml:space="preserve"> Pérdida de información clínica y posible cascada de adjuntos. </w:t>
      </w:r>
      <w:r>
        <w:rPr>
          <w:b/>
        </w:rPr>
        <w:t>Recomendación:</w:t>
      </w:r>
      <w:r>
        <w:rPr>
          <w:b w:val="0"/>
        </w:rPr>
        <w:t xml:space="preserve"> Soft delete transaccional y políticas coherentes de consulta y conservación. </w:t>
      </w:r>
      <w:r>
        <w:rPr>
          <w:b/>
        </w:rPr>
        <w:t>Evidencia:</w:t>
      </w:r>
      <w:r>
        <w:rPr>
          <w:b w:val="0"/>
        </w:rPr>
        <w:t xml:space="preserve"> resultados_api.json, fila CP-API-007, y capturas del resumen de ejecución. </w:t>
      </w:r>
      <w:r>
        <w:rPr>
          <w:b/>
        </w:rPr>
        <w:t>Responsable propuesto:</w:t>
      </w:r>
      <w:r>
        <w:rPr>
          <w:b w:val="0"/>
        </w:rPr>
        <w:t xml:space="preserve"> desarrollo backend; revisión QA. </w:t>
      </w:r>
      <w:r>
        <w:rPr>
          <w:b/>
        </w:rPr>
        <w:t>Retest:</w:t>
      </w:r>
      <w:r>
        <w:rPr>
          <w:b w:val="0"/>
        </w:rPr>
        <w:t xml:space="preserve"> repetir positivo y negativo, comprobar persistencia y ejecutar regresión de roles y sesiones.</w:t>
      </w:r>
    </w:p>
    <w:p>
      <w:pPr>
        <w:pStyle w:val="Heading3"/>
      </w:pPr>
      <w:r>
        <w:t>DEF-004 — Latencia fuera de criterio</w:t>
      </w:r>
    </w:p>
    <w:p>
      <w:r>
        <w:rPr>
          <w:b w:val="0"/>
        </w:rPr>
      </w:r>
      <w:r>
        <w:rPr>
          <w:b/>
        </w:rPr>
        <w:t>Caso y severidad:</w:t>
      </w:r>
      <w:r>
        <w:rPr>
          <w:b w:val="0"/>
        </w:rPr>
        <w:t xml:space="preserve"> CP-API-011; GRAVE / Alta. </w:t>
      </w:r>
      <w:r>
        <w:rPr>
          <w:b/>
        </w:rPr>
        <w:t>Entorno:</w:t>
      </w:r>
      <w:r>
        <w:rPr>
          <w:b w:val="0"/>
        </w:rPr>
        <w:t xml:space="preserve"> API 4445, base cuidarte_qa sintética. </w:t>
      </w:r>
      <w:r>
        <w:rPr>
          <w:b/>
        </w:rPr>
        <w:t>Estado:</w:t>
      </w:r>
      <w:r>
        <w:rPr>
          <w:b w:val="0"/>
        </w:rPr>
        <w:t xml:space="preserve"> abierto.</w:t>
      </w:r>
    </w:p>
    <w:p>
      <w:r>
        <w:rPr>
          <w:b w:val="0"/>
        </w:rPr>
      </w:r>
      <w:r>
        <w:rPr>
          <w:b/>
        </w:rPr>
        <w:t>Pasos reproducibles:</w:t>
      </w:r>
      <w:r>
        <w:rPr>
          <w:b w:val="0"/>
        </w:rPr>
        <w:t xml:space="preserve"> ejecutar el script y localizar CP-API-011; la ficha de caso y el código del runner contienen peticiones, datos sintéticos y comprobación de base. </w:t>
      </w:r>
      <w:r>
        <w:rPr>
          <w:b/>
        </w:rPr>
        <w:t>Esperado:</w:t>
      </w:r>
      <w:r>
        <w:rPr>
          <w:b w:val="0"/>
        </w:rPr>
        <w:t xml:space="preserve"> 200 y menos de 300 ms. </w:t>
      </w:r>
      <w:r>
        <w:rPr>
          <w:b/>
        </w:rPr>
        <w:t>Obtenido:</w:t>
      </w:r>
      <w:r>
        <w:rPr>
          <w:b w:val="0"/>
        </w:rPr>
        <w:t xml:space="preserve"> GET /examenes supera 300 ms; hay delayMiddleware(5000).</w:t>
      </w:r>
    </w:p>
    <w:p>
      <w:r>
        <w:rPr>
          <w:b w:val="0"/>
        </w:rPr>
      </w:r>
      <w:r>
        <w:rPr>
          <w:b/>
        </w:rPr>
        <w:t>Impacto:</w:t>
      </w:r>
      <w:r>
        <w:rPr>
          <w:b w:val="0"/>
        </w:rPr>
        <w:t xml:space="preserve"> Demora operativa para personal clínico y pacientes. </w:t>
      </w:r>
      <w:r>
        <w:rPr>
          <w:b/>
        </w:rPr>
        <w:t>Recomendación:</w:t>
      </w:r>
      <w:r>
        <w:rPr>
          <w:b w:val="0"/>
        </w:rPr>
        <w:t xml:space="preserve"> Retirar simulación del entorno objetivo y repetir carga representativa. </w:t>
      </w:r>
      <w:r>
        <w:rPr>
          <w:b/>
        </w:rPr>
        <w:t>Evidencia:</w:t>
      </w:r>
      <w:r>
        <w:rPr>
          <w:b w:val="0"/>
        </w:rPr>
        <w:t xml:space="preserve"> resultados_api.json, fila CP-API-011, y capturas del resumen de ejecución. </w:t>
      </w:r>
      <w:r>
        <w:rPr>
          <w:b/>
        </w:rPr>
        <w:t>Responsable propuesto:</w:t>
      </w:r>
      <w:r>
        <w:rPr>
          <w:b w:val="0"/>
        </w:rPr>
        <w:t xml:space="preserve"> desarrollo backend; revisión QA. </w:t>
      </w:r>
      <w:r>
        <w:rPr>
          <w:b/>
        </w:rPr>
        <w:t>Retest:</w:t>
      </w:r>
      <w:r>
        <w:rPr>
          <w:b w:val="0"/>
        </w:rPr>
        <w:t xml:space="preserve"> repetir positivo y negativo, comprobar persistencia y ejecutar regresión de roles y sesiones.</w:t>
      </w:r>
    </w:p>
    <w:p>
      <w:pPr>
        <w:pStyle w:val="Heading3"/>
      </w:pPr>
      <w:r>
        <w:t>DEF-005 — Escalamiento de médico a administrador</w:t>
      </w:r>
    </w:p>
    <w:p>
      <w:r>
        <w:rPr>
          <w:b w:val="0"/>
        </w:rPr>
      </w:r>
      <w:r>
        <w:rPr>
          <w:b/>
        </w:rPr>
        <w:t>Caso y severidad:</w:t>
      </w:r>
      <w:r>
        <w:rPr>
          <w:b w:val="0"/>
        </w:rPr>
        <w:t xml:space="preserve"> CP-API-010; CRÍTICO. </w:t>
      </w:r>
      <w:r>
        <w:rPr>
          <w:b/>
        </w:rPr>
        <w:t>Entorno:</w:t>
      </w:r>
      <w:r>
        <w:rPr>
          <w:b w:val="0"/>
        </w:rPr>
        <w:t xml:space="preserve"> API 4445, base cuidarte_qa sintética. </w:t>
      </w:r>
      <w:r>
        <w:rPr>
          <w:b/>
        </w:rPr>
        <w:t>Estado:</w:t>
      </w:r>
      <w:r>
        <w:rPr>
          <w:b w:val="0"/>
        </w:rPr>
        <w:t xml:space="preserve"> abierto.</w:t>
      </w:r>
    </w:p>
    <w:p>
      <w:r>
        <w:rPr>
          <w:b w:val="0"/>
        </w:rPr>
      </w:r>
      <w:r>
        <w:rPr>
          <w:b/>
        </w:rPr>
        <w:t>Pasos reproducibles:</w:t>
      </w:r>
      <w:r>
        <w:rPr>
          <w:b w:val="0"/>
        </w:rPr>
        <w:t xml:space="preserve"> ejecutar el script y localizar CP-API-010; la ficha de caso y el código del runner contienen peticiones, datos sintéticos y comprobación de base. </w:t>
      </w:r>
      <w:r>
        <w:rPr>
          <w:b/>
        </w:rPr>
        <w:t>Esperado:</w:t>
      </w:r>
      <w:r>
        <w:rPr>
          <w:b w:val="0"/>
        </w:rPr>
        <w:t xml:space="preserve"> 403 y rol médico conservado. </w:t>
      </w:r>
      <w:r>
        <w:rPr>
          <w:b/>
        </w:rPr>
        <w:t>Obtenido:</w:t>
      </w:r>
      <w:r>
        <w:rPr>
          <w:b w:val="0"/>
        </w:rPr>
        <w:t xml:space="preserve"> Médico modifica su propio rol con HTTP 200 y queda como admin en usuario_roles.</w:t>
      </w:r>
    </w:p>
    <w:p>
      <w:r>
        <w:rPr>
          <w:b w:val="0"/>
        </w:rPr>
      </w:r>
      <w:r>
        <w:rPr>
          <w:b/>
        </w:rPr>
        <w:t>Impacto:</w:t>
      </w:r>
      <w:r>
        <w:rPr>
          <w:b w:val="0"/>
        </w:rPr>
        <w:t xml:space="preserve"> Pérdida de separación de privilegios y posible exposición masiva de datos. </w:t>
      </w:r>
      <w:r>
        <w:rPr>
          <w:b/>
        </w:rPr>
        <w:t>Recomendación:</w:t>
      </w:r>
      <w:r>
        <w:rPr>
          <w:b w:val="0"/>
        </w:rPr>
        <w:t xml:space="preserve"> Exigir administrador para cualquier cambio de rol; probar todos los roles y revocación. </w:t>
      </w:r>
      <w:r>
        <w:rPr>
          <w:b/>
        </w:rPr>
        <w:t>Evidencia:</w:t>
      </w:r>
      <w:r>
        <w:rPr>
          <w:b w:val="0"/>
        </w:rPr>
        <w:t xml:space="preserve"> resultados_api.json, fila CP-API-010, y capturas del resumen de ejecución. </w:t>
      </w:r>
      <w:r>
        <w:rPr>
          <w:b/>
        </w:rPr>
        <w:t>Responsable propuesto:</w:t>
      </w:r>
      <w:r>
        <w:rPr>
          <w:b w:val="0"/>
        </w:rPr>
        <w:t xml:space="preserve"> desarrollo backend; revisión QA. </w:t>
      </w:r>
      <w:r>
        <w:rPr>
          <w:b/>
        </w:rPr>
        <w:t>Retest:</w:t>
      </w:r>
      <w:r>
        <w:rPr>
          <w:b w:val="0"/>
        </w:rPr>
        <w:t xml:space="preserve"> repetir positivo y negativo, comprobar persistencia y ejecutar regresión de roles y sesiones.</w:t>
      </w:r>
    </w:p>
    <w:p>
      <w:pPr>
        <w:pStyle w:val="Heading3"/>
      </w:pPr>
      <w:r>
        <w:t>DEF-006 — Eliminación de usuario sin autenticar</w:t>
      </w:r>
    </w:p>
    <w:p>
      <w:r>
        <w:rPr>
          <w:b w:val="0"/>
        </w:rPr>
      </w:r>
      <w:r>
        <w:rPr>
          <w:b/>
        </w:rPr>
        <w:t>Caso y severidad:</w:t>
      </w:r>
      <w:r>
        <w:rPr>
          <w:b w:val="0"/>
        </w:rPr>
        <w:t xml:space="preserve"> CP-API-012; CRÍTICO. </w:t>
      </w:r>
      <w:r>
        <w:rPr>
          <w:b/>
        </w:rPr>
        <w:t>Entorno:</w:t>
      </w:r>
      <w:r>
        <w:rPr>
          <w:b w:val="0"/>
        </w:rPr>
        <w:t xml:space="preserve"> API 4445, base cuidarte_qa sintética. </w:t>
      </w:r>
      <w:r>
        <w:rPr>
          <w:b/>
        </w:rPr>
        <w:t>Estado:</w:t>
      </w:r>
      <w:r>
        <w:rPr>
          <w:b w:val="0"/>
        </w:rPr>
        <w:t xml:space="preserve"> abierto.</w:t>
      </w:r>
    </w:p>
    <w:p>
      <w:r>
        <w:rPr>
          <w:b w:val="0"/>
        </w:rPr>
      </w:r>
      <w:r>
        <w:rPr>
          <w:b/>
        </w:rPr>
        <w:t>Pasos reproducibles:</w:t>
      </w:r>
      <w:r>
        <w:rPr>
          <w:b w:val="0"/>
        </w:rPr>
        <w:t xml:space="preserve"> ejecutar el script y localizar CP-API-012; la ficha de caso y el código del runner contienen peticiones, datos sintéticos y comprobación de base. </w:t>
      </w:r>
      <w:r>
        <w:rPr>
          <w:b/>
        </w:rPr>
        <w:t>Esperado:</w:t>
      </w:r>
      <w:r>
        <w:rPr>
          <w:b w:val="0"/>
        </w:rPr>
        <w:t xml:space="preserve"> 401 y cuenta intacta. </w:t>
      </w:r>
      <w:r>
        <w:rPr>
          <w:b/>
        </w:rPr>
        <w:t>Obtenido:</w:t>
      </w:r>
      <w:r>
        <w:rPr>
          <w:b w:val="0"/>
        </w:rPr>
        <w:t xml:space="preserve"> DELETE /usuarios/:id sin token devuelve 200 y elimina la cuenta sintética.</w:t>
      </w:r>
    </w:p>
    <w:p>
      <w:r>
        <w:rPr>
          <w:b w:val="0"/>
        </w:rPr>
      </w:r>
      <w:r>
        <w:rPr>
          <w:b/>
        </w:rPr>
        <w:t>Impacto:</w:t>
      </w:r>
      <w:r>
        <w:rPr>
          <w:b w:val="0"/>
        </w:rPr>
        <w:t xml:space="preserve"> Acción destructiva anónima sobre gestión de usuarios. </w:t>
      </w:r>
      <w:r>
        <w:rPr>
          <w:b/>
        </w:rPr>
        <w:t>Recomendación:</w:t>
      </w:r>
      <w:r>
        <w:rPr>
          <w:b w:val="0"/>
        </w:rPr>
        <w:t xml:space="preserve"> Autenticar y autorizar antes de mutar; control por recurso, transacción y regresión negativa. </w:t>
      </w:r>
      <w:r>
        <w:rPr>
          <w:b/>
        </w:rPr>
        <w:t>Evidencia:</w:t>
      </w:r>
      <w:r>
        <w:rPr>
          <w:b w:val="0"/>
        </w:rPr>
        <w:t xml:space="preserve"> resultados_api.json, fila CP-API-012, y capturas del resumen de ejecución. </w:t>
      </w:r>
      <w:r>
        <w:rPr>
          <w:b/>
        </w:rPr>
        <w:t>Responsable propuesto:</w:t>
      </w:r>
      <w:r>
        <w:rPr>
          <w:b w:val="0"/>
        </w:rPr>
        <w:t xml:space="preserve"> desarrollo backend; revisión QA. </w:t>
      </w:r>
      <w:r>
        <w:rPr>
          <w:b/>
        </w:rPr>
        <w:t>Retest:</w:t>
      </w:r>
      <w:r>
        <w:rPr>
          <w:b w:val="0"/>
        </w:rPr>
        <w:t xml:space="preserve"> repetir positivo y negativo, comprobar persistencia y ejecutar regresión de roles y sesiones.</w:t>
      </w:r>
    </w:p>
    <w:p>
      <w:r>
        <w:rPr>
          <w:b w:val="0"/>
        </w:rPr>
        <w:t>DEF-001 se refiere a la tabla real auditoria y a RF-5.1. La dirección de origen debe obtenerse de la conexión o de un proxy confiable, sin aceptar cabeceras arbitrarias. La omisión de IP es un incumplimiento del criterio técnico adoptado, no prueba automática de infracción a la Ley 21.663. La protección de auditoría debe incluir atomicidad, mínimos privilegios y resistencia a alteración; añadir una columna no basta.</w:t>
      </w:r>
    </w:p>
    <w:p>
      <w:pPr>
        <w:pStyle w:val="Heading1"/>
      </w:pPr>
      <w:r>
        <w:t>Anexo A. Análisis ético, normativo y responsabilidades</w:t>
      </w:r>
    </w:p>
    <w:p>
      <w:r>
        <w:rPr>
          <w:b w:val="0"/>
        </w:rPr>
        <w:t>Una publicación con contraseñas inseguras o adjuntos accesibles puede exponer diagnósticos y facilitar suplantación. El borrado físico amenaza continuidad y evidencia clínica; la demora artificial perjudica la atención. La falta de trazabilidad dificulta investigar incidentes. Éticamente corresponde limitar el uso a datos sintéticos, restringir el entorno y comunicar con precisión qué se comprobó, evitando presentar herramientas planificadas como certificaciones obtenidas.</w:t>
      </w:r>
    </w:p>
    <w:p>
      <w:pPr>
        <w:pStyle w:val="Heading2"/>
      </w:pPr>
      <w:r>
        <w:t>6.1 Responsabilidades y consecuencias</w:t>
      </w:r>
    </w:p>
    <w:tbl>
      <w:tblPr>
        <w:tblStyle w:val="TableGrid"/>
        <w:tblW w:type="auto" w:w="0"/>
        <w:tblLook w:firstColumn="1" w:firstRow="1" w:lastColumn="0" w:lastRow="0" w:noHBand="0" w:noVBand="1" w:val="04A0"/>
      </w:tblPr>
      <w:tblGrid>
        <w:gridCol w:w="3249"/>
        <w:gridCol w:w="3249"/>
        <w:gridCol w:w="3249"/>
      </w:tblGrid>
      <w:tr>
        <w:tc>
          <w:tcPr>
            <w:tcW w:type="dxa" w:w="3249"/>
            <w:shd w:fill="E5EEF4"/>
          </w:tcPr>
          <w:p>
            <w:r>
              <w:rPr>
                <w:b/>
              </w:rPr>
              <w:t>Actor</w:t>
            </w:r>
          </w:p>
        </w:tc>
        <w:tc>
          <w:tcPr>
            <w:tcW w:type="dxa" w:w="3249"/>
            <w:shd w:fill="E5EEF4"/>
          </w:tcPr>
          <w:p>
            <w:r>
              <w:rPr>
                <w:b/>
              </w:rPr>
              <w:t>Responsabilidad operativa propuesta</w:t>
            </w:r>
          </w:p>
        </w:tc>
        <w:tc>
          <w:tcPr>
            <w:tcW w:type="dxa" w:w="3249"/>
            <w:shd w:fill="E5EEF4"/>
          </w:tcPr>
          <w:p>
            <w:r>
              <w:rPr>
                <w:b/>
              </w:rPr>
              <w:t>Exposición normativa que debe analizarse</w:t>
            </w:r>
          </w:p>
        </w:tc>
      </w:tr>
      <w:tr>
        <w:tc>
          <w:tcPr>
            <w:tcW w:type="dxa" w:w="3249"/>
          </w:tcPr>
          <w:p>
            <w:r>
              <w:t>Institución de salud responsable del tratamiento</w:t>
            </w:r>
          </w:p>
        </w:tc>
        <w:tc>
          <w:tcPr>
            <w:tcW w:type="dxa" w:w="3249"/>
          </w:tcPr>
          <w:p>
            <w:r>
              <w:t>Definir finalidad, base habilitante, accesos, conservación y respuesta a titulares</w:t>
            </w:r>
          </w:p>
        </w:tc>
        <w:tc>
          <w:tcPr>
            <w:tcW w:type="dxa" w:w="3249"/>
          </w:tcPr>
          <w:p>
            <w:r>
              <w:t>Obligaciones de protección y eventual responsabilidad por tratamiento indebido</w:t>
            </w:r>
          </w:p>
        </w:tc>
      </w:tr>
      <w:tr>
        <w:tc>
          <w:tcPr>
            <w:tcW w:type="dxa" w:w="3249"/>
          </w:tcPr>
          <w:p>
            <w:r>
              <w:t>CreaLab como proveedor, según contrato y rol efectivo</w:t>
            </w:r>
          </w:p>
        </w:tc>
        <w:tc>
          <w:tcPr>
            <w:tcW w:type="dxa" w:w="3249"/>
          </w:tcPr>
          <w:p>
            <w:r>
              <w:t>Implementar controles, subsanar defectos y proteger los datos tratados por encargo</w:t>
            </w:r>
          </w:p>
        </w:tc>
        <w:tc>
          <w:tcPr>
            <w:tcW w:type="dxa" w:w="3249"/>
          </w:tcPr>
          <w:p>
            <w:r>
              <w:t>Obligaciones contractuales y legales según funciones y aplicabilidad</w:t>
            </w:r>
          </w:p>
        </w:tc>
      </w:tr>
      <w:tr>
        <w:tc>
          <w:tcPr>
            <w:tcW w:type="dxa" w:w="3249"/>
          </w:tcPr>
          <w:p>
            <w:r>
              <w:t>Administración y operación</w:t>
            </w:r>
          </w:p>
        </w:tc>
        <w:tc>
          <w:tcPr>
            <w:tcW w:type="dxa" w:w="3249"/>
          </w:tcPr>
          <w:p>
            <w:r>
              <w:t>Mínimos privilegios, respaldos, monitoreo y gestión de incidentes</w:t>
            </w:r>
          </w:p>
        </w:tc>
        <w:tc>
          <w:tcPr>
            <w:tcW w:type="dxa" w:w="3249"/>
          </w:tcPr>
          <w:p>
            <w:r>
              <w:t>Deberes de ciberseguridad que correspondan a la entidad</w:t>
            </w:r>
          </w:p>
        </w:tc>
      </w:tr>
      <w:tr>
        <w:tc>
          <w:tcPr>
            <w:tcW w:type="dxa" w:w="3249"/>
          </w:tcPr>
          <w:p>
            <w:r>
              <w:t>Desarrollo y QA</w:t>
            </w:r>
          </w:p>
        </w:tc>
        <w:tc>
          <w:tcPr>
            <w:tcW w:type="dxa" w:w="3249"/>
          </w:tcPr>
          <w:p>
            <w:r>
              <w:t>Corrección, pruebas, trazabilidad y comunicación de limitaciones</w:t>
            </w:r>
          </w:p>
        </w:tc>
        <w:tc>
          <w:tcPr>
            <w:tcW w:type="dxa" w:w="3249"/>
          </w:tcPr>
          <w:p>
            <w:r>
              <w:t>Responsabilidad técnica y profesional; no se presume multa personal automática</w:t>
            </w:r>
          </w:p>
        </w:tc>
      </w:tr>
      <w:tr>
        <w:tc>
          <w:tcPr>
            <w:tcW w:type="dxa" w:w="3249"/>
          </w:tcPr>
          <w:p>
            <w:r>
              <w:t>Médico, administrador y paciente</w:t>
            </w:r>
          </w:p>
        </w:tc>
        <w:tc>
          <w:tcPr>
            <w:tcW w:type="dxa" w:w="3249"/>
          </w:tcPr>
          <w:p>
            <w:r>
              <w:t>Uso autorizado de cuentas y recursos</w:t>
            </w:r>
          </w:p>
        </w:tc>
        <w:tc>
          <w:tcPr>
            <w:tcW w:type="dxa" w:w="3249"/>
          </w:tcPr>
          <w:p>
            <w:r>
              <w:t>Consecuencias dependen de conducta, daño y régimen aplicable</w:t>
            </w:r>
          </w:p>
        </w:tc>
      </w:tr>
    </w:tbl>
    <w:p/>
    <w:p>
      <w:r>
        <w:rPr>
          <w:b w:val="0"/>
        </w:rPr>
        <w:t>La Ley 19.628 contempla indemnización por daños patrimoniales y morales derivados del tratamiento indebido, bajo sus presupuestos [L3]. La Ley 21.663 prevé multas graduadas: el máximo de 40.000 UTM corresponde al supuesto de infracción gravísima de un operador de importancia vital; no es una multa automática por omitir una IP ni aplicable sin determinar sujeto y conducta [L2]. Se debe verificar clasificación, procedimiento y circunstancias concretas.</w:t>
      </w:r>
    </w:p>
    <w:p>
      <w:r>
        <w:rPr>
          <w:b w:val="0"/>
        </w:rPr>
        <w:t>La Ley 21.719 se incorpora como preparación para su próxima vigencia [L1]. Este dictamen técnico no determina sanciones, causalidad de daños ni certifica cumplimiento jurídico integral. Antes del despliegue debe completarse la matriz de obligaciones aplicables, incluyendo las reglas sectoriales de información clínica que correspondan, sin asumir que las tres leyes citadas agotan el marco normativo.</w:t>
      </w:r>
    </w:p>
    <w:p>
      <w:pPr>
        <w:pStyle w:val="Heading1"/>
      </w:pPr>
      <w:r>
        <w:t>Anexo B. Certificación y recomendaciones</w:t>
      </w:r>
    </w:p>
    <w:p>
      <w:r>
        <w:rPr>
          <w:b w:val="0"/>
        </w:rPr>
      </w:r>
      <w:r>
        <w:rPr>
          <w:b/>
        </w:rPr>
        <w:t>Dictamen: NO CERTIFICADO para producción.</w:t>
      </w:r>
      <w:r>
        <w:rPr>
          <w:b w:val="0"/>
        </w:rPr>
        <w:t xml:space="preserve"> Dos defectos críticos permiten escalar privilegios y eliminar una cuenta sin sesión. Cuatro defectos graves afectan contraseñas, conservación, trazabilidad y desempeño. No se cumplen los criterios de salida y faltan DAST, cobertura de código, carga sostenida y accesibilidad completa. Ningún riesgo crítico se considera aceptado por defecto.</w:t>
      </w:r>
    </w:p>
    <w:p>
      <w:r>
        <w:rPr>
          <w:b w:val="0"/>
        </w:rPr>
        <w:t>Prioridad inmediata: autenticar y autorizar antes de cualquier mutación y restringir cambios de rol a administración. Después proteger contraseñas, implementar borrado lógico y auditoría transaccional, y retirar demoras de simulación del entorno objetivo. Repetir los doce checkpoints y ampliar a ERS, unitarias, E2E, DAST, WCAG y carga sostenida. Se requiere evidencia de cierre, no solo modificación del código.</w:t>
      </w:r>
    </w:p>
    <w:p>
      <w:r>
        <w:rPr>
          <w:b w:val="0"/>
        </w:rPr>
        <w:t>El equipo podrá reevaluar la certificación cuando no existan críticos o graves abiertos y se acrediten los criterios de aceptación. No se ofrece una certificación jurídica ni ISO por emitir este informe académico.</w:t>
      </w:r>
    </w:p>
    <w:p>
      <w:pPr>
        <w:pStyle w:val="Heading1"/>
      </w:pPr>
      <w:r>
        <w:t>Anexo C. Fuentes y limitaciones</w:t>
      </w:r>
    </w:p>
    <w:p>
      <w:r>
        <w:rPr>
          <w:b w:val="0"/>
        </w:rPr>
        <w:t>Consulta realizada el 20 de octubre de 2026. Los enlaces externos respaldan el marco técnico y normativo; los resultados del proyecto se sustentan en los documentos y archivos locales descritos.</w:t>
      </w:r>
    </w:p>
    <w:p>
      <w:r>
        <w:rPr>
          <w:b w:val="0"/>
        </w:rPr>
        <w:t>- [L1] Biblioteca del Congreso Nacional. Ley 21.719 y disposiciones transitorias: https://www.bcn.cl/leychile/navegar?i=1209272</w:t>
      </w:r>
    </w:p>
    <w:p>
      <w:r>
        <w:rPr>
          <w:b w:val="0"/>
        </w:rPr>
        <w:t>- [L2] Biblioteca del Congreso Nacional. Ley 21.663, ámbito de aplicación y escala de multas: https://www.bcn.cl/leychile/navegar?idNorma=1202434&amp;idVersion=2025-01-01</w:t>
      </w:r>
    </w:p>
    <w:p>
      <w:r>
        <w:rPr>
          <w:b w:val="0"/>
        </w:rPr>
        <w:t>- [L3] Biblioteca del Congreso Nacional. Ley 19.628, versión anterior a la entrada en vigor de la reforma; artículos 10 y 23: https://www.bcn.cl/leychile/Navegar?idNorma=141599&amp;idVersion=2023-05-09</w:t>
      </w:r>
    </w:p>
    <w:p>
      <w:r>
        <w:rPr>
          <w:b w:val="0"/>
        </w:rPr>
        <w:t>- [T1] ISO. ISO/IEC 25010:2023, Product quality model: https://www.iso.org/standard/78176.html</w:t>
      </w:r>
    </w:p>
    <w:p>
      <w:r>
        <w:rPr>
          <w:b w:val="0"/>
        </w:rPr>
        <w:t>- [T2] W3C. Web Content Accessibility Guidelines 2.1: https://www.w3.org/TR/WCAG21/</w:t>
      </w:r>
    </w:p>
    <w:p>
      <w:r>
        <w:rPr>
          <w:b w:val="0"/>
        </w:rPr>
        <w:t>- [T3] SonarSource. Understanding measures and metrics: https://docs.sonarsource.com/sonarqube-server/user-guide/code-metrics/metrics-definition</w:t>
      </w:r>
    </w:p>
    <w:p>
      <w:r>
        <w:rPr>
          <w:b w:val="0"/>
        </w:rPr>
        <w:t>La pauta EP4 proporcionada está rotulada 2025 y en un párrafo menciona Evaluación Parcial 2; se conserva el original y se sigue su encabezado EP4, ponderación 28%, defensa individual de 10 minutos más 5 de preguntas. No se alteró la pauta para resolver esas inconsistencias editoriales. Las guías de aula contienen ejemplos (50 casos, 48 ejecutados, etc.) que no se usaron como resultados de Cuidarte+.</w:t>
      </w:r>
    </w:p>
    <w:p>
      <w:r>
        <w:rPr>
          <w:b w:val="0"/>
        </w:rPr>
        <w:t>Pendientes reales: ERS íntegra y feedback docente; grabación nativa de Chrome Recorder/TestCase Studio/Selenium IDE si la docente la exige específicamente; DAST y cobertura; evaluación AA y usuarios; carga sostenida. El paquete contiene toda la documentación posible y registra estas limitaciones expresamente.</w:t>
      </w:r>
    </w:p>
    <w:p>
      <w:pPr>
        <w:pStyle w:val="Heading2"/>
      </w:pPr>
      <w:r>
        <w:t>Evidencia visual — sonarqube_metricas_exportadas.png</w:t>
      </w:r>
    </w:p>
    <w:p>
      <w:r>
        <w:drawing>
          <wp:inline>
            <wp:extent cx="5486400" cy="3657600"/>
            <wp:docPr id="28643493" name="Picture 28643493"/>
            <wp:cNvGraphicFramePr>
              <a:graphicFrameLocks noChangeAspect="1"/>
            </wp:cNvGraphicFramePr>
            <a:graphic>
              <a:graphicData uri="http://schemas.openxmlformats.org/drawingml/2006/picture">
                <pic:pic>
                  <pic:nvPicPr>
                    <pic:cNvPr id="0" name="sonarqube_metricas_exportadas.png"/>
                    <pic:cNvPicPr/>
                  </pic:nvPicPr>
                  <pic:blipFill>
                    <a:blip r:embed="rId9"/>
                    <a:stretch>
                      <a:fillRect/>
                    </a:stretch>
                  </pic:blipFill>
                  <pic:spPr>
                    <a:xfrm>
                      <a:off x="0" y="0"/>
                      <a:ext cx="5486400" cy="3657600"/>
                    </a:xfrm>
                    <a:prstGeom prst="rect"/>
                  </pic:spPr>
                </pic:pic>
              </a:graphicData>
            </a:graphic>
          </wp:inline>
        </w:drawing>
      </w:r>
    </w:p>
    <w:p>
      <w:pPr>
        <w:pStyle w:val="Heading2"/>
      </w:pPr>
      <w:r>
        <w:t>Evidencia visual — resultados_api.png</w:t>
      </w:r>
    </w:p>
    <w:p>
      <w:r>
        <w:drawing>
          <wp:inline>
            <wp:extent cx="5486400" cy="4000500"/>
            <wp:docPr id="28643494" name="Picture 28643494"/>
            <wp:cNvGraphicFramePr>
              <a:graphicFrameLocks noChangeAspect="1"/>
            </wp:cNvGraphicFramePr>
            <a:graphic>
              <a:graphicData uri="http://schemas.openxmlformats.org/drawingml/2006/picture">
                <pic:pic>
                  <pic:nvPicPr>
                    <pic:cNvPr id="0" name="resultados_api.png"/>
                    <pic:cNvPicPr/>
                  </pic:nvPicPr>
                  <pic:blipFill>
                    <a:blip r:embed="rId10"/>
                    <a:stretch>
                      <a:fillRect/>
                    </a:stretch>
                  </pic:blipFill>
                  <pic:spPr>
                    <a:xfrm>
                      <a:off x="0" y="0"/>
                      <a:ext cx="5486400" cy="4000500"/>
                    </a:xfrm>
                    <a:prstGeom prst="rect"/>
                  </pic:spPr>
                </pic:pic>
              </a:graphicData>
            </a:graphic>
          </wp:inline>
        </w:drawing>
      </w:r>
    </w:p>
    <w:sectPr>
      <w:pgSz w:w="11906" w:h="16838" w:orient="portrait"/>
      <w:pgMar w:top="1080" w:right="1080" w:bottom="1008" w:left="1080" w:header="720" w:footer="720" w:gutter="0"/>
      <w:cols w:space="720"/>
      <w:docGrid w:linePitch="360"/>
      <w:headerReference w:type="default" r:id="R400c80176d694492"/>
      <w:footerReference w:type="default" r:id="Rf1bb750583484ce4"/>
      <w:titlePg w:val="1"/>
      <w:headerReference w:type="first" r:id="Ra90dc43cac144be7"/>
      <w:footerReference w:type="first" r:id="R3855cc0d1db34994"/>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855"/>
    </w:tblGrid>
    <w:tr w:rsidR="209B6E02" w:rsidTr="209B6E02" w14:paraId="459543D9">
      <w:trPr>
        <w:trHeight w:val="300"/>
      </w:trPr>
      <w:tc>
        <w:tcPr>
          <w:tcW w:w="3005" w:type="dxa"/>
          <w:tcMar/>
        </w:tcPr>
        <w:p w:rsidR="209B6E02" w:rsidP="209B6E02" w:rsidRDefault="209B6E02" w14:paraId="5C4B1773" w14:textId="0C1F7E2C">
          <w:pPr>
            <w:pStyle w:val="Header"/>
            <w:bidi w:val="0"/>
            <w:ind w:left="-115"/>
            <w:jc w:val="left"/>
          </w:pPr>
        </w:p>
      </w:tc>
      <w:tc>
        <w:tcPr>
          <w:tcW w:w="3005" w:type="dxa"/>
          <w:tcMar/>
        </w:tcPr>
        <w:p w:rsidR="209B6E02" w:rsidP="209B6E02" w:rsidRDefault="209B6E02" w14:paraId="757F7515" w14:textId="3C32D982">
          <w:pPr>
            <w:pStyle w:val="Header"/>
            <w:bidi w:val="0"/>
            <w:jc w:val="center"/>
          </w:pPr>
          <w:r>
            <w:fldChar w:fldCharType="begin"/>
          </w:r>
          <w:r>
            <w:instrText xml:space="preserve">PAGE</w:instrText>
          </w:r>
          <w:r>
            <w:fldChar w:fldCharType="separate"/>
          </w:r>
          <w:r>
            <w:fldChar w:fldCharType="end"/>
          </w:r>
        </w:p>
      </w:tc>
      <w:tc>
        <w:tcPr>
          <w:tcW w:w="3855" w:type="dxa"/>
          <w:tcMar/>
        </w:tcPr>
        <w:p w:rsidR="209B6E02" w:rsidP="209B6E02" w:rsidRDefault="209B6E02" w14:paraId="73DDED54" w14:textId="3843AA16">
          <w:pPr>
            <w:pStyle w:val="Header"/>
            <w:bidi w:val="0"/>
            <w:ind w:right="-115"/>
            <w:jc w:val="right"/>
          </w:pPr>
        </w:p>
      </w:tc>
    </w:tr>
  </w:tbl>
  <w:p w:rsidR="209B6E02" w:rsidP="209B6E02" w:rsidRDefault="209B6E02" w14:paraId="6AC8B352" w14:textId="5C5B9D9A">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10530DD9" w:rsidTr="10530DD9" w14:paraId="4DAAF539">
      <w:trPr>
        <w:trHeight w:val="300"/>
      </w:trPr>
      <w:tc>
        <w:tcPr>
          <w:tcW w:w="3245" w:type="dxa"/>
          <w:tcMar/>
        </w:tcPr>
        <w:p w:rsidR="10530DD9" w:rsidP="10530DD9" w:rsidRDefault="10530DD9" w14:paraId="7E5DDA9E" w14:textId="697D19B5">
          <w:pPr>
            <w:pStyle w:val="Header"/>
            <w:bidi w:val="0"/>
            <w:ind w:left="-115"/>
            <w:jc w:val="left"/>
          </w:pPr>
        </w:p>
      </w:tc>
      <w:tc>
        <w:tcPr>
          <w:tcW w:w="3245" w:type="dxa"/>
          <w:tcMar/>
        </w:tcPr>
        <w:p w:rsidR="10530DD9" w:rsidP="10530DD9" w:rsidRDefault="10530DD9" w14:paraId="5A2CF208" w14:textId="36B97FB7">
          <w:pPr>
            <w:pStyle w:val="Header"/>
            <w:bidi w:val="0"/>
            <w:jc w:val="center"/>
          </w:pPr>
        </w:p>
      </w:tc>
      <w:tc>
        <w:tcPr>
          <w:tcW w:w="3245" w:type="dxa"/>
          <w:tcMar/>
        </w:tcPr>
        <w:p w:rsidR="10530DD9" w:rsidP="10530DD9" w:rsidRDefault="10530DD9" w14:paraId="34BE315D" w14:textId="790952C3">
          <w:pPr>
            <w:pStyle w:val="Header"/>
            <w:bidi w:val="0"/>
            <w:ind w:right="-115"/>
            <w:jc w:val="right"/>
          </w:pPr>
        </w:p>
      </w:tc>
    </w:tr>
  </w:tbl>
  <w:p w:rsidR="10530DD9" w:rsidP="10530DD9" w:rsidRDefault="10530DD9" w14:paraId="5299D61F" w14:textId="125FC8CA">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Borders>
        <w:top w:val="none" w:color="D1D1D1" w:themeColor="background2" w:themeShade="E6" w:sz="12"/>
        <w:left w:val="none" w:color="D1D1D1" w:themeColor="background2" w:themeShade="E6" w:sz="12"/>
        <w:bottom w:val="single" w:color="D1D1D1" w:themeColor="background2" w:themeShade="E6" w:sz="12"/>
        <w:right w:val="none" w:color="D1D1D1" w:themeColor="background2" w:themeShade="E6" w:sz="12"/>
        <w:insideH w:val="none" w:color="D1D1D1" w:themeColor="background2" w:themeShade="E6" w:sz="12"/>
        <w:insideV w:val="none" w:color="D1D1D1" w:themeColor="background2" w:themeShade="E6" w:sz="12"/>
      </w:tblBorders>
      <w:tblLook w:val="06A0" w:firstRow="1" w:lastRow="0" w:firstColumn="1" w:lastColumn="0" w:noHBand="1" w:noVBand="1"/>
    </w:tblPr>
    <w:tblGrid>
      <w:gridCol w:w="2190"/>
      <w:gridCol w:w="5700"/>
      <w:gridCol w:w="1965"/>
    </w:tblGrid>
    <w:tr w:rsidR="209B6E02" w:rsidTr="209B6E02" w14:paraId="0E5F6AD0">
      <w:trPr>
        <w:trHeight w:val="300"/>
      </w:trPr>
      <w:tc>
        <w:tcPr>
          <w:tcW w:w="2190" w:type="dxa"/>
          <w:tcMar/>
          <w:vAlign w:val="center"/>
        </w:tcPr>
        <w:p w:rsidR="209B6E02" w:rsidP="209B6E02" w:rsidRDefault="209B6E02" w14:paraId="152EA695" w14:textId="5F20D5A6">
          <w:pPr>
            <w:pStyle w:val="Header"/>
            <w:bidi w:val="0"/>
            <w:ind w:left="-115"/>
            <w:jc w:val="center"/>
          </w:pPr>
          <w:r w:rsidR="209B6E02">
            <w:drawing>
              <wp:inline wp14:editId="76BEA964" wp14:anchorId="27C7333D">
                <wp:extent cx="771525" cy="295275"/>
                <wp:effectExtent l="0" t="0" r="0" b="0"/>
                <wp:docPr id="714558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14558366" name="Picture 71455836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2889672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771525" cy="295275"/>
                        </a:xfrm>
                        <a:prstGeom xmlns:a="http://schemas.openxmlformats.org/drawingml/2006/main" prst="rect">
                          <a:avLst xmlns:a="http://schemas.openxmlformats.org/drawingml/2006/main"/>
                        </a:prstGeom>
                      </pic:spPr>
                    </pic:pic>
                  </a:graphicData>
                </a:graphic>
              </wp:inline>
            </w:drawing>
          </w:r>
        </w:p>
      </w:tc>
      <w:tc>
        <w:tcPr>
          <w:tcW w:w="5700" w:type="dxa"/>
          <w:tcMar/>
          <w:vAlign w:val="center"/>
        </w:tcPr>
        <w:p w:rsidR="209B6E02" w:rsidP="209B6E02" w:rsidRDefault="209B6E02" w14:paraId="4D573D0F" w14:textId="295C3A7A">
          <w:pPr>
            <w:pStyle w:val="Header"/>
            <w:bidi w:val="0"/>
            <w:jc w:val="center"/>
            <w:rPr>
              <w:b w:val="1"/>
              <w:bCs w:val="1"/>
              <w:sz w:val="16"/>
              <w:szCs w:val="16"/>
            </w:rPr>
          </w:pPr>
          <w:r w:rsidRPr="209B6E02" w:rsidR="209B6E02">
            <w:rPr>
              <w:b w:val="1"/>
              <w:bCs w:val="1"/>
              <w:sz w:val="16"/>
              <w:szCs w:val="16"/>
            </w:rPr>
            <w:t>INFORME DE SEGURIDAD Y CALIDAD DE SOFTWARE</w:t>
          </w:r>
        </w:p>
      </w:tc>
      <w:tc>
        <w:tcPr>
          <w:tcW w:w="1965" w:type="dxa"/>
          <w:tcMar/>
          <w:vAlign w:val="center"/>
        </w:tcPr>
        <w:p w:rsidR="209B6E02" w:rsidP="209B6E02" w:rsidRDefault="209B6E02" w14:paraId="03B4E9DA" w14:textId="1E9480B3">
          <w:pPr>
            <w:pStyle w:val="Header"/>
            <w:bidi w:val="0"/>
            <w:ind w:right="-115"/>
            <w:jc w:val="center"/>
          </w:pPr>
        </w:p>
      </w:tc>
    </w:tr>
  </w:tbl>
  <w:p w:rsidR="209B6E02" w:rsidP="209B6E02" w:rsidRDefault="209B6E02" w14:paraId="77D0FB32" w14:textId="0954811E">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5"/>
      <w:gridCol w:w="3245"/>
      <w:gridCol w:w="3245"/>
    </w:tblGrid>
    <w:tr w:rsidR="10530DD9" w:rsidTr="10530DD9" w14:paraId="5B3F1B72">
      <w:trPr>
        <w:trHeight w:val="300"/>
      </w:trPr>
      <w:tc>
        <w:tcPr>
          <w:tcW w:w="3245" w:type="dxa"/>
          <w:tcMar/>
        </w:tcPr>
        <w:p w:rsidR="10530DD9" w:rsidP="10530DD9" w:rsidRDefault="10530DD9" w14:paraId="179A8BB3" w14:textId="7F6B0A67">
          <w:pPr>
            <w:pStyle w:val="Header"/>
            <w:bidi w:val="0"/>
            <w:ind w:left="-115"/>
            <w:jc w:val="left"/>
          </w:pPr>
        </w:p>
      </w:tc>
      <w:tc>
        <w:tcPr>
          <w:tcW w:w="3245" w:type="dxa"/>
          <w:tcMar/>
        </w:tcPr>
        <w:p w:rsidR="10530DD9" w:rsidP="10530DD9" w:rsidRDefault="10530DD9" w14:paraId="6DB8CBF9" w14:textId="4E0CE39A">
          <w:pPr>
            <w:pStyle w:val="Header"/>
            <w:bidi w:val="0"/>
            <w:jc w:val="center"/>
          </w:pPr>
        </w:p>
      </w:tc>
      <w:tc>
        <w:tcPr>
          <w:tcW w:w="3245" w:type="dxa"/>
          <w:tcMar/>
        </w:tcPr>
        <w:p w:rsidR="10530DD9" w:rsidP="10530DD9" w:rsidRDefault="10530DD9" w14:paraId="600A1B84" w14:textId="64BFFDD6">
          <w:pPr>
            <w:pStyle w:val="Header"/>
            <w:bidi w:val="0"/>
            <w:ind w:right="-115"/>
            <w:jc w:val="right"/>
          </w:pPr>
        </w:p>
      </w:tc>
    </w:tr>
  </w:tbl>
  <w:p w:rsidR="10530DD9" w:rsidP="10530DD9" w:rsidRDefault="10530DD9" w14:paraId="69814C5D" w14:textId="2D3E2ECF">
    <w:pPr>
      <w:pStyle w:val="Header"/>
      <w:bidi w:val="0"/>
    </w:pPr>
  </w:p>
</w:hdr>
</file>

<file path=word/numbering.xml><?xml version="1.0" encoding="utf-8"?>
<w:numbering xmlns:w="http://schemas.openxmlformats.org/wordprocessingml/2006/main">
  <w:abstractNum xmlns:w="http://schemas.openxmlformats.org/wordprocessingml/2006/main" w:abstractNumId="41">
    <w:nsid w:val="76d420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bb11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2ffc8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df92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09017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5d607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c0366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6dcb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2576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81c73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bc95c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b5d6e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1d17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88585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6d37b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8a62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94b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3521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97616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831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16c2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a72d4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0095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65a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2c3c0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3ee7d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1b05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4b6e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c9df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279f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43159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e25ae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441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1d20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72aba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b519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fdd50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057c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b6711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52339d9"/>
    <w:multiLevelType xmlns:w="http://schemas.openxmlformats.org/wordprocessingml/2006/main" w:val="hybridMultilevel"/>
    <w:lvl xmlns:w="http://schemas.openxmlformats.org/wordprocessingml/2006/main" w:ilvl="0">
      <w:start w:val="1"/>
      <w:numFmt w:val="upperLetter"/>
      <w:lvlText w:val="%1."/>
      <w:lvlJc w:val="left"/>
      <w:pPr>
        <w:ind w:left="1068" w:hanging="360"/>
      </w:pPr>
      <w:rPr>
        <w:rFonts w:hint="default" w:ascii="Calibri Light" w:hAnsi="Calibri Light"/>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47e66c5"/>
    <w:multiLevelType xmlns:w="http://schemas.openxmlformats.org/wordprocessingml/2006/main" w:val="hybridMultilevel"/>
    <w:lvl xmlns:w="http://schemas.openxmlformats.org/wordprocessingml/2006/main" w:ilvl="0">
      <w:start w:val="1"/>
      <w:numFmt w:val="decimal"/>
      <w:lvlText w:val="%1."/>
      <w:lvlJc w:val="left"/>
      <w:pPr>
        <w:ind w:left="1068" w:hanging="360"/>
      </w:pPr>
      <w:rPr>
        <w:rFonts w:hint="default" w:ascii="Calibri Light" w:hAnsi="Calibri Light"/>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855C95"/>
    <w:rsid w:val="004CCA80"/>
    <w:rsid w:val="004CCA80"/>
    <w:rsid w:val="008524D0"/>
    <w:rsid w:val="008524D0"/>
    <w:rsid w:val="008D0923"/>
    <w:rsid w:val="009C27D8"/>
    <w:rsid w:val="00A315A7"/>
    <w:rsid w:val="00BEBB4B"/>
    <w:rsid w:val="00C40408"/>
    <w:rsid w:val="013225AB"/>
    <w:rsid w:val="0139449E"/>
    <w:rsid w:val="0143D249"/>
    <w:rsid w:val="0143D249"/>
    <w:rsid w:val="0168CB54"/>
    <w:rsid w:val="01C38B94"/>
    <w:rsid w:val="0241BD4E"/>
    <w:rsid w:val="02E189AD"/>
    <w:rsid w:val="031AABFD"/>
    <w:rsid w:val="031E0756"/>
    <w:rsid w:val="0338242C"/>
    <w:rsid w:val="0358A5C2"/>
    <w:rsid w:val="0380E920"/>
    <w:rsid w:val="0382AAAE"/>
    <w:rsid w:val="03BE1329"/>
    <w:rsid w:val="03E072C6"/>
    <w:rsid w:val="03E07B6F"/>
    <w:rsid w:val="03EDF4D4"/>
    <w:rsid w:val="0403C60C"/>
    <w:rsid w:val="040E4E05"/>
    <w:rsid w:val="045A71D0"/>
    <w:rsid w:val="04606637"/>
    <w:rsid w:val="04606637"/>
    <w:rsid w:val="049639CC"/>
    <w:rsid w:val="04B7DB50"/>
    <w:rsid w:val="04C7B56E"/>
    <w:rsid w:val="053B778D"/>
    <w:rsid w:val="053F8A05"/>
    <w:rsid w:val="059DEE2C"/>
    <w:rsid w:val="05B941FB"/>
    <w:rsid w:val="05D72409"/>
    <w:rsid w:val="06014771"/>
    <w:rsid w:val="065BA643"/>
    <w:rsid w:val="06A59965"/>
    <w:rsid w:val="06DD6195"/>
    <w:rsid w:val="0740D8B3"/>
    <w:rsid w:val="0753C69D"/>
    <w:rsid w:val="0758CCE7"/>
    <w:rsid w:val="0799876D"/>
    <w:rsid w:val="0799F6D3"/>
    <w:rsid w:val="07C992CC"/>
    <w:rsid w:val="07D188D7"/>
    <w:rsid w:val="07E8D1FD"/>
    <w:rsid w:val="07FCDD6C"/>
    <w:rsid w:val="081F7399"/>
    <w:rsid w:val="083884FE"/>
    <w:rsid w:val="084A55EB"/>
    <w:rsid w:val="0860496C"/>
    <w:rsid w:val="087A2376"/>
    <w:rsid w:val="0880B712"/>
    <w:rsid w:val="08D9CE18"/>
    <w:rsid w:val="0914C3F2"/>
    <w:rsid w:val="095659D3"/>
    <w:rsid w:val="09590BEC"/>
    <w:rsid w:val="09734D42"/>
    <w:rsid w:val="097F88A2"/>
    <w:rsid w:val="099A2533"/>
    <w:rsid w:val="09C1E962"/>
    <w:rsid w:val="09D06652"/>
    <w:rsid w:val="0A000289"/>
    <w:rsid w:val="0A16E67D"/>
    <w:rsid w:val="0A24E1E6"/>
    <w:rsid w:val="0A4ABA99"/>
    <w:rsid w:val="0A7FF44A"/>
    <w:rsid w:val="0A8290D0"/>
    <w:rsid w:val="0A8D1383"/>
    <w:rsid w:val="0AD67CE8"/>
    <w:rsid w:val="0AD67CE8"/>
    <w:rsid w:val="0AF07715"/>
    <w:rsid w:val="0AFFF0E5"/>
    <w:rsid w:val="0B3DF00D"/>
    <w:rsid w:val="0B491414"/>
    <w:rsid w:val="0B8590CB"/>
    <w:rsid w:val="0B9D6916"/>
    <w:rsid w:val="0BBDF5E8"/>
    <w:rsid w:val="0BE57F2B"/>
    <w:rsid w:val="0C021D0F"/>
    <w:rsid w:val="0C29D4F7"/>
    <w:rsid w:val="0C29D4F7"/>
    <w:rsid w:val="0D3576AE"/>
    <w:rsid w:val="0DC0FB86"/>
    <w:rsid w:val="0DE01B09"/>
    <w:rsid w:val="0DED2051"/>
    <w:rsid w:val="0DEDB60E"/>
    <w:rsid w:val="0DFBCF17"/>
    <w:rsid w:val="0E1121CB"/>
    <w:rsid w:val="0E64DA80"/>
    <w:rsid w:val="0E7BD649"/>
    <w:rsid w:val="0E8723C4"/>
    <w:rsid w:val="0F0CAF97"/>
    <w:rsid w:val="0F114EFD"/>
    <w:rsid w:val="0F460423"/>
    <w:rsid w:val="0FAFD778"/>
    <w:rsid w:val="0FB01129"/>
    <w:rsid w:val="0FC2369D"/>
    <w:rsid w:val="0FEE9AEE"/>
    <w:rsid w:val="100FDB8F"/>
    <w:rsid w:val="10466302"/>
    <w:rsid w:val="10530DD9"/>
    <w:rsid w:val="1061F67D"/>
    <w:rsid w:val="109839C8"/>
    <w:rsid w:val="112734D3"/>
    <w:rsid w:val="11424CCE"/>
    <w:rsid w:val="114C6814"/>
    <w:rsid w:val="11A08FDD"/>
    <w:rsid w:val="11B4A72F"/>
    <w:rsid w:val="11BC30F7"/>
    <w:rsid w:val="11C620EA"/>
    <w:rsid w:val="11EB560A"/>
    <w:rsid w:val="1221F02E"/>
    <w:rsid w:val="125E9F7B"/>
    <w:rsid w:val="1267A2D4"/>
    <w:rsid w:val="126A7AE8"/>
    <w:rsid w:val="12932A0D"/>
    <w:rsid w:val="12C6C23E"/>
    <w:rsid w:val="12E4CBFD"/>
    <w:rsid w:val="12E98A64"/>
    <w:rsid w:val="12EF029A"/>
    <w:rsid w:val="13112713"/>
    <w:rsid w:val="1323D20D"/>
    <w:rsid w:val="13557CD6"/>
    <w:rsid w:val="138AD3DE"/>
    <w:rsid w:val="139D0DC7"/>
    <w:rsid w:val="13C23498"/>
    <w:rsid w:val="1403A017"/>
    <w:rsid w:val="142D524C"/>
    <w:rsid w:val="14B2E5ED"/>
    <w:rsid w:val="14F935FA"/>
    <w:rsid w:val="1552445B"/>
    <w:rsid w:val="15610912"/>
    <w:rsid w:val="158BEA27"/>
    <w:rsid w:val="1641A0FF"/>
    <w:rsid w:val="166FE605"/>
    <w:rsid w:val="166FE605"/>
    <w:rsid w:val="169432FA"/>
    <w:rsid w:val="16B39916"/>
    <w:rsid w:val="16F118F1"/>
    <w:rsid w:val="1740F51A"/>
    <w:rsid w:val="174DAFDA"/>
    <w:rsid w:val="176F16F4"/>
    <w:rsid w:val="17ACB022"/>
    <w:rsid w:val="182A51FE"/>
    <w:rsid w:val="183AF9A5"/>
    <w:rsid w:val="183AF9A5"/>
    <w:rsid w:val="186C70D9"/>
    <w:rsid w:val="18D71A0F"/>
    <w:rsid w:val="19088BCC"/>
    <w:rsid w:val="191E9A44"/>
    <w:rsid w:val="19474CD9"/>
    <w:rsid w:val="197AD22C"/>
    <w:rsid w:val="1992F756"/>
    <w:rsid w:val="19B81684"/>
    <w:rsid w:val="1A1AE440"/>
    <w:rsid w:val="1A1F4E17"/>
    <w:rsid w:val="1A5369EC"/>
    <w:rsid w:val="1A5EE765"/>
    <w:rsid w:val="1A624F26"/>
    <w:rsid w:val="1AFF9F6E"/>
    <w:rsid w:val="1B17C9E8"/>
    <w:rsid w:val="1B21DC79"/>
    <w:rsid w:val="1B25F844"/>
    <w:rsid w:val="1B33A658"/>
    <w:rsid w:val="1B586E16"/>
    <w:rsid w:val="1B91948B"/>
    <w:rsid w:val="1BCB2356"/>
    <w:rsid w:val="1BCB2356"/>
    <w:rsid w:val="1BCD88B0"/>
    <w:rsid w:val="1C458A61"/>
    <w:rsid w:val="1C849AAC"/>
    <w:rsid w:val="1C98A909"/>
    <w:rsid w:val="1CA6AB8A"/>
    <w:rsid w:val="1CD62959"/>
    <w:rsid w:val="1CEE3584"/>
    <w:rsid w:val="1CF0CEF0"/>
    <w:rsid w:val="1D1F357C"/>
    <w:rsid w:val="1D3D054F"/>
    <w:rsid w:val="1D5694DF"/>
    <w:rsid w:val="1D5B920D"/>
    <w:rsid w:val="1D5EF5B9"/>
    <w:rsid w:val="1D657595"/>
    <w:rsid w:val="1D657595"/>
    <w:rsid w:val="1D68AA2E"/>
    <w:rsid w:val="1D771C93"/>
    <w:rsid w:val="1D7D5497"/>
    <w:rsid w:val="1DD9E692"/>
    <w:rsid w:val="1DF8BF8B"/>
    <w:rsid w:val="1EA0C553"/>
    <w:rsid w:val="1EA419AF"/>
    <w:rsid w:val="1EC1EA52"/>
    <w:rsid w:val="1EC212C8"/>
    <w:rsid w:val="1F15EC0F"/>
    <w:rsid w:val="1F28B5F0"/>
    <w:rsid w:val="1F40B32E"/>
    <w:rsid w:val="1F49F5B5"/>
    <w:rsid w:val="1F49F5B5"/>
    <w:rsid w:val="1F673136"/>
    <w:rsid w:val="2044890E"/>
    <w:rsid w:val="2046357B"/>
    <w:rsid w:val="2051026F"/>
    <w:rsid w:val="209B6E02"/>
    <w:rsid w:val="20A41E98"/>
    <w:rsid w:val="20E57D57"/>
    <w:rsid w:val="20FA81BC"/>
    <w:rsid w:val="20FA81BC"/>
    <w:rsid w:val="210348AD"/>
    <w:rsid w:val="212B0821"/>
    <w:rsid w:val="216A928D"/>
    <w:rsid w:val="21B83AF9"/>
    <w:rsid w:val="22051413"/>
    <w:rsid w:val="225186C7"/>
    <w:rsid w:val="22A29A31"/>
    <w:rsid w:val="22CBD488"/>
    <w:rsid w:val="23241D1F"/>
    <w:rsid w:val="2349E193"/>
    <w:rsid w:val="23898259"/>
    <w:rsid w:val="23A76C84"/>
    <w:rsid w:val="2449741A"/>
    <w:rsid w:val="24769DE4"/>
    <w:rsid w:val="247B3307"/>
    <w:rsid w:val="24938150"/>
    <w:rsid w:val="24CC1004"/>
    <w:rsid w:val="250D80E9"/>
    <w:rsid w:val="2530D595"/>
    <w:rsid w:val="253DE349"/>
    <w:rsid w:val="25BEA887"/>
    <w:rsid w:val="25C70EAF"/>
    <w:rsid w:val="25FDA95A"/>
    <w:rsid w:val="26230031"/>
    <w:rsid w:val="26448EBC"/>
    <w:rsid w:val="265CE3B3"/>
    <w:rsid w:val="268F5C74"/>
    <w:rsid w:val="2769840E"/>
    <w:rsid w:val="27793675"/>
    <w:rsid w:val="27856370"/>
    <w:rsid w:val="28199381"/>
    <w:rsid w:val="2833064C"/>
    <w:rsid w:val="2833064C"/>
    <w:rsid w:val="2872E09A"/>
    <w:rsid w:val="28768E97"/>
    <w:rsid w:val="289AEEF5"/>
    <w:rsid w:val="28D9E9E2"/>
    <w:rsid w:val="28E6B9A0"/>
    <w:rsid w:val="28FABDEF"/>
    <w:rsid w:val="2900A27E"/>
    <w:rsid w:val="29817479"/>
    <w:rsid w:val="298E7BF5"/>
    <w:rsid w:val="29B90DB5"/>
    <w:rsid w:val="29C1EC39"/>
    <w:rsid w:val="29D7DE81"/>
    <w:rsid w:val="2A4940CC"/>
    <w:rsid w:val="2A52E0CC"/>
    <w:rsid w:val="2A675AEA"/>
    <w:rsid w:val="2A78FA9B"/>
    <w:rsid w:val="2AAEBD2B"/>
    <w:rsid w:val="2AC7F435"/>
    <w:rsid w:val="2ADC12B7"/>
    <w:rsid w:val="2B1B0421"/>
    <w:rsid w:val="2B2084CD"/>
    <w:rsid w:val="2B268644"/>
    <w:rsid w:val="2B3D3583"/>
    <w:rsid w:val="2B5AD207"/>
    <w:rsid w:val="2B5CFEDD"/>
    <w:rsid w:val="2B94DE07"/>
    <w:rsid w:val="2B996A6E"/>
    <w:rsid w:val="2BD23D14"/>
    <w:rsid w:val="2BDD922B"/>
    <w:rsid w:val="2C18CB35"/>
    <w:rsid w:val="2C47984E"/>
    <w:rsid w:val="2C69CD17"/>
    <w:rsid w:val="2C6E94C8"/>
    <w:rsid w:val="2C806B2C"/>
    <w:rsid w:val="2C9546E3"/>
    <w:rsid w:val="2D16EAB5"/>
    <w:rsid w:val="2D448BCD"/>
    <w:rsid w:val="2D5A3F8C"/>
    <w:rsid w:val="2D6E79A4"/>
    <w:rsid w:val="2D818230"/>
    <w:rsid w:val="2D84F66A"/>
    <w:rsid w:val="2D90A4E7"/>
    <w:rsid w:val="2DC51B33"/>
    <w:rsid w:val="2DFE2CF0"/>
    <w:rsid w:val="2DFECF0F"/>
    <w:rsid w:val="2E1219CE"/>
    <w:rsid w:val="2E1A1C9A"/>
    <w:rsid w:val="2E1A1C9A"/>
    <w:rsid w:val="2E5650A6"/>
    <w:rsid w:val="2E85F167"/>
    <w:rsid w:val="2EEA05DD"/>
    <w:rsid w:val="2EF3EEC6"/>
    <w:rsid w:val="2F1A2553"/>
    <w:rsid w:val="2F5836C8"/>
    <w:rsid w:val="2F98C091"/>
    <w:rsid w:val="2FABF48C"/>
    <w:rsid w:val="2FC7AA36"/>
    <w:rsid w:val="2FDD0DA3"/>
    <w:rsid w:val="2FE47F23"/>
    <w:rsid w:val="2FE7DFE5"/>
    <w:rsid w:val="2FFA648D"/>
    <w:rsid w:val="3004859A"/>
    <w:rsid w:val="3041B2EB"/>
    <w:rsid w:val="306B98AE"/>
    <w:rsid w:val="309CB020"/>
    <w:rsid w:val="30F1EBF4"/>
    <w:rsid w:val="31013F2C"/>
    <w:rsid w:val="3113CFBA"/>
    <w:rsid w:val="313A561F"/>
    <w:rsid w:val="3160876B"/>
    <w:rsid w:val="31901879"/>
    <w:rsid w:val="31E2D254"/>
    <w:rsid w:val="32503D53"/>
    <w:rsid w:val="32511967"/>
    <w:rsid w:val="328C7460"/>
    <w:rsid w:val="328C8D53"/>
    <w:rsid w:val="329708E0"/>
    <w:rsid w:val="32A801BB"/>
    <w:rsid w:val="32AC3E91"/>
    <w:rsid w:val="32B6D863"/>
    <w:rsid w:val="33050C1F"/>
    <w:rsid w:val="3393312E"/>
    <w:rsid w:val="33DCC0FF"/>
    <w:rsid w:val="33DDD420"/>
    <w:rsid w:val="33E901E6"/>
    <w:rsid w:val="33F5F812"/>
    <w:rsid w:val="3419957F"/>
    <w:rsid w:val="341E0660"/>
    <w:rsid w:val="34585133"/>
    <w:rsid w:val="3459CE1E"/>
    <w:rsid w:val="3459CE1E"/>
    <w:rsid w:val="345ADD3B"/>
    <w:rsid w:val="3467E014"/>
    <w:rsid w:val="346E278D"/>
    <w:rsid w:val="348367E2"/>
    <w:rsid w:val="34BCABF6"/>
    <w:rsid w:val="34DA060B"/>
    <w:rsid w:val="35236B94"/>
    <w:rsid w:val="353A8150"/>
    <w:rsid w:val="3568F7A4"/>
    <w:rsid w:val="3597D609"/>
    <w:rsid w:val="36200996"/>
    <w:rsid w:val="36210672"/>
    <w:rsid w:val="363138E9"/>
    <w:rsid w:val="3637AE32"/>
    <w:rsid w:val="36B3BE8F"/>
    <w:rsid w:val="36E00B60"/>
    <w:rsid w:val="36FE7081"/>
    <w:rsid w:val="3734F605"/>
    <w:rsid w:val="373EB32B"/>
    <w:rsid w:val="375306DC"/>
    <w:rsid w:val="376E7F44"/>
    <w:rsid w:val="37A8FFB5"/>
    <w:rsid w:val="387DCEDB"/>
    <w:rsid w:val="38A0E38E"/>
    <w:rsid w:val="38A5DF20"/>
    <w:rsid w:val="38C72A24"/>
    <w:rsid w:val="39A085F5"/>
    <w:rsid w:val="39BC85B2"/>
    <w:rsid w:val="39D12298"/>
    <w:rsid w:val="39D557D3"/>
    <w:rsid w:val="3A02DFA6"/>
    <w:rsid w:val="3A10E568"/>
    <w:rsid w:val="3A38F687"/>
    <w:rsid w:val="3A4F2735"/>
    <w:rsid w:val="3A66813A"/>
    <w:rsid w:val="3A9B16DD"/>
    <w:rsid w:val="3AF16F8C"/>
    <w:rsid w:val="3B00AC54"/>
    <w:rsid w:val="3B15585F"/>
    <w:rsid w:val="3B1A4C96"/>
    <w:rsid w:val="3B3770D7"/>
    <w:rsid w:val="3B7A9507"/>
    <w:rsid w:val="3B7A9507"/>
    <w:rsid w:val="3BB5F1DC"/>
    <w:rsid w:val="3C0DCEB8"/>
    <w:rsid w:val="3C1014CB"/>
    <w:rsid w:val="3C4E9E52"/>
    <w:rsid w:val="3C4F51F5"/>
    <w:rsid w:val="3C805773"/>
    <w:rsid w:val="3CA17321"/>
    <w:rsid w:val="3CB9DAB5"/>
    <w:rsid w:val="3CE3F074"/>
    <w:rsid w:val="3CE79120"/>
    <w:rsid w:val="3D1A7696"/>
    <w:rsid w:val="3D2F0BB9"/>
    <w:rsid w:val="3D43AE01"/>
    <w:rsid w:val="3D4795EA"/>
    <w:rsid w:val="3D6F5751"/>
    <w:rsid w:val="3D866E53"/>
    <w:rsid w:val="3DA1CD59"/>
    <w:rsid w:val="3DBEC6F1"/>
    <w:rsid w:val="3DD4E280"/>
    <w:rsid w:val="3DF8273C"/>
    <w:rsid w:val="3E2E701A"/>
    <w:rsid w:val="3E54A293"/>
    <w:rsid w:val="3EE1EE69"/>
    <w:rsid w:val="3F29D216"/>
    <w:rsid w:val="3F29D216"/>
    <w:rsid w:val="3F3B6ACA"/>
    <w:rsid w:val="3F495C36"/>
    <w:rsid w:val="3F6121E1"/>
    <w:rsid w:val="3FA0B47B"/>
    <w:rsid w:val="3FDAE9D0"/>
    <w:rsid w:val="405BAE64"/>
    <w:rsid w:val="4060C460"/>
    <w:rsid w:val="4083F129"/>
    <w:rsid w:val="40AFC125"/>
    <w:rsid w:val="40C02873"/>
    <w:rsid w:val="40C5E089"/>
    <w:rsid w:val="40C85625"/>
    <w:rsid w:val="40F481C1"/>
    <w:rsid w:val="410A8C6B"/>
    <w:rsid w:val="4112ADDE"/>
    <w:rsid w:val="41731E73"/>
    <w:rsid w:val="41B5D778"/>
    <w:rsid w:val="41F35686"/>
    <w:rsid w:val="42272C52"/>
    <w:rsid w:val="42CA55D7"/>
    <w:rsid w:val="42D124B8"/>
    <w:rsid w:val="4322722C"/>
    <w:rsid w:val="4357D766"/>
    <w:rsid w:val="43836625"/>
    <w:rsid w:val="43EEBEDF"/>
    <w:rsid w:val="43F20B1B"/>
    <w:rsid w:val="43F3CBB9"/>
    <w:rsid w:val="43F56213"/>
    <w:rsid w:val="4410A6DC"/>
    <w:rsid w:val="4424C7EC"/>
    <w:rsid w:val="44362805"/>
    <w:rsid w:val="4454F080"/>
    <w:rsid w:val="44DB041F"/>
    <w:rsid w:val="45125F20"/>
    <w:rsid w:val="4597580F"/>
    <w:rsid w:val="45A1A94E"/>
    <w:rsid w:val="460688D3"/>
    <w:rsid w:val="464D9A30"/>
    <w:rsid w:val="465107E3"/>
    <w:rsid w:val="46D88496"/>
    <w:rsid w:val="46ED1C76"/>
    <w:rsid w:val="46FF5173"/>
    <w:rsid w:val="471C264C"/>
    <w:rsid w:val="47643BAE"/>
    <w:rsid w:val="476C494B"/>
    <w:rsid w:val="4785EBF6"/>
    <w:rsid w:val="479B0BCB"/>
    <w:rsid w:val="479EACD6"/>
    <w:rsid w:val="47D46E8C"/>
    <w:rsid w:val="47D65160"/>
    <w:rsid w:val="47F8222B"/>
    <w:rsid w:val="48058463"/>
    <w:rsid w:val="48364CA0"/>
    <w:rsid w:val="48492D92"/>
    <w:rsid w:val="487DF7FD"/>
    <w:rsid w:val="48B23AF9"/>
    <w:rsid w:val="48B5FCA2"/>
    <w:rsid w:val="48DC470C"/>
    <w:rsid w:val="48E2A7B3"/>
    <w:rsid w:val="48E2A7B3"/>
    <w:rsid w:val="4921293D"/>
    <w:rsid w:val="494C2FFB"/>
    <w:rsid w:val="498CDAB5"/>
    <w:rsid w:val="49A9EE80"/>
    <w:rsid w:val="4A6985A6"/>
    <w:rsid w:val="4A878A99"/>
    <w:rsid w:val="4AB8814D"/>
    <w:rsid w:val="4AD3DAEA"/>
    <w:rsid w:val="4ADE1860"/>
    <w:rsid w:val="4ADE1860"/>
    <w:rsid w:val="4B1C5020"/>
    <w:rsid w:val="4B2584A0"/>
    <w:rsid w:val="4B31AFD1"/>
    <w:rsid w:val="4B44C65E"/>
    <w:rsid w:val="4B5415A8"/>
    <w:rsid w:val="4B708FF9"/>
    <w:rsid w:val="4BA7C9AD"/>
    <w:rsid w:val="4BAB18FB"/>
    <w:rsid w:val="4BBDCF02"/>
    <w:rsid w:val="4BEC5156"/>
    <w:rsid w:val="4C0FD701"/>
    <w:rsid w:val="4C100692"/>
    <w:rsid w:val="4C15E778"/>
    <w:rsid w:val="4C15E778"/>
    <w:rsid w:val="4C5092F3"/>
    <w:rsid w:val="4C745CDA"/>
    <w:rsid w:val="4C9F30FA"/>
    <w:rsid w:val="4CB2CEF4"/>
    <w:rsid w:val="4CCFAF77"/>
    <w:rsid w:val="4CCFAF77"/>
    <w:rsid w:val="4CED3948"/>
    <w:rsid w:val="4D055EF3"/>
    <w:rsid w:val="4D5927BB"/>
    <w:rsid w:val="4D5A87E4"/>
    <w:rsid w:val="4D61D8E7"/>
    <w:rsid w:val="4D8A6980"/>
    <w:rsid w:val="4DEA906B"/>
    <w:rsid w:val="4E1EAB06"/>
    <w:rsid w:val="4E1EAB06"/>
    <w:rsid w:val="4E34D514"/>
    <w:rsid w:val="4E3D448C"/>
    <w:rsid w:val="4E4BE3A1"/>
    <w:rsid w:val="4E7B60D4"/>
    <w:rsid w:val="4E9E4A51"/>
    <w:rsid w:val="4EA390AA"/>
    <w:rsid w:val="4EA390AA"/>
    <w:rsid w:val="4EACEEA1"/>
    <w:rsid w:val="4EB1673B"/>
    <w:rsid w:val="4EC43931"/>
    <w:rsid w:val="4EF8C8FA"/>
    <w:rsid w:val="4F75205A"/>
    <w:rsid w:val="4F7B5F2D"/>
    <w:rsid w:val="4F80EA6E"/>
    <w:rsid w:val="4F8B7DEF"/>
    <w:rsid w:val="4F9DF15E"/>
    <w:rsid w:val="50038B30"/>
    <w:rsid w:val="50038B30"/>
    <w:rsid w:val="50262B53"/>
    <w:rsid w:val="50262B53"/>
    <w:rsid w:val="505F687A"/>
    <w:rsid w:val="5066ECAD"/>
    <w:rsid w:val="507D8551"/>
    <w:rsid w:val="50DB4E74"/>
    <w:rsid w:val="5124AAEA"/>
    <w:rsid w:val="512AAA4A"/>
    <w:rsid w:val="512D5959"/>
    <w:rsid w:val="5135B9A2"/>
    <w:rsid w:val="5135B9A2"/>
    <w:rsid w:val="5161C83B"/>
    <w:rsid w:val="51710E8C"/>
    <w:rsid w:val="517AFCBF"/>
    <w:rsid w:val="5197D264"/>
    <w:rsid w:val="51B13897"/>
    <w:rsid w:val="51E2A081"/>
    <w:rsid w:val="51F00860"/>
    <w:rsid w:val="521E8B6F"/>
    <w:rsid w:val="524A7168"/>
    <w:rsid w:val="52718CC4"/>
    <w:rsid w:val="52CEDAC6"/>
    <w:rsid w:val="5339596C"/>
    <w:rsid w:val="53444F4D"/>
    <w:rsid w:val="53444F4D"/>
    <w:rsid w:val="5385230A"/>
    <w:rsid w:val="53962C52"/>
    <w:rsid w:val="539808D1"/>
    <w:rsid w:val="53AF932E"/>
    <w:rsid w:val="53C4DFF1"/>
    <w:rsid w:val="54122B0B"/>
    <w:rsid w:val="541D224B"/>
    <w:rsid w:val="54B339DC"/>
    <w:rsid w:val="54D2399E"/>
    <w:rsid w:val="5515AEE7"/>
    <w:rsid w:val="55286ADC"/>
    <w:rsid w:val="5551C3B2"/>
    <w:rsid w:val="556BB7C2"/>
    <w:rsid w:val="5589D5BD"/>
    <w:rsid w:val="5595FEBD"/>
    <w:rsid w:val="55D0E5D2"/>
    <w:rsid w:val="55DA6E58"/>
    <w:rsid w:val="55E496A6"/>
    <w:rsid w:val="55E496A6"/>
    <w:rsid w:val="56544F41"/>
    <w:rsid w:val="5673A48E"/>
    <w:rsid w:val="56939147"/>
    <w:rsid w:val="5699A798"/>
    <w:rsid w:val="569B503E"/>
    <w:rsid w:val="56B67B47"/>
    <w:rsid w:val="57340DA9"/>
    <w:rsid w:val="577A34A8"/>
    <w:rsid w:val="579E6689"/>
    <w:rsid w:val="57C127B8"/>
    <w:rsid w:val="57CCB827"/>
    <w:rsid w:val="57CCB827"/>
    <w:rsid w:val="584D14DC"/>
    <w:rsid w:val="5872B196"/>
    <w:rsid w:val="5889FD7D"/>
    <w:rsid w:val="593C2B50"/>
    <w:rsid w:val="597FD850"/>
    <w:rsid w:val="59A1842C"/>
    <w:rsid w:val="59A3715D"/>
    <w:rsid w:val="5A3F5D78"/>
    <w:rsid w:val="5A423C0C"/>
    <w:rsid w:val="5A640138"/>
    <w:rsid w:val="5A6E6887"/>
    <w:rsid w:val="5A71382D"/>
    <w:rsid w:val="5A76D83E"/>
    <w:rsid w:val="5A85D9DF"/>
    <w:rsid w:val="5AB911FA"/>
    <w:rsid w:val="5ABFA01D"/>
    <w:rsid w:val="5B2E423D"/>
    <w:rsid w:val="5B7D6C42"/>
    <w:rsid w:val="5BD962E3"/>
    <w:rsid w:val="5BEA07EF"/>
    <w:rsid w:val="5C209F0C"/>
    <w:rsid w:val="5C2762E3"/>
    <w:rsid w:val="5C54F9CD"/>
    <w:rsid w:val="5C5FCA06"/>
    <w:rsid w:val="5CB4E3B2"/>
    <w:rsid w:val="5CC3626F"/>
    <w:rsid w:val="5D530F77"/>
    <w:rsid w:val="5D5D905D"/>
    <w:rsid w:val="5D68A0FF"/>
    <w:rsid w:val="5D700DD9"/>
    <w:rsid w:val="5D777506"/>
    <w:rsid w:val="5D7BEF18"/>
    <w:rsid w:val="5D9DC4AA"/>
    <w:rsid w:val="5DAE00DF"/>
    <w:rsid w:val="5DB2A7E3"/>
    <w:rsid w:val="5DE1B8A1"/>
    <w:rsid w:val="5DF6BEB9"/>
    <w:rsid w:val="5DF90919"/>
    <w:rsid w:val="5E3C08B8"/>
    <w:rsid w:val="5E7B7BDA"/>
    <w:rsid w:val="5E8FFE3F"/>
    <w:rsid w:val="5E9BB615"/>
    <w:rsid w:val="5F39D746"/>
    <w:rsid w:val="5F93AF66"/>
    <w:rsid w:val="5FC4EEB8"/>
    <w:rsid w:val="5FDD9886"/>
    <w:rsid w:val="5FE1343D"/>
    <w:rsid w:val="602C308B"/>
    <w:rsid w:val="6054D7DC"/>
    <w:rsid w:val="6054D7DC"/>
    <w:rsid w:val="605AD3E5"/>
    <w:rsid w:val="606828C4"/>
    <w:rsid w:val="60B4EC6D"/>
    <w:rsid w:val="60BBA99B"/>
    <w:rsid w:val="60EEDFA4"/>
    <w:rsid w:val="60EFFF21"/>
    <w:rsid w:val="60F57F06"/>
    <w:rsid w:val="60FFA6C7"/>
    <w:rsid w:val="6145D3A6"/>
    <w:rsid w:val="61F1860E"/>
    <w:rsid w:val="626146A4"/>
    <w:rsid w:val="626D4CE7"/>
    <w:rsid w:val="627FE7C2"/>
    <w:rsid w:val="62A8AD92"/>
    <w:rsid w:val="630D7932"/>
    <w:rsid w:val="63569D6D"/>
    <w:rsid w:val="636F0715"/>
    <w:rsid w:val="637EBFA7"/>
    <w:rsid w:val="63829452"/>
    <w:rsid w:val="638A19BB"/>
    <w:rsid w:val="6397B1FF"/>
    <w:rsid w:val="63C0278F"/>
    <w:rsid w:val="64031E8A"/>
    <w:rsid w:val="64053416"/>
    <w:rsid w:val="64053416"/>
    <w:rsid w:val="64328E2D"/>
    <w:rsid w:val="64795943"/>
    <w:rsid w:val="64992F8F"/>
    <w:rsid w:val="64BB2BCB"/>
    <w:rsid w:val="64C10BE8"/>
    <w:rsid w:val="64D152B8"/>
    <w:rsid w:val="64F015B3"/>
    <w:rsid w:val="650E812B"/>
    <w:rsid w:val="65152C54"/>
    <w:rsid w:val="658AF64A"/>
    <w:rsid w:val="65B1350D"/>
    <w:rsid w:val="65EB9EB8"/>
    <w:rsid w:val="65EB9EB8"/>
    <w:rsid w:val="667C9FCB"/>
    <w:rsid w:val="6698D26E"/>
    <w:rsid w:val="66DC4C28"/>
    <w:rsid w:val="66DC4C28"/>
    <w:rsid w:val="66DE85BD"/>
    <w:rsid w:val="66E6E564"/>
    <w:rsid w:val="6702E81B"/>
    <w:rsid w:val="671C72AA"/>
    <w:rsid w:val="6789F792"/>
    <w:rsid w:val="67DE66F2"/>
    <w:rsid w:val="67F490E6"/>
    <w:rsid w:val="6818AFFC"/>
    <w:rsid w:val="68779B91"/>
    <w:rsid w:val="688C5296"/>
    <w:rsid w:val="688D291B"/>
    <w:rsid w:val="6890133B"/>
    <w:rsid w:val="6890133B"/>
    <w:rsid w:val="689057D1"/>
    <w:rsid w:val="68C9C4A0"/>
    <w:rsid w:val="68F1325B"/>
    <w:rsid w:val="69167960"/>
    <w:rsid w:val="692A563B"/>
    <w:rsid w:val="69696C19"/>
    <w:rsid w:val="698B9836"/>
    <w:rsid w:val="69908AD3"/>
    <w:rsid w:val="699706A3"/>
    <w:rsid w:val="69A0F647"/>
    <w:rsid w:val="69C05F5C"/>
    <w:rsid w:val="69E48B5F"/>
    <w:rsid w:val="69F5B27D"/>
    <w:rsid w:val="6A37608E"/>
    <w:rsid w:val="6AC65533"/>
    <w:rsid w:val="6AF3F762"/>
    <w:rsid w:val="6AF3F762"/>
    <w:rsid w:val="6AF949C9"/>
    <w:rsid w:val="6B40ABA8"/>
    <w:rsid w:val="6B48B158"/>
    <w:rsid w:val="6BA8F837"/>
    <w:rsid w:val="6BAFEEDB"/>
    <w:rsid w:val="6BE0B6A7"/>
    <w:rsid w:val="6BF28083"/>
    <w:rsid w:val="6C3BA4E5"/>
    <w:rsid w:val="6C42B911"/>
    <w:rsid w:val="6C4E7E49"/>
    <w:rsid w:val="6C5E616D"/>
    <w:rsid w:val="6CA891EB"/>
    <w:rsid w:val="6CA891EB"/>
    <w:rsid w:val="6CEF3823"/>
    <w:rsid w:val="6D0882B4"/>
    <w:rsid w:val="6D26F68A"/>
    <w:rsid w:val="6D2E5F18"/>
    <w:rsid w:val="6D412D07"/>
    <w:rsid w:val="6D56ECA4"/>
    <w:rsid w:val="6D5A95E0"/>
    <w:rsid w:val="6D855C95"/>
    <w:rsid w:val="6D9E5EC5"/>
    <w:rsid w:val="6D9E5EC5"/>
    <w:rsid w:val="6DE4341C"/>
    <w:rsid w:val="6DF087F9"/>
    <w:rsid w:val="6DFC495B"/>
    <w:rsid w:val="6E186877"/>
    <w:rsid w:val="6E255C60"/>
    <w:rsid w:val="6E4618C4"/>
    <w:rsid w:val="6E5B80B6"/>
    <w:rsid w:val="6E7C7B83"/>
    <w:rsid w:val="6EA20E3C"/>
    <w:rsid w:val="6EC71CDF"/>
    <w:rsid w:val="6EC9515E"/>
    <w:rsid w:val="6EF213A8"/>
    <w:rsid w:val="6EF22A95"/>
    <w:rsid w:val="6F2D87BA"/>
    <w:rsid w:val="6F7359B6"/>
    <w:rsid w:val="6FD3EBA3"/>
    <w:rsid w:val="7084A7CF"/>
    <w:rsid w:val="70CAAA94"/>
    <w:rsid w:val="70DF020D"/>
    <w:rsid w:val="70EFBA98"/>
    <w:rsid w:val="71057BCC"/>
    <w:rsid w:val="7121C4A4"/>
    <w:rsid w:val="7121C4A4"/>
    <w:rsid w:val="712A5D7D"/>
    <w:rsid w:val="7155F4A4"/>
    <w:rsid w:val="71A765FE"/>
    <w:rsid w:val="71E80688"/>
    <w:rsid w:val="72474A4E"/>
    <w:rsid w:val="725E359D"/>
    <w:rsid w:val="727CBDCF"/>
    <w:rsid w:val="729FEBC5"/>
    <w:rsid w:val="72ABD949"/>
    <w:rsid w:val="72C595B0"/>
    <w:rsid w:val="72DCDA78"/>
    <w:rsid w:val="730B28E1"/>
    <w:rsid w:val="7314FE89"/>
    <w:rsid w:val="732711AD"/>
    <w:rsid w:val="7334A4AA"/>
    <w:rsid w:val="7341A048"/>
    <w:rsid w:val="73F2E74D"/>
    <w:rsid w:val="73FA53C6"/>
    <w:rsid w:val="740912E1"/>
    <w:rsid w:val="74191080"/>
    <w:rsid w:val="744605E4"/>
    <w:rsid w:val="747A058B"/>
    <w:rsid w:val="748E8673"/>
    <w:rsid w:val="74A07165"/>
    <w:rsid w:val="74B03A88"/>
    <w:rsid w:val="74B8B4F1"/>
    <w:rsid w:val="74CF9D58"/>
    <w:rsid w:val="74D6A0DB"/>
    <w:rsid w:val="74E828D8"/>
    <w:rsid w:val="74F6E9B8"/>
    <w:rsid w:val="752173CD"/>
    <w:rsid w:val="752C3E65"/>
    <w:rsid w:val="75464946"/>
    <w:rsid w:val="754D6E41"/>
    <w:rsid w:val="755EB3B8"/>
    <w:rsid w:val="7562B299"/>
    <w:rsid w:val="75A01DDB"/>
    <w:rsid w:val="75CCCA7D"/>
    <w:rsid w:val="75FC7B47"/>
    <w:rsid w:val="76081882"/>
    <w:rsid w:val="764FADA2"/>
    <w:rsid w:val="76822D55"/>
    <w:rsid w:val="783CF10E"/>
    <w:rsid w:val="78482B28"/>
    <w:rsid w:val="7877EC49"/>
    <w:rsid w:val="78B1C98A"/>
    <w:rsid w:val="791FFE86"/>
    <w:rsid w:val="792AA662"/>
    <w:rsid w:val="79511AE0"/>
    <w:rsid w:val="79809AAF"/>
    <w:rsid w:val="7A0FE0C7"/>
    <w:rsid w:val="7A20DA2A"/>
    <w:rsid w:val="7A2B27BF"/>
    <w:rsid w:val="7A3B4BA4"/>
    <w:rsid w:val="7A530CC5"/>
    <w:rsid w:val="7A62942C"/>
    <w:rsid w:val="7AA205F1"/>
    <w:rsid w:val="7AD08929"/>
    <w:rsid w:val="7ADA4978"/>
    <w:rsid w:val="7B2B3F9C"/>
    <w:rsid w:val="7B385CF6"/>
    <w:rsid w:val="7B3C39FF"/>
    <w:rsid w:val="7B44E589"/>
    <w:rsid w:val="7B498AE9"/>
    <w:rsid w:val="7B5C720A"/>
    <w:rsid w:val="7B5CA454"/>
    <w:rsid w:val="7B6C687F"/>
    <w:rsid w:val="7BF0CC30"/>
    <w:rsid w:val="7BFA6981"/>
    <w:rsid w:val="7C19D72E"/>
    <w:rsid w:val="7C1B6D3B"/>
    <w:rsid w:val="7C514CFA"/>
    <w:rsid w:val="7C7D4C7F"/>
    <w:rsid w:val="7C9FB40B"/>
    <w:rsid w:val="7CAD76E1"/>
    <w:rsid w:val="7CC1577C"/>
    <w:rsid w:val="7CE31C5F"/>
    <w:rsid w:val="7CFFC136"/>
    <w:rsid w:val="7D404F53"/>
    <w:rsid w:val="7DDA41C3"/>
    <w:rsid w:val="7E95ACF4"/>
    <w:rsid w:val="7EB6E89B"/>
    <w:rsid w:val="7ECAA6A0"/>
    <w:rsid w:val="7EDAC4F7"/>
    <w:rsid w:val="7EDAC4F7"/>
    <w:rsid w:val="7F050AE0"/>
    <w:rsid w:val="7F8CF2F6"/>
    <w:rsid w:val="7FBB7976"/>
    <w:rsid w:val="7FD4C8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55C95"/>
  <w15:chartTrackingRefBased/>
  <w15:docId w15:val="{CD2414AD-5F47-4E0A-886D-24274044E4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09B6E02"/>
    <w:rPr>
      <w:rFonts w:ascii="Calibri" w:hAnsi="Calibri" w:eastAsia="Arial" w:cs="Arial"/>
      <w:sz w:val="20"/>
      <w:szCs w:val="20"/>
    </w:rPr>
    <w:pPr>
      <w:spacing w:after="12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09B6E02"/>
    <w:pPr>
      <w:spacing/>
      <w:ind w:left="720"/>
      <w:contextualSpacing/>
    </w:pPr>
  </w:style>
  <w:style w:type="paragraph" w:styleId="Heading1">
    <w:uiPriority w:val="9"/>
    <w:name w:val="heading 1"/>
    <w:basedOn w:val="Normal"/>
    <w:next w:val="Normal"/>
    <w:qFormat/>
    <w:rsid w:val="209B6E02"/>
    <w:rPr>
      <w:b w:val="1"/>
      <w:bCs w:val="1"/>
      <w:i w:val="0"/>
      <w:iCs w:val="0"/>
      <w:color w:val="auto"/>
      <w:sz w:val="32"/>
      <w:szCs w:val="32"/>
    </w:rPr>
    <w:pPr>
      <w:keepNext w:val="1"/>
      <w:keepLines w:val="1"/>
      <w:spacing w:before="360" w:after="80"/>
      <w:outlineLvl w:val="0"/>
    </w:pPr>
  </w:style>
  <w:style w:type="paragraph" w:styleId="Heading2">
    <w:uiPriority w:val="9"/>
    <w:name w:val="heading 2"/>
    <w:basedOn w:val="Heading1"/>
    <w:next w:val="Normal"/>
    <w:unhideWhenUsed/>
    <w:qFormat/>
    <w:rsid w:val="209B6E02"/>
    <w:rPr>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w:type="character" w:styleId="Hyperlink">
    <w:uiPriority w:val="99"/>
    <w:name w:val="Hyperlink"/>
    <w:basedOn w:val="DefaultParagraphFont"/>
    <w:unhideWhenUsed/>
    <w:rsid w:val="5B7D6C42"/>
    <w:rPr>
      <w:color w:val="467886"/>
      <w:u w:val="single"/>
    </w:rPr>
  </w:style>
  <w:style xmlns:w14="http://schemas.microsoft.com/office/word/2010/wordml" xmlns:mc="http://schemas.openxmlformats.org/markup-compatibility/2006" xmlns:w="http://schemas.openxmlformats.org/wordprocessingml/2006/main" w:type="table" w:styleId="GridTable4" mc:Ignorable="w14">
    <w:name xmlns:w="http://schemas.openxmlformats.org/wordprocessingml/2006/main" w:val="Grid Table 4"/>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xmlns:w="http://schemas.openxmlformats.org/wordprocessingml/2006/main" w:type="lastRow">
      <w:rPr>
        <w:b/>
        <w:bCs/>
      </w:rPr>
      <w:tblPr/>
      <w:tcPr>
        <w:tcBorders>
          <w:top w:val="double" w:color="000000" w:themeColor="tex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style>
  <w:style xmlns:w14="http://schemas.microsoft.com/office/word/2010/wordml" xmlns:mc="http://schemas.openxmlformats.org/markup-compatibility/2006" xmlns:w="http://schemas.openxmlformats.org/wordprocessingml/2006/main" w:type="table" w:styleId="ListTable4" mc:Ignorable="w14">
    <w:name xmlns:w="http://schemas.openxmlformats.org/wordprocessingml/2006/main" w:val="List Table 4"/>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xmlns:w="http://schemas.openxmlformats.org/wordprocessingml/2006/main" w:type="lastRow">
      <w:rPr>
        <w:b/>
        <w:bCs/>
      </w:rPr>
      <w:tblPr/>
      <w:tcPr>
        <w:tcBorders>
          <w:top w:val="double" w:color="666666" w:themeColor="text1" w:themeTint="99"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style>
  <w:style xmlns:w14="http://schemas.microsoft.com/office/word/2010/wordml" xmlns:mc="http://schemas.openxmlformats.org/markup-compatibility/2006" xmlns:w="http://schemas.openxmlformats.org/wordprocessingml/2006/main" w:type="table" w:styleId="GridTable1Light-Accent1" mc:Ignorable="w14">
    <w:name xmlns:w="http://schemas.openxmlformats.org/wordprocessingml/2006/main" w:val="Grid Table 1 Light Accent 1"/>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 w:type="paragraph" w:styleId="Header">
    <w:uiPriority w:val="99"/>
    <w:name w:val="header"/>
    <w:basedOn w:val="Normal"/>
    <w:unhideWhenUsed/>
    <w:rsid w:val="209B6E02"/>
    <w:pPr>
      <w:tabs>
        <w:tab w:val="center" w:leader="none" w:pos="4680"/>
        <w:tab w:val="right" w:leader="none" w:pos="9360"/>
      </w:tabs>
      <w:spacing w:after="0" w:line="240" w:lineRule="auto"/>
    </w:pPr>
  </w:style>
  <w:style w:type="paragraph" w:styleId="Footer">
    <w:uiPriority w:val="99"/>
    <w:name w:val="footer"/>
    <w:basedOn w:val="Normal"/>
    <w:unhideWhenUsed/>
    <w:rsid w:val="209B6E02"/>
    <w:pPr>
      <w:tabs>
        <w:tab w:val="center" w:leader="none" w:pos="4680"/>
        <w:tab w:val="right" w:leader="none" w:pos="9360"/>
      </w:tabs>
      <w:spacing w:after="0" w:line="240" w:lineRule="auto"/>
    </w:pPr>
  </w:style>
  <w:style w:type="paragraph" w:styleId="TOC1">
    <w:uiPriority w:val="39"/>
    <w:name w:val="toc 1"/>
    <w:basedOn w:val="Normal"/>
    <w:next w:val="Normal"/>
    <w:unhideWhenUsed/>
    <w:rsid w:val="1A5EE765"/>
    <w:pPr>
      <w:spacing w:after="100"/>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Id2084191834" Type="http://schemas.openxmlformats.org/officeDocument/2006/relationships/image" Target="../media/image.png"/><Relationship Id="Rcf53f36c8c994d43" Type="http://schemas.openxmlformats.org/officeDocument/2006/relationships/numbering" Target="numbering.xml"/><Relationship Id="R9a93db06815e479b" Type="http://schemas.microsoft.com/office/2011/relationships/people" Target="people.xml"/><Relationship Id="R6ee1ac9b34414fb8" Type="http://schemas.microsoft.com/office/2011/relationships/commentsExtended" Target="commentsExtended.xml"/><Relationship Id="R2836d614032345fd" Type="http://schemas.microsoft.com/office/2016/09/relationships/commentsIds" Target="commentsIds.xml"/><Relationship Id="R400c80176d694492" Type="http://schemas.openxmlformats.org/officeDocument/2006/relationships/header" Target="header.xml"/><Relationship Id="Rf1bb750583484ce4" Type="http://schemas.openxmlformats.org/officeDocument/2006/relationships/footer" Target="footer.xml"/><Relationship Id="Ra90dc43cac144be7" Type="http://schemas.openxmlformats.org/officeDocument/2006/relationships/header" Target="header2.xml"/><Relationship Id="R3855cc0d1db34994" Type="http://schemas.openxmlformats.org/officeDocument/2006/relationships/footer" Target="footer2.xml"/><Relationship Id="rId9" Type="http://schemas.openxmlformats.org/officeDocument/2006/relationships/image" Target="media/image1.png"/><Relationship Id="rId10" Type="http://schemas.openxmlformats.org/officeDocument/2006/relationships/image" Target="media/image2.png"/></Relationships>
</file>

<file path=word/_rels/header.xml.rels><?xml version='1.0' encoding='UTF-8' standalone='yes'?>
<Relationships xmlns="http://schemas.openxmlformats.org/package/2006/relationships"><Relationship Id="rId828896721" Type="http://schemas.openxmlformats.org/officeDocument/2006/relationships/image" Target="../media/image7.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630232E75029B468CC8AFBF631DE06F" ma:contentTypeVersion="10" ma:contentTypeDescription="Crear nuevo documento." ma:contentTypeScope="" ma:versionID="c4528bade825651501cf1e12263b4f3d">
  <xsd:schema xmlns:xsd="http://www.w3.org/2001/XMLSchema" xmlns:xs="http://www.w3.org/2001/XMLSchema" xmlns:p="http://schemas.microsoft.com/office/2006/metadata/properties" xmlns:ns2="4b8958b7-be53-41c9-b31a-88c2d4f16482" targetNamespace="http://schemas.microsoft.com/office/2006/metadata/properties" ma:root="true" ma:fieldsID="23335a883f850135a297cfedd5263e0c" ns2:_="">
    <xsd:import namespace="4b8958b7-be53-41c9-b31a-88c2d4f164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8958b7-be53-41c9-b31a-88c2d4f164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8958b7-be53-41c9-b31a-88c2d4f1648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9B6F12-43FF-4317-9C91-C9A0B20137B3}"/>
</file>

<file path=customXml/itemProps2.xml><?xml version="1.0" encoding="utf-8"?>
<ds:datastoreItem xmlns:ds="http://schemas.openxmlformats.org/officeDocument/2006/customXml" ds:itemID="{74B15D2E-96AF-491E-A4D5-7EB7E4AD1819}"/>
</file>

<file path=customXml/itemProps3.xml><?xml version="1.0" encoding="utf-8"?>
<ds:datastoreItem xmlns:ds="http://schemas.openxmlformats.org/officeDocument/2006/customXml" ds:itemID="{16B57101-4E19-447D-B8CD-BA7F45766CB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ALEJANDRO PONCE SANCHEZ</dc:creator>
  <cp:keywords/>
  <dc:description/>
  <cp:lastModifiedBy>LUIS ALEJANDRO PONCE SANCHEZ</cp:lastModifiedBy>
  <dcterms:created xsi:type="dcterms:W3CDTF">2025-10-29T02:45:20Z</dcterms:created>
  <dcterms:modified xsi:type="dcterms:W3CDTF">2025-12-29T04:10:46Z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0x0101005630232E75029B468CC8AFBF631DE06F</vt:lpwstr>
  </property>
  <property fmtid="{D5CDD505-2E9C-101B-9397-08002B2CF9AE}" pid="3" name="MediaServiceImageTags">
    <vt:lpwstr/>
  </property>
</Properties>
</file>