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Actividad 3. Rol QA — ejecución y evidencias en Cuidarte+</w:t>
      </w:r>
    </w:p>
    <w:p>
      <w:r>
        <w:rPr>
          <w:b w:val="0"/>
        </w:rPr>
      </w:r>
      <w:r>
        <w:rPr>
          <w:b/>
        </w:rPr>
        <w:t>Adaptación de la guía Atlas y Conecta+.</w:t>
      </w:r>
      <w:r>
        <w:rPr>
          <w:b w:val="0"/>
        </w:rPr>
        <w:t xml:space="preserve"> Se aplican riesgos equivalentes al caso semestral Cuidarte+, sin afirmar que se ejecutaron esos otros sistemas. La guía original está en 04_Guias_y_plantillas.</w:t>
      </w:r>
    </w:p>
    <w:p>
      <w:pPr>
        <w:pStyle w:val="Heading1"/>
      </w:pPr>
      <w:r>
        <w:t>Organización y método</w:t>
      </w:r>
    </w:p>
    <w:p>
      <w:r>
        <w:rPr>
          <w:b w:val="0"/>
        </w:rPr>
        <w:t>Líder QA propuesto: Antonella; ejecutora propuesta: Antonella; evidencia y relatoría propuestas: Miriam. La ejecución técnica efectiva fue automatizada con asistencia; las integrantes deben revisar resultados. No se corrigieron rutas durante la sesión. Se seleccionan casos equivalentes al Plan Maestro: login válido, entrada obligatoria vacía, acceso ajeno y acción destructiva anónima como riesgo adicional.</w:t>
      </w:r>
    </w:p>
    <w:p>
      <w:pPr>
        <w:pStyle w:val="Heading1"/>
      </w:pPr>
      <w:r>
        <w:t>Herramienta y registro del flujo</w:t>
      </w:r>
    </w:p>
    <w:p>
      <w:r>
        <w:rPr>
          <w:b w:val="0"/>
        </w:rPr>
        <w:t>Se usó un runner Node.js fetch con registro JSON, y capturas de navegador cuando constan en el acta. No se dispone de un proyecto nativo exportado por Chrome DevTools Recorder, TestCase Studio o Selenium IDE. Este resultado no se presenta como cumplimiento de esa grabación específica. La guía admite alternativa manual ante problemas; corresponde comunicar a la docente esta diferencia y, si exige la herramienta exacta, grabar el login siguiendo los pasos incluidos en GUIA_DE_ENTREGA.md. Las evidencias API ya están disponibles y no deben reemplazarse por un PASS supuesto.</w:t>
      </w:r>
    </w:p>
    <w:p>
      <w:pPr>
        <w:pStyle w:val="Heading1"/>
      </w:pPr>
      <w:r>
        <w:t>Cuatro casos obligatorios y bitácora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5EEF4"/>
          </w:tcPr>
          <w:p>
            <w:r>
              <w:rPr>
                <w:b/>
              </w:rPr>
              <w:t>ID de aula / técnico</w:t>
            </w:r>
          </w:p>
        </w:tc>
        <w:tc>
          <w:tcPr>
            <w:tcW w:type="dxa" w:w="1728"/>
            <w:shd w:fill="E5EEF4"/>
          </w:tcPr>
          <w:p>
            <w:r>
              <w:rPr>
                <w:b/>
              </w:rPr>
              <w:t>Esperado</w:t>
            </w:r>
          </w:p>
        </w:tc>
        <w:tc>
          <w:tcPr>
            <w:tcW w:type="dxa" w:w="1728"/>
            <w:shd w:fill="E5EEF4"/>
          </w:tcPr>
          <w:p>
            <w:r>
              <w:rPr>
                <w:b/>
              </w:rPr>
              <w:t>Obtenido</w:t>
            </w:r>
          </w:p>
        </w:tc>
        <w:tc>
          <w:tcPr>
            <w:tcW w:type="dxa" w:w="1728"/>
            <w:shd w:fill="E5EEF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728"/>
            <w:shd w:fill="E5EEF4"/>
          </w:tcPr>
          <w:p>
            <w:r>
              <w:rPr>
                <w:b/>
              </w:rPr>
              <w:t>Evidencia / incidencia</w:t>
            </w:r>
          </w:p>
        </w:tc>
      </w:tr>
      <w:tr>
        <w:tc>
          <w:tcPr>
            <w:tcW w:type="dxa" w:w="1728"/>
          </w:tcPr>
          <w:p>
            <w:r>
              <w:t>CP 001 / CP-API-001</w:t>
            </w:r>
          </w:p>
        </w:tc>
        <w:tc>
          <w:tcPr>
            <w:tcW w:type="dxa" w:w="1728"/>
          </w:tcPr>
          <w:p>
            <w:r>
              <w:t>200 y JWT verificable</w:t>
            </w:r>
          </w:p>
        </w:tc>
        <w:tc>
          <w:tcPr>
            <w:tcW w:type="dxa" w:w="1728"/>
          </w:tcPr>
          <w:p>
            <w:r>
              <w:t>HTTP 200; firma válida=true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resultados_api.json → CP-API-001</w:t>
            </w:r>
          </w:p>
        </w:tc>
      </w:tr>
      <w:tr>
        <w:tc>
          <w:tcPr>
            <w:tcW w:type="dxa" w:w="1728"/>
          </w:tcPr>
          <w:p>
            <w:r>
              <w:t>CP 002 / CP-API-003</w:t>
            </w:r>
          </w:p>
        </w:tc>
        <w:tc>
          <w:tcPr>
            <w:tcW w:type="dxa" w:w="1728"/>
          </w:tcPr>
          <w:p>
            <w:r>
              <w:t>400 sin inserción</w:t>
            </w:r>
          </w:p>
        </w:tc>
        <w:tc>
          <w:tcPr>
            <w:tcW w:type="dxa" w:w="1728"/>
          </w:tcPr>
          <w:p>
            <w:r>
              <w:t>HTTP 400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resultados_api.json → CP-API-003</w:t>
            </w:r>
          </w:p>
        </w:tc>
      </w:tr>
      <w:tr>
        <w:tc>
          <w:tcPr>
            <w:tcW w:type="dxa" w:w="1728"/>
          </w:tcPr>
          <w:p>
            <w:r>
              <w:t>CP 003 / CP-API-004</w:t>
            </w:r>
          </w:p>
        </w:tc>
        <w:tc>
          <w:tcPr>
            <w:tcW w:type="dxa" w:w="1728"/>
          </w:tcPr>
          <w:p>
            <w:r>
              <w:t>403 sin datos ajenos</w:t>
            </w:r>
          </w:p>
        </w:tc>
        <w:tc>
          <w:tcPr>
            <w:tcW w:type="dxa" w:w="1728"/>
          </w:tcPr>
          <w:p>
            <w:r>
              <w:t>HTTP 403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resultados_api.json → CP-API-004</w:t>
            </w:r>
          </w:p>
        </w:tc>
      </w:tr>
      <w:tr>
        <w:tc>
          <w:tcPr>
            <w:tcW w:type="dxa" w:w="1728"/>
          </w:tcPr>
          <w:p>
            <w:r>
              <w:t>CP 004 / CP-API-012</w:t>
            </w:r>
          </w:p>
        </w:tc>
        <w:tc>
          <w:tcPr>
            <w:tcW w:type="dxa" w:w="1728"/>
          </w:tcPr>
          <w:p>
            <w:r>
              <w:t>401 y cuenta intacta</w:t>
            </w:r>
          </w:p>
        </w:tc>
        <w:tc>
          <w:tcPr>
            <w:tcW w:type="dxa" w:w="1728"/>
          </w:tcPr>
          <w:p>
            <w:r>
              <w:t>HTTP 200; filas restantes=0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resultados_api.json → CP-API-012 / DEF-006</w:t>
            </w:r>
          </w:p>
        </w:tc>
      </w:tr>
    </w:tbl>
    <w:p/>
    <w:p>
      <w:pPr>
        <w:pStyle w:val="Heading1"/>
      </w:pPr>
      <w:r>
        <w:t>Incidencia reproducible y cierre</w:t>
      </w:r>
    </w:p>
    <w:p>
      <w:r>
        <w:rPr>
          <w:b w:val="0"/>
        </w:rPr>
        <w:t>DEF-006: DELETE /usuarios/:id sin Bearer elimina una cuenta sintética y responde HTTP 200. Esperado: 401 y fila intacta. Obtenido: 200 y cero filas; criticidad crítica por acción destructiva anónima. Entorno: API 4445, PostgreSQL aislado. Pasos y datos exactos: ejecutar_api.cjs, CP-API-012. Recomendación: autenticar y autorizar antes de ejecutar DELETE; validar persistencia y regresión. Los cuatro casos equivalentes cuentan con resultado y evidencia; hay tres PASS y un FAIL. No se declara una duración real de 80 minutos ni grabación nativa inexistente.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