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B217" w14:textId="7B4A4E4F" w:rsidR="00BB7799" w:rsidRPr="00F743FB" w:rsidRDefault="00BB7799" w:rsidP="00BB7799">
      <w:pPr>
        <w:jc w:val="both"/>
        <w:rPr>
          <w:b/>
          <w:bCs/>
          <w:color w:val="0070C0"/>
          <w:u w:val="single"/>
        </w:rPr>
      </w:pPr>
      <w:r w:rsidRPr="00F743FB">
        <w:rPr>
          <w:b/>
          <w:bCs/>
          <w:color w:val="0070C0"/>
          <w:u w:val="single"/>
        </w:rPr>
        <w:t xml:space="preserve">INTERVENTION- </w:t>
      </w:r>
      <w:r w:rsidR="000E09AD" w:rsidRPr="00F743FB">
        <w:rPr>
          <w:b/>
          <w:bCs/>
          <w:color w:val="0070C0"/>
          <w:u w:val="single"/>
        </w:rPr>
        <w:t>Naltrexone Implants</w:t>
      </w:r>
    </w:p>
    <w:p w14:paraId="52CE8306" w14:textId="77777777" w:rsidR="000E09AD" w:rsidRPr="00F743FB" w:rsidRDefault="00BB7799" w:rsidP="00BB7799">
      <w:pPr>
        <w:jc w:val="both"/>
        <w:rPr>
          <w:b/>
          <w:bCs/>
          <w:color w:val="0070C0"/>
        </w:rPr>
      </w:pPr>
      <w:r w:rsidRPr="00F743FB">
        <w:rPr>
          <w:b/>
          <w:bCs/>
          <w:color w:val="0070C0"/>
        </w:rPr>
        <w:t xml:space="preserve">Intervention Code- </w:t>
      </w:r>
      <w:r w:rsidR="000E09AD" w:rsidRPr="00F743FB">
        <w:rPr>
          <w:b/>
          <w:bCs/>
          <w:color w:val="0070C0"/>
        </w:rPr>
        <w:t>INTERV-2026-03-25-0014</w:t>
      </w:r>
    </w:p>
    <w:p w14:paraId="346F54A2" w14:textId="3134D4A5" w:rsidR="00BB7799" w:rsidRPr="00F743FB" w:rsidRDefault="00BB7799" w:rsidP="00BB7799">
      <w:pPr>
        <w:jc w:val="both"/>
        <w:rPr>
          <w:b/>
          <w:bCs/>
          <w:color w:val="0070C0"/>
        </w:rPr>
      </w:pPr>
      <w:r w:rsidRPr="00F743FB">
        <w:rPr>
          <w:b/>
          <w:bCs/>
          <w:color w:val="0070C0"/>
        </w:rPr>
        <w:t>System Category- Mental/Behavioural/Nervous System</w:t>
      </w:r>
    </w:p>
    <w:p w14:paraId="2E0EACEF" w14:textId="77777777" w:rsidR="00BB7799" w:rsidRPr="00CA14CA" w:rsidRDefault="00BB7799" w:rsidP="00BB7799">
      <w:pPr>
        <w:jc w:val="both"/>
        <w:rPr>
          <w:b/>
          <w:bCs/>
        </w:rPr>
      </w:pPr>
    </w:p>
    <w:p w14:paraId="040D1DC0" w14:textId="77777777" w:rsidR="00BB7799" w:rsidRPr="00CA14CA" w:rsidRDefault="00BB7799" w:rsidP="00BB7799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</w:rPr>
      </w:pPr>
      <w:r w:rsidRPr="00CA14CA">
        <w:rPr>
          <w:b/>
          <w:bCs/>
        </w:rPr>
        <w:t>Justification presented by topic nominator</w:t>
      </w:r>
    </w:p>
    <w:p w14:paraId="063B08D3" w14:textId="77777777" w:rsidR="00BB7799" w:rsidRPr="00CA14CA" w:rsidRDefault="00BB7799" w:rsidP="00BB7799">
      <w:pPr>
        <w:pStyle w:val="ListParagraph"/>
        <w:numPr>
          <w:ilvl w:val="0"/>
          <w:numId w:val="1"/>
        </w:numPr>
        <w:spacing w:line="360" w:lineRule="auto"/>
        <w:jc w:val="both"/>
      </w:pPr>
      <w:r w:rsidRPr="00CA14CA">
        <w:t xml:space="preserve">Issues with Current mental health wellness package </w:t>
      </w:r>
    </w:p>
    <w:p w14:paraId="21CE315D" w14:textId="77777777" w:rsidR="00BB7799" w:rsidRPr="00CA14CA" w:rsidRDefault="00BB7799" w:rsidP="00BB7799">
      <w:pPr>
        <w:pStyle w:val="ListParagraph"/>
        <w:numPr>
          <w:ilvl w:val="1"/>
          <w:numId w:val="2"/>
        </w:numPr>
        <w:spacing w:line="360" w:lineRule="auto"/>
        <w:jc w:val="both"/>
      </w:pPr>
      <w:r w:rsidRPr="00CA14CA">
        <w:t xml:space="preserve">Inadequate Reimbursement Rates: The current reimbursement rates are too low and do not cover the cost. </w:t>
      </w:r>
    </w:p>
    <w:p w14:paraId="6CA632FF" w14:textId="59FE95FB" w:rsidR="00BB7799" w:rsidRPr="00CA14CA" w:rsidRDefault="00BB7799" w:rsidP="00BB7799">
      <w:pPr>
        <w:pStyle w:val="ListParagraph"/>
        <w:numPr>
          <w:ilvl w:val="1"/>
          <w:numId w:val="2"/>
        </w:numPr>
        <w:spacing w:line="360" w:lineRule="auto"/>
        <w:jc w:val="both"/>
      </w:pPr>
      <w:r w:rsidRPr="00CA14CA">
        <w:t>High cost of drugs- nearly all psychotropics are imported and are subject to foreign currency fluctuation.</w:t>
      </w:r>
    </w:p>
    <w:p w14:paraId="41081A54" w14:textId="77777777" w:rsidR="00DB38F7" w:rsidRDefault="00DB38F7" w:rsidP="00CC65D0">
      <w:pPr>
        <w:jc w:val="both"/>
        <w:rPr>
          <w:b/>
          <w:bCs/>
        </w:rPr>
      </w:pPr>
    </w:p>
    <w:p w14:paraId="28546CAE" w14:textId="16CC91F5" w:rsidR="00BB7799" w:rsidRPr="00CA14CA" w:rsidRDefault="00BB7799" w:rsidP="00CC65D0">
      <w:pPr>
        <w:jc w:val="both"/>
        <w:rPr>
          <w:b/>
          <w:bCs/>
        </w:rPr>
      </w:pPr>
      <w:r w:rsidRPr="00CA14CA">
        <w:rPr>
          <w:b/>
          <w:bCs/>
        </w:rPr>
        <w:t>Introduction</w:t>
      </w:r>
    </w:p>
    <w:p w14:paraId="1293A76A" w14:textId="77777777" w:rsidR="00544539" w:rsidRPr="00544539" w:rsidRDefault="00544539" w:rsidP="00CC65D0">
      <w:pPr>
        <w:jc w:val="both"/>
        <w:rPr>
          <w:b/>
          <w:bCs/>
        </w:rPr>
      </w:pPr>
      <w:r w:rsidRPr="00544539">
        <w:rPr>
          <w:b/>
          <w:bCs/>
        </w:rPr>
        <w:t xml:space="preserve">Naltrexone </w:t>
      </w:r>
    </w:p>
    <w:p w14:paraId="7531B81B" w14:textId="20356E94" w:rsidR="00544539" w:rsidRDefault="00544539" w:rsidP="00CC65D0">
      <w:pPr>
        <w:jc w:val="both"/>
      </w:pPr>
      <w:r w:rsidRPr="00544539">
        <w:rPr>
          <w:b/>
          <w:bCs/>
        </w:rPr>
        <w:t>Formulations</w:t>
      </w:r>
      <w:r>
        <w:t xml:space="preserve">- </w:t>
      </w:r>
      <w:r w:rsidRPr="00544539">
        <w:t>Tablet</w:t>
      </w:r>
      <w:r>
        <w:t xml:space="preserve"> </w:t>
      </w:r>
      <w:r w:rsidRPr="00544539">
        <w:t>50 mg</w:t>
      </w:r>
      <w:r>
        <w:t xml:space="preserve"> (oral), 380mg (Intramuscular injection), 765mg (Implant)</w:t>
      </w:r>
    </w:p>
    <w:p w14:paraId="24931A3D" w14:textId="77777777" w:rsidR="00544539" w:rsidRDefault="00544539" w:rsidP="00CC65D0">
      <w:pPr>
        <w:jc w:val="both"/>
      </w:pPr>
      <w:r w:rsidRPr="00544539">
        <w:rPr>
          <w:b/>
          <w:bCs/>
        </w:rPr>
        <w:t>Indications-</w:t>
      </w:r>
      <w:r>
        <w:t xml:space="preserve"> </w:t>
      </w:r>
    </w:p>
    <w:p w14:paraId="48964C3F" w14:textId="3E05ACF8" w:rsidR="0092085F" w:rsidRDefault="00544539" w:rsidP="00CC65D0">
      <w:pPr>
        <w:pStyle w:val="ListParagraph"/>
        <w:numPr>
          <w:ilvl w:val="0"/>
          <w:numId w:val="14"/>
        </w:numPr>
        <w:jc w:val="both"/>
      </w:pPr>
      <w:r w:rsidRPr="00544539">
        <w:t xml:space="preserve">Adult Treatment against alcoholism </w:t>
      </w:r>
      <w:r w:rsidR="0092085F" w:rsidRPr="00544539">
        <w:t>oral: 50 mg once daily. may increase to 100 mg once daily after 1 week based on response and tolerability. IM: 380 mg once every 4 weeks.</w:t>
      </w:r>
    </w:p>
    <w:p w14:paraId="45EF3D3E" w14:textId="48F7E65A" w:rsidR="0092085F" w:rsidRDefault="0092085F" w:rsidP="00CC65D0">
      <w:pPr>
        <w:pStyle w:val="ListParagraph"/>
        <w:ind w:left="360"/>
        <w:jc w:val="both"/>
      </w:pPr>
    </w:p>
    <w:p w14:paraId="38142FFC" w14:textId="77777777" w:rsidR="0092085F" w:rsidRDefault="00544539" w:rsidP="00CC65D0">
      <w:pPr>
        <w:pStyle w:val="ListParagraph"/>
        <w:numPr>
          <w:ilvl w:val="0"/>
          <w:numId w:val="12"/>
        </w:numPr>
        <w:jc w:val="both"/>
      </w:pPr>
      <w:r w:rsidRPr="00544539">
        <w:t xml:space="preserve">to reduce the risk of relapse, </w:t>
      </w:r>
    </w:p>
    <w:p w14:paraId="0024AE75" w14:textId="77777777" w:rsidR="0092085F" w:rsidRDefault="00544539" w:rsidP="00CC65D0">
      <w:pPr>
        <w:pStyle w:val="ListParagraph"/>
        <w:numPr>
          <w:ilvl w:val="0"/>
          <w:numId w:val="12"/>
        </w:numPr>
        <w:jc w:val="both"/>
      </w:pPr>
      <w:r w:rsidRPr="00544539">
        <w:t xml:space="preserve">as support treatment in abstinence and </w:t>
      </w:r>
    </w:p>
    <w:p w14:paraId="63B22F00" w14:textId="77777777" w:rsidR="0092085F" w:rsidRDefault="00544539" w:rsidP="00CC65D0">
      <w:pPr>
        <w:pStyle w:val="ListParagraph"/>
        <w:numPr>
          <w:ilvl w:val="0"/>
          <w:numId w:val="12"/>
        </w:numPr>
        <w:jc w:val="both"/>
      </w:pPr>
      <w:r w:rsidRPr="00544539">
        <w:t xml:space="preserve">to reduce the craving for alcohol, </w:t>
      </w:r>
    </w:p>
    <w:p w14:paraId="4152934E" w14:textId="77777777" w:rsidR="0092085F" w:rsidRDefault="0092085F" w:rsidP="00CC65D0">
      <w:pPr>
        <w:pStyle w:val="ListParagraph"/>
        <w:jc w:val="both"/>
      </w:pPr>
    </w:p>
    <w:p w14:paraId="574E2574" w14:textId="0F6EF249" w:rsidR="00572D6F" w:rsidRDefault="00CC65D0" w:rsidP="00CC65D0">
      <w:pPr>
        <w:pStyle w:val="ListParagraph"/>
        <w:numPr>
          <w:ilvl w:val="0"/>
          <w:numId w:val="13"/>
        </w:numPr>
        <w:jc w:val="both"/>
      </w:pPr>
      <w:r>
        <w:t xml:space="preserve">Adult Treatment against </w:t>
      </w:r>
      <w:r w:rsidR="00544539" w:rsidRPr="00544539">
        <w:t xml:space="preserve">Opioid use </w:t>
      </w:r>
      <w:r>
        <w:t>(</w:t>
      </w:r>
      <w:r w:rsidRPr="00CC65D0">
        <w:t>heroin, morphine, codeine</w:t>
      </w:r>
      <w:r>
        <w:t>)</w:t>
      </w:r>
      <w:r w:rsidRPr="00CC65D0">
        <w:t xml:space="preserve"> </w:t>
      </w:r>
      <w:r w:rsidR="00544539" w:rsidRPr="00544539">
        <w:t>(</w:t>
      </w:r>
      <w:r w:rsidR="00544539" w:rsidRPr="00CC65D0">
        <w:rPr>
          <w:i/>
          <w:iCs/>
        </w:rPr>
        <w:t>mild to moderate</w:t>
      </w:r>
      <w:r w:rsidR="00544539" w:rsidRPr="00544539">
        <w:t xml:space="preserve">), Oral: Initial: 25 mg once daily for 1 to 3 days, if no withdrawal signs occur, administer 50 mg once daily thereafter. Opioid use (mild to moderate), IM: 380 mg once every 4 weeks. </w:t>
      </w:r>
    </w:p>
    <w:p w14:paraId="259C7158" w14:textId="1B5FEB4F" w:rsidR="00CC65D0" w:rsidRDefault="00CC65D0" w:rsidP="00CC65D0">
      <w:pPr>
        <w:jc w:val="both"/>
      </w:pPr>
      <w:r>
        <w:t xml:space="preserve">Mode of action- </w:t>
      </w:r>
      <w:r w:rsidRPr="00CC65D0">
        <w:t xml:space="preserve">It works by </w:t>
      </w:r>
      <w:r w:rsidRPr="00CC65D0">
        <w:rPr>
          <w:b/>
          <w:bCs/>
        </w:rPr>
        <w:t>blocking opioid receptors</w:t>
      </w:r>
      <w:r w:rsidRPr="00CC65D0">
        <w:t>, so</w:t>
      </w:r>
      <w:r>
        <w:t xml:space="preserve"> that o</w:t>
      </w:r>
      <w:r w:rsidRPr="00CC65D0">
        <w:t>pioids won’t produce a “high”</w:t>
      </w:r>
      <w:r>
        <w:t xml:space="preserve"> and so that a</w:t>
      </w:r>
      <w:r w:rsidRPr="00CC65D0">
        <w:t>lcohol cravings may reduce</w:t>
      </w:r>
      <w:r>
        <w:t>.</w:t>
      </w:r>
    </w:p>
    <w:p w14:paraId="2D9BF4B7" w14:textId="549C410A" w:rsidR="003E2E41" w:rsidRPr="00CC65D0" w:rsidRDefault="003E2E41" w:rsidP="00CC65D0">
      <w:pPr>
        <w:jc w:val="both"/>
      </w:pPr>
      <w:r w:rsidRPr="003E2E41">
        <w:t xml:space="preserve">It binds </w:t>
      </w:r>
      <w:r w:rsidRPr="003E2E41">
        <w:rPr>
          <w:b/>
          <w:bCs/>
        </w:rPr>
        <w:t>strongly but does NOT activate</w:t>
      </w:r>
      <w:r w:rsidRPr="003E2E41">
        <w:t xml:space="preserve"> these receptors</w:t>
      </w:r>
      <w:r>
        <w:t>.</w:t>
      </w:r>
    </w:p>
    <w:p w14:paraId="043F7252" w14:textId="7DB50978" w:rsidR="00CC65D0" w:rsidRDefault="00CC65D0" w:rsidP="00CC65D0">
      <w:pPr>
        <w:jc w:val="both"/>
      </w:pPr>
    </w:p>
    <w:p w14:paraId="06AD738C" w14:textId="77777777" w:rsidR="00572D6F" w:rsidRDefault="00544539" w:rsidP="00CC65D0">
      <w:pPr>
        <w:jc w:val="both"/>
      </w:pPr>
      <w:r w:rsidRPr="00544539">
        <w:lastRenderedPageBreak/>
        <w:t xml:space="preserve">Paediatric: Safety and efficacy in medically assisted therapy clinics for paediatrics not established </w:t>
      </w:r>
    </w:p>
    <w:p w14:paraId="753853EB" w14:textId="77777777" w:rsidR="00572D6F" w:rsidRDefault="00544539" w:rsidP="00CC65D0">
      <w:pPr>
        <w:jc w:val="both"/>
      </w:pPr>
      <w:r w:rsidRPr="00544539">
        <w:t>Contraindication: patients currently dependent on opioids, Hepatic impairment, renal impairment, Pregnancy, Breastfeeding</w:t>
      </w:r>
      <w:r w:rsidR="00572D6F">
        <w:t>,</w:t>
      </w:r>
      <w:r w:rsidRPr="00544539">
        <w:t xml:space="preserve"> Hepatic impairment</w:t>
      </w:r>
      <w:r w:rsidR="00572D6F">
        <w:t xml:space="preserve">, </w:t>
      </w:r>
      <w:r w:rsidRPr="00544539">
        <w:t>Renal impairment</w:t>
      </w:r>
    </w:p>
    <w:p w14:paraId="09C804FB" w14:textId="6EE6D670" w:rsidR="00544539" w:rsidRDefault="00544539" w:rsidP="00CC65D0">
      <w:pPr>
        <w:jc w:val="both"/>
      </w:pPr>
      <w:r w:rsidRPr="00544539">
        <w:t>Adverse effects: nervousness, anxiety, insomnia, headache, restlessness, abdominal pain, nausea, emesis, rash, asthenia Interaction with other medicines: opiate derivatives, methyldopa</w:t>
      </w:r>
    </w:p>
    <w:p w14:paraId="37257B18" w14:textId="77777777" w:rsidR="00DE1764" w:rsidRDefault="00544539" w:rsidP="00CC65D0">
      <w:pPr>
        <w:jc w:val="both"/>
      </w:pPr>
      <w:r w:rsidRPr="00544539">
        <w:t xml:space="preserve">Note: </w:t>
      </w:r>
    </w:p>
    <w:p w14:paraId="11C5022D" w14:textId="4DF12501" w:rsidR="00DE1764" w:rsidRDefault="00544539" w:rsidP="00CC65D0">
      <w:pPr>
        <w:jc w:val="both"/>
      </w:pPr>
      <w:r w:rsidRPr="00544539">
        <w:t>» Use only for patients who are highly motivated or able to comply with techniques such as observed dosing to enhance adherence.</w:t>
      </w:r>
    </w:p>
    <w:p w14:paraId="2469BD06" w14:textId="13B7EB27" w:rsidR="00544539" w:rsidRDefault="00544539" w:rsidP="00CC65D0">
      <w:pPr>
        <w:jc w:val="both"/>
      </w:pPr>
      <w:r w:rsidRPr="00544539">
        <w:t xml:space="preserve"> » Naltrexone implant 765 mg is availed on specialist request only.</w:t>
      </w:r>
    </w:p>
    <w:p w14:paraId="0B1FF189" w14:textId="77777777" w:rsidR="00CC65D0" w:rsidRPr="00CA14CA" w:rsidRDefault="00CC65D0" w:rsidP="00CC65D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BB7799" w:rsidRPr="00CA14CA" w14:paraId="4DEFCC98" w14:textId="77777777">
        <w:tc>
          <w:tcPr>
            <w:tcW w:w="3397" w:type="dxa"/>
          </w:tcPr>
          <w:p w14:paraId="55AF2877" w14:textId="77777777" w:rsidR="00BB7799" w:rsidRPr="00CA14CA" w:rsidRDefault="00BB7799">
            <w:pPr>
              <w:rPr>
                <w:noProof/>
              </w:rPr>
            </w:pPr>
            <w:r w:rsidRPr="00CA14CA">
              <w:rPr>
                <w:b/>
                <w:bCs/>
              </w:rPr>
              <w:t>Clinical effectiveness, safety and quality of the intervention</w:t>
            </w:r>
          </w:p>
        </w:tc>
        <w:tc>
          <w:tcPr>
            <w:tcW w:w="5953" w:type="dxa"/>
          </w:tcPr>
          <w:p w14:paraId="13F06835" w14:textId="7F763C52" w:rsidR="00BB7799" w:rsidRDefault="00B2118E">
            <w:pPr>
              <w:rPr>
                <w:noProof/>
              </w:rPr>
            </w:pPr>
            <w:r>
              <w:rPr>
                <w:noProof/>
              </w:rPr>
              <w:t>A</w:t>
            </w:r>
            <w:r w:rsidRPr="00B2118E">
              <w:rPr>
                <w:noProof/>
              </w:rPr>
              <w:t xml:space="preserve"> significant </w:t>
            </w:r>
            <w:r>
              <w:rPr>
                <w:noProof/>
              </w:rPr>
              <w:t>number of</w:t>
            </w:r>
            <w:r w:rsidRPr="00B2118E">
              <w:rPr>
                <w:noProof/>
              </w:rPr>
              <w:t xml:space="preserve"> studies suggests a superiority of naltrexone implants over oral naltrexone in maintaining OD individuals opiate-free, up to 12 months after initiating treatment</w:t>
            </w:r>
            <w:r>
              <w:rPr>
                <w:noProof/>
              </w:rPr>
              <w:t>.</w:t>
            </w:r>
          </w:p>
          <w:p w14:paraId="41F3EC4A" w14:textId="77777777" w:rsidR="00B2118E" w:rsidRDefault="00B2118E">
            <w:pPr>
              <w:rPr>
                <w:noProof/>
              </w:rPr>
            </w:pPr>
          </w:p>
          <w:p w14:paraId="5656A339" w14:textId="77777777" w:rsidR="00B2118E" w:rsidRDefault="00B2118E">
            <w:pPr>
              <w:rPr>
                <w:noProof/>
              </w:rPr>
            </w:pPr>
            <w:r w:rsidRPr="00B2118E">
              <w:rPr>
                <w:noProof/>
              </w:rPr>
              <w:t xml:space="preserve">Plasma naltrexone levels were found to be between 1 and 2 ng/mL for a longer time in the naltrexone implant group. </w:t>
            </w:r>
          </w:p>
          <w:p w14:paraId="7EC27D02" w14:textId="77777777" w:rsidR="00B2118E" w:rsidRDefault="00B2118E">
            <w:pPr>
              <w:rPr>
                <w:noProof/>
              </w:rPr>
            </w:pPr>
          </w:p>
          <w:p w14:paraId="46339543" w14:textId="77777777" w:rsidR="00B2118E" w:rsidRDefault="00B2118E">
            <w:pPr>
              <w:rPr>
                <w:noProof/>
              </w:rPr>
            </w:pPr>
            <w:r w:rsidRPr="00B2118E">
              <w:rPr>
                <w:noProof/>
              </w:rPr>
              <w:t>Results showed that more patients receiving oral naltrexone had plasma naltrexone levels below 2 ng/mL in the first 2 months of treatment (</w:t>
            </w:r>
            <w:r w:rsidRPr="00B2118E">
              <w:rPr>
                <w:i/>
                <w:iCs/>
                <w:noProof/>
              </w:rPr>
              <w:t>P</w:t>
            </w:r>
            <w:r w:rsidRPr="00B2118E">
              <w:rPr>
                <w:noProof/>
              </w:rPr>
              <w:t> = 0.001 and 0.01, respectively) and a higher proportion of them had resumed heroin use by the end of the study compared with the naltrexone implant group (</w:t>
            </w:r>
            <w:r w:rsidRPr="00B2118E">
              <w:rPr>
                <w:i/>
                <w:iCs/>
                <w:noProof/>
              </w:rPr>
              <w:t>P</w:t>
            </w:r>
            <w:r w:rsidRPr="00B2118E">
              <w:rPr>
                <w:noProof/>
              </w:rPr>
              <w:t> = 0.003). Time to relapse was shorter among oral naltrexone patients (115 days vs 158 days)</w:t>
            </w:r>
          </w:p>
          <w:p w14:paraId="379ADD6D" w14:textId="77777777" w:rsidR="00B2118E" w:rsidRDefault="00B2118E">
            <w:pPr>
              <w:rPr>
                <w:noProof/>
              </w:rPr>
            </w:pPr>
          </w:p>
          <w:p w14:paraId="159EABC2" w14:textId="77777777" w:rsidR="00B2118E" w:rsidRDefault="00B2118E">
            <w:pPr>
              <w:rPr>
                <w:noProof/>
              </w:rPr>
            </w:pPr>
            <w:r w:rsidRPr="00B2118E">
              <w:rPr>
                <w:noProof/>
              </w:rPr>
              <w:t>Patients receiving naltrexone had on average 45 days less heroin use and 60 days less opioid use than controls in the 180-day period</w:t>
            </w:r>
          </w:p>
          <w:p w14:paraId="62467597" w14:textId="77777777" w:rsidR="00B2118E" w:rsidRDefault="00B2118E">
            <w:pPr>
              <w:rPr>
                <w:noProof/>
              </w:rPr>
            </w:pPr>
          </w:p>
          <w:p w14:paraId="73C75190" w14:textId="77777777" w:rsidR="00B2118E" w:rsidRPr="00B2118E" w:rsidRDefault="00B2118E">
            <w:pPr>
              <w:rPr>
                <w:i/>
                <w:iCs/>
                <w:noProof/>
              </w:rPr>
            </w:pPr>
            <w:r w:rsidRPr="00B2118E">
              <w:rPr>
                <w:i/>
                <w:iCs/>
                <w:noProof/>
              </w:rPr>
              <w:t>Mannelli et al., 2011</w:t>
            </w:r>
          </w:p>
          <w:p w14:paraId="130B7820" w14:textId="77777777" w:rsidR="00B2118E" w:rsidRDefault="00B2118E">
            <w:pPr>
              <w:rPr>
                <w:noProof/>
              </w:rPr>
            </w:pPr>
          </w:p>
          <w:p w14:paraId="4AD080A3" w14:textId="77777777" w:rsidR="00B2118E" w:rsidRDefault="00B2118E">
            <w:pPr>
              <w:rPr>
                <w:noProof/>
              </w:rPr>
            </w:pPr>
            <w:r w:rsidRPr="00B2118E">
              <w:rPr>
                <w:noProof/>
              </w:rPr>
              <w:t xml:space="preserve">Patients with naltrexone implants were significantly more likely than those with placebo implants to report </w:t>
            </w:r>
            <w:r w:rsidRPr="00B2118E">
              <w:rPr>
                <w:noProof/>
              </w:rPr>
              <w:lastRenderedPageBreak/>
              <w:t xml:space="preserve">surgical site-related adverse events (RR 4.68, 95% CI 1.63 to 13.44; three trials; Ι²=0%). </w:t>
            </w:r>
          </w:p>
          <w:p w14:paraId="2D974767" w14:textId="77777777" w:rsidR="00B2118E" w:rsidRDefault="00B2118E">
            <w:pPr>
              <w:rPr>
                <w:noProof/>
              </w:rPr>
            </w:pPr>
          </w:p>
          <w:p w14:paraId="0C941086" w14:textId="3BE3CF5F" w:rsidR="00B2118E" w:rsidRDefault="00B2118E">
            <w:pPr>
              <w:rPr>
                <w:noProof/>
              </w:rPr>
            </w:pPr>
            <w:r w:rsidRPr="00B2118E">
              <w:rPr>
                <w:noProof/>
              </w:rPr>
              <w:t>There were no statistically significant adverse events possibly related to treatment when naltrexone implants were compared with placebo implants (one trial) or oral naltrexone</w:t>
            </w:r>
          </w:p>
          <w:p w14:paraId="75B31191" w14:textId="77777777" w:rsidR="00B2118E" w:rsidRDefault="00B2118E">
            <w:pPr>
              <w:rPr>
                <w:noProof/>
              </w:rPr>
            </w:pPr>
          </w:p>
          <w:p w14:paraId="2AF32C1B" w14:textId="3E0CF806" w:rsidR="00B2118E" w:rsidRPr="00CA14CA" w:rsidRDefault="00B2118E">
            <w:pPr>
              <w:rPr>
                <w:noProof/>
              </w:rPr>
            </w:pPr>
            <w:r>
              <w:rPr>
                <w:noProof/>
              </w:rPr>
              <w:t>Larney et al., 2014</w:t>
            </w:r>
          </w:p>
        </w:tc>
      </w:tr>
    </w:tbl>
    <w:p w14:paraId="0388B352" w14:textId="77777777" w:rsidR="00BB7799" w:rsidRPr="00CA14CA" w:rsidRDefault="00BB7799" w:rsidP="00BB7799">
      <w:pPr>
        <w:tabs>
          <w:tab w:val="left" w:pos="1285"/>
        </w:tabs>
        <w:ind w:left="360"/>
        <w:rPr>
          <w:b/>
          <w:bCs/>
        </w:rPr>
      </w:pPr>
    </w:p>
    <w:p w14:paraId="2E540AEF" w14:textId="77777777" w:rsidR="00BB7799" w:rsidRPr="00CA14CA" w:rsidRDefault="00BB7799" w:rsidP="00BB7799">
      <w:pPr>
        <w:pStyle w:val="ListParagraph"/>
        <w:numPr>
          <w:ilvl w:val="0"/>
          <w:numId w:val="2"/>
        </w:numPr>
        <w:rPr>
          <w:b/>
          <w:bCs/>
        </w:rPr>
      </w:pPr>
      <w:r w:rsidRPr="00CA14CA">
        <w:rPr>
          <w:b/>
          <w:bCs/>
        </w:rPr>
        <w:t>Burden of disease, Incidence or occurrence of disease</w:t>
      </w:r>
    </w:p>
    <w:p w14:paraId="69344ADD" w14:textId="77777777" w:rsidR="00BB7799" w:rsidRPr="00CA14CA" w:rsidRDefault="00BB7799" w:rsidP="00BB7799">
      <w:pPr>
        <w:jc w:val="both"/>
      </w:pPr>
      <w:r w:rsidRPr="00CA14CA">
        <w:t>Current use of drugs and substances among the population aged 15 – 65 years in Kenya</w:t>
      </w:r>
    </w:p>
    <w:p w14:paraId="1628EA89" w14:textId="77777777" w:rsidR="00BB7799" w:rsidRPr="00CA14CA" w:rsidRDefault="00BB7799" w:rsidP="00BB7799">
      <w:pPr>
        <w:rPr>
          <w:noProof/>
        </w:rPr>
      </w:pPr>
      <w:r w:rsidRPr="00CA14CA">
        <w:rPr>
          <w:noProof/>
        </w:rPr>
        <w:drawing>
          <wp:inline distT="0" distB="0" distL="0" distR="0" wp14:anchorId="71D85653" wp14:editId="1374B2B4">
            <wp:extent cx="5943600" cy="2712085"/>
            <wp:effectExtent l="0" t="0" r="0" b="0"/>
            <wp:docPr id="194432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23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060F" w14:textId="77777777" w:rsidR="00BB7799" w:rsidRPr="00CA14CA" w:rsidRDefault="00BB7799" w:rsidP="00BB7799">
      <w:pPr>
        <w:tabs>
          <w:tab w:val="left" w:pos="1285"/>
        </w:tabs>
      </w:pPr>
      <w:r w:rsidRPr="00CA14CA">
        <w:t>One in every 8 Kenyans aged 15 – 65 years (3,199,119) were currently using alcohol;</w:t>
      </w:r>
    </w:p>
    <w:p w14:paraId="4A0B1AA1" w14:textId="77777777" w:rsidR="00BB7799" w:rsidRPr="00CA14CA" w:rsidRDefault="00BB7799" w:rsidP="00BB7799">
      <w:pPr>
        <w:tabs>
          <w:tab w:val="left" w:pos="1285"/>
        </w:tabs>
      </w:pPr>
      <w:r w:rsidRPr="00CA14CA">
        <w:t>One in every 12 Kenyans aged 15 – 65 years (2,305,929) were currently using tobacco;</w:t>
      </w:r>
    </w:p>
    <w:p w14:paraId="270980A2" w14:textId="77777777" w:rsidR="00BB7799" w:rsidRPr="00CA14CA" w:rsidRDefault="00BB7799" w:rsidP="00BB7799">
      <w:pPr>
        <w:tabs>
          <w:tab w:val="left" w:pos="1285"/>
        </w:tabs>
      </w:pPr>
      <w:r w:rsidRPr="00CA14CA">
        <w:t>One in every 28 Kenyans aged 15 – 65 years (964,737) were currently using khat;</w:t>
      </w:r>
    </w:p>
    <w:p w14:paraId="3298A124" w14:textId="77777777" w:rsidR="00BB7799" w:rsidRPr="00CA14CA" w:rsidRDefault="00BB7799" w:rsidP="00BB7799">
      <w:pPr>
        <w:tabs>
          <w:tab w:val="left" w:pos="1285"/>
        </w:tabs>
      </w:pPr>
      <w:r w:rsidRPr="00CA14CA">
        <w:t>One in every 53 Kenyans aged 15 – 65 years (518,807) were currently using cannabis;</w:t>
      </w:r>
    </w:p>
    <w:p w14:paraId="246AB733" w14:textId="77777777" w:rsidR="00BB7799" w:rsidRPr="00CA14CA" w:rsidRDefault="00BB7799" w:rsidP="00BB7799">
      <w:pPr>
        <w:tabs>
          <w:tab w:val="left" w:pos="1285"/>
        </w:tabs>
      </w:pPr>
    </w:p>
    <w:p w14:paraId="2D02E031" w14:textId="77777777" w:rsidR="00BB7799" w:rsidRPr="00CA14CA" w:rsidRDefault="00BB7799" w:rsidP="00BB7799">
      <w:pPr>
        <w:tabs>
          <w:tab w:val="left" w:pos="1285"/>
        </w:tabs>
      </w:pPr>
      <w:r w:rsidRPr="00CA14CA">
        <w:t xml:space="preserve">Prevalence of severe substance use disorders </w:t>
      </w:r>
      <w:r w:rsidRPr="00B07B1F">
        <w:rPr>
          <w:b/>
          <w:bCs/>
        </w:rPr>
        <w:t>(addiction)</w:t>
      </w:r>
      <w:r w:rsidRPr="00CA14CA">
        <w:t xml:space="preserve"> among the population aged 15 – 65 years in Kenya; </w:t>
      </w:r>
    </w:p>
    <w:p w14:paraId="625F8846" w14:textId="77777777" w:rsidR="00BB7799" w:rsidRPr="00CA14CA" w:rsidRDefault="00BB7799" w:rsidP="00BB7799">
      <w:pPr>
        <w:tabs>
          <w:tab w:val="left" w:pos="1285"/>
        </w:tabs>
      </w:pPr>
      <w:r w:rsidRPr="00CA14CA">
        <w:t xml:space="preserve">• One in every 20 Kenyans aged 15 – 65 years (1,357,040) were addicted to alcohol; </w:t>
      </w:r>
    </w:p>
    <w:p w14:paraId="05FBC26B" w14:textId="77777777" w:rsidR="00BB7799" w:rsidRPr="00CA14CA" w:rsidRDefault="00BB7799" w:rsidP="00BB7799">
      <w:pPr>
        <w:tabs>
          <w:tab w:val="left" w:pos="1285"/>
        </w:tabs>
      </w:pPr>
      <w:r w:rsidRPr="00CA14CA">
        <w:t xml:space="preserve">• One in every 30 Kenyans aged 15 – 65 years (887,627) were addicted to tobacco; </w:t>
      </w:r>
    </w:p>
    <w:p w14:paraId="265E464F" w14:textId="77777777" w:rsidR="00BB7799" w:rsidRPr="00CA14CA" w:rsidRDefault="00BB7799" w:rsidP="00BB7799">
      <w:pPr>
        <w:tabs>
          <w:tab w:val="left" w:pos="1285"/>
        </w:tabs>
      </w:pPr>
      <w:r w:rsidRPr="00CA14CA">
        <w:lastRenderedPageBreak/>
        <w:t xml:space="preserve">• One in every 125 Kenyans aged 15 – 65 years (227,744) were addicted to khat; </w:t>
      </w:r>
    </w:p>
    <w:p w14:paraId="09BC0A76" w14:textId="77777777" w:rsidR="00BB7799" w:rsidRDefault="00BB7799" w:rsidP="00BB7799">
      <w:pPr>
        <w:tabs>
          <w:tab w:val="left" w:pos="1285"/>
        </w:tabs>
      </w:pPr>
      <w:r w:rsidRPr="00CA14CA">
        <w:t>• One in every 111 Kenyans aged 15 – 65 years (234,855) were addicted to cannabis;</w:t>
      </w:r>
    </w:p>
    <w:p w14:paraId="0DEA0878" w14:textId="77777777" w:rsidR="00BB7799" w:rsidRPr="00CA14CA" w:rsidRDefault="00BB7799" w:rsidP="00BB7799">
      <w:pPr>
        <w:tabs>
          <w:tab w:val="left" w:pos="1285"/>
        </w:tabs>
      </w:pPr>
    </w:p>
    <w:p w14:paraId="66538E87" w14:textId="77777777" w:rsidR="00BB7799" w:rsidRPr="00CA14CA" w:rsidRDefault="00BB7799" w:rsidP="00BB7799">
      <w:pPr>
        <w:tabs>
          <w:tab w:val="left" w:pos="1285"/>
        </w:tabs>
        <w:spacing w:line="360" w:lineRule="auto"/>
        <w:jc w:val="both"/>
      </w:pPr>
      <w:r w:rsidRPr="00CA14CA">
        <w:t xml:space="preserve">Results showed that the prevalence of cannabis use almost </w:t>
      </w:r>
      <w:r w:rsidRPr="00B07B1F">
        <w:rPr>
          <w:b/>
          <w:bCs/>
        </w:rPr>
        <w:t>doubled over the last five years</w:t>
      </w:r>
      <w:r w:rsidRPr="00CA14CA">
        <w:t>. The growing demand for cannabis especially among the youth could be attributed to the low perception of harm due to myths, misinformation, and misconceptions;</w:t>
      </w:r>
    </w:p>
    <w:p w14:paraId="2E8FADF5" w14:textId="77777777" w:rsidR="00BB7799" w:rsidRPr="00CA14CA" w:rsidRDefault="00BB7799" w:rsidP="00BB7799">
      <w:pPr>
        <w:tabs>
          <w:tab w:val="left" w:pos="128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BB7799" w:rsidRPr="00CA14CA" w14:paraId="19D7D766" w14:textId="77777777">
        <w:tc>
          <w:tcPr>
            <w:tcW w:w="2689" w:type="dxa"/>
          </w:tcPr>
          <w:p w14:paraId="59114C78" w14:textId="77777777" w:rsidR="00BB7799" w:rsidRPr="00CA14CA" w:rsidRDefault="00BB7799">
            <w:pPr>
              <w:tabs>
                <w:tab w:val="left" w:pos="1285"/>
              </w:tabs>
              <w:rPr>
                <w:b/>
                <w:bCs/>
              </w:rPr>
            </w:pPr>
            <w:r w:rsidRPr="00CA14CA">
              <w:rPr>
                <w:b/>
                <w:bCs/>
              </w:rPr>
              <w:t>(d) the population;</w:t>
            </w:r>
          </w:p>
          <w:p w14:paraId="07AF87D7" w14:textId="77777777" w:rsidR="00BB7799" w:rsidRPr="00CA14CA" w:rsidRDefault="00BB7799">
            <w:pPr>
              <w:tabs>
                <w:tab w:val="left" w:pos="1285"/>
              </w:tabs>
            </w:pPr>
          </w:p>
        </w:tc>
        <w:tc>
          <w:tcPr>
            <w:tcW w:w="6661" w:type="dxa"/>
          </w:tcPr>
          <w:p w14:paraId="73FAFA53" w14:textId="39366C49" w:rsidR="00BB7799" w:rsidRDefault="00BB7799">
            <w:pPr>
              <w:tabs>
                <w:tab w:val="left" w:pos="1285"/>
              </w:tabs>
            </w:pPr>
            <w:r w:rsidRPr="00CA14CA">
              <w:t xml:space="preserve">Drug and substance abuse patients </w:t>
            </w:r>
          </w:p>
          <w:p w14:paraId="27A4EF6F" w14:textId="17B3CFA8" w:rsidR="00DB38F7" w:rsidRPr="00CA14CA" w:rsidRDefault="00DB38F7">
            <w:pPr>
              <w:tabs>
                <w:tab w:val="left" w:pos="1285"/>
              </w:tabs>
            </w:pPr>
            <w:r>
              <w:t>(specifically alcohol and opioid use)</w:t>
            </w:r>
          </w:p>
          <w:p w14:paraId="7E623D55" w14:textId="77777777" w:rsidR="00BB7799" w:rsidRPr="00CA14CA" w:rsidRDefault="00BB7799">
            <w:pPr>
              <w:tabs>
                <w:tab w:val="left" w:pos="1285"/>
              </w:tabs>
            </w:pPr>
          </w:p>
        </w:tc>
      </w:tr>
      <w:tr w:rsidR="00BB7799" w:rsidRPr="00CA14CA" w14:paraId="40E45D6C" w14:textId="77777777">
        <w:tc>
          <w:tcPr>
            <w:tcW w:w="2689" w:type="dxa"/>
          </w:tcPr>
          <w:p w14:paraId="086F1EBA" w14:textId="77777777" w:rsidR="00BB7799" w:rsidRPr="00CA14CA" w:rsidRDefault="00BB7799">
            <w:pPr>
              <w:tabs>
                <w:tab w:val="left" w:pos="1285"/>
              </w:tabs>
              <w:rPr>
                <w:b/>
                <w:bCs/>
              </w:rPr>
            </w:pPr>
            <w:r w:rsidRPr="00CA14CA">
              <w:rPr>
                <w:b/>
                <w:bCs/>
              </w:rPr>
              <w:t>(e) equity;</w:t>
            </w:r>
          </w:p>
          <w:p w14:paraId="29FA81AA" w14:textId="77777777" w:rsidR="00BB7799" w:rsidRPr="00CA14CA" w:rsidRDefault="00BB7799">
            <w:pPr>
              <w:tabs>
                <w:tab w:val="left" w:pos="1285"/>
              </w:tabs>
            </w:pPr>
          </w:p>
        </w:tc>
        <w:tc>
          <w:tcPr>
            <w:tcW w:w="6661" w:type="dxa"/>
          </w:tcPr>
          <w:p w14:paraId="26CF0028" w14:textId="4436F6D5" w:rsidR="00BB7799" w:rsidRDefault="00BB7799">
            <w:pPr>
              <w:tabs>
                <w:tab w:val="left" w:pos="1285"/>
              </w:tabs>
            </w:pPr>
            <w:r w:rsidRPr="00B96821">
              <w:rPr>
                <w:b/>
                <w:bCs/>
              </w:rPr>
              <w:t>Youth vulnerability</w:t>
            </w:r>
            <w:r>
              <w:rPr>
                <w:b/>
                <w:bCs/>
              </w:rPr>
              <w:t xml:space="preserve">- </w:t>
            </w:r>
            <w:r w:rsidRPr="00B96821">
              <w:t>Young people are affected by drugs</w:t>
            </w:r>
            <w:r w:rsidR="00DB38F7">
              <w:t xml:space="preserve"> and substance abuse</w:t>
            </w:r>
          </w:p>
          <w:p w14:paraId="6E45B4ED" w14:textId="77777777" w:rsidR="00BB7799" w:rsidRDefault="00BB7799">
            <w:pPr>
              <w:tabs>
                <w:tab w:val="left" w:pos="1285"/>
              </w:tabs>
              <w:rPr>
                <w:b/>
                <w:bCs/>
              </w:rPr>
            </w:pPr>
          </w:p>
          <w:p w14:paraId="033AE35C" w14:textId="77777777" w:rsidR="00BB7799" w:rsidRPr="00B96821" w:rsidRDefault="00BB7799">
            <w:pPr>
              <w:tabs>
                <w:tab w:val="left" w:pos="1285"/>
              </w:tabs>
            </w:pPr>
            <w:r w:rsidRPr="00776843">
              <w:t>Alcohol and substance use disorders are often seen as moral failure, not a health condition</w:t>
            </w:r>
            <w:r>
              <w:t>. They are often criminalized</w:t>
            </w:r>
          </w:p>
          <w:p w14:paraId="0530EC42" w14:textId="77777777" w:rsidR="00BB7799" w:rsidRPr="00CA14CA" w:rsidRDefault="00BB7799">
            <w:pPr>
              <w:tabs>
                <w:tab w:val="left" w:pos="1285"/>
              </w:tabs>
            </w:pPr>
          </w:p>
        </w:tc>
      </w:tr>
      <w:tr w:rsidR="00BB7799" w:rsidRPr="00CA14CA" w14:paraId="6D203CFD" w14:textId="77777777">
        <w:tc>
          <w:tcPr>
            <w:tcW w:w="2689" w:type="dxa"/>
          </w:tcPr>
          <w:p w14:paraId="13E0C09C" w14:textId="77777777" w:rsidR="00BB7799" w:rsidRPr="00CA14CA" w:rsidRDefault="00BB7799">
            <w:pPr>
              <w:tabs>
                <w:tab w:val="left" w:pos="1285"/>
              </w:tabs>
            </w:pPr>
            <w:r w:rsidRPr="00CA14CA">
              <w:rPr>
                <w:b/>
                <w:bCs/>
              </w:rPr>
              <w:t>(f) cost-effectiveness</w:t>
            </w:r>
          </w:p>
        </w:tc>
        <w:tc>
          <w:tcPr>
            <w:tcW w:w="6661" w:type="dxa"/>
          </w:tcPr>
          <w:p w14:paraId="179B0BA1" w14:textId="77777777" w:rsidR="00A86C89" w:rsidRPr="00A86C89" w:rsidRDefault="00A86C89" w:rsidP="00A86C89">
            <w:pPr>
              <w:tabs>
                <w:tab w:val="left" w:pos="1285"/>
              </w:tabs>
              <w:spacing w:line="360" w:lineRule="auto"/>
              <w:jc w:val="both"/>
            </w:pPr>
            <w:r w:rsidRPr="00A86C89">
              <w:t xml:space="preserve">Cost-effectiveness of </w:t>
            </w:r>
            <w:proofErr w:type="gramStart"/>
            <w:r w:rsidRPr="00A86C89">
              <w:t>extended release</w:t>
            </w:r>
            <w:proofErr w:type="gramEnd"/>
            <w:r w:rsidRPr="00A86C89">
              <w:t xml:space="preserve"> naltrexone was as follows: </w:t>
            </w:r>
          </w:p>
          <w:p w14:paraId="1BBE4315" w14:textId="37A37532" w:rsidR="00BB7799" w:rsidRPr="00A86C89" w:rsidRDefault="008F129C" w:rsidP="00A86C89">
            <w:pPr>
              <w:tabs>
                <w:tab w:val="left" w:pos="1285"/>
              </w:tabs>
              <w:spacing w:line="360" w:lineRule="auto"/>
              <w:jc w:val="both"/>
            </w:pPr>
            <w:r w:rsidRPr="00A86C89">
              <w:t>The 25-week cost per QALY and abstinent-year figures were $162</w:t>
            </w:r>
            <w:r w:rsidR="00A86C89" w:rsidRPr="00A86C89">
              <w:t>,</w:t>
            </w:r>
            <w:r w:rsidRPr="00A86C89">
              <w:t>150 and $46</w:t>
            </w:r>
            <w:r w:rsidR="00A86C89" w:rsidRPr="00A86C89">
              <w:t>,</w:t>
            </w:r>
            <w:r w:rsidRPr="00A86C89">
              <w:t xml:space="preserve">329, respectively. The 78-week figures were $76 400/QALY and $16 371/abstinent year. </w:t>
            </w:r>
          </w:p>
        </w:tc>
      </w:tr>
      <w:tr w:rsidR="00BB7799" w:rsidRPr="00CA14CA" w14:paraId="1C412936" w14:textId="77777777">
        <w:tc>
          <w:tcPr>
            <w:tcW w:w="2689" w:type="dxa"/>
          </w:tcPr>
          <w:p w14:paraId="08D0B73D" w14:textId="77777777" w:rsidR="00BB7799" w:rsidRPr="00CA14CA" w:rsidRDefault="00BB7799">
            <w:pPr>
              <w:tabs>
                <w:tab w:val="left" w:pos="1285"/>
              </w:tabs>
            </w:pPr>
            <w:r w:rsidRPr="00CA14CA">
              <w:rPr>
                <w:b/>
                <w:bCs/>
              </w:rPr>
              <w:t>(g) budgetary impact and affordability</w:t>
            </w:r>
          </w:p>
        </w:tc>
        <w:tc>
          <w:tcPr>
            <w:tcW w:w="6661" w:type="dxa"/>
          </w:tcPr>
          <w:p w14:paraId="2B30F7C7" w14:textId="0C902F4F" w:rsidR="00BB7799" w:rsidRDefault="00CC65D0">
            <w:pPr>
              <w:tabs>
                <w:tab w:val="left" w:pos="1285"/>
              </w:tabs>
              <w:spacing w:line="360" w:lineRule="auto"/>
            </w:pPr>
            <w:r>
              <w:t xml:space="preserve">Cost per </w:t>
            </w:r>
            <w:r w:rsidR="00DB38F7">
              <w:t xml:space="preserve">naltrexone </w:t>
            </w:r>
            <w:r>
              <w:t xml:space="preserve">implant </w:t>
            </w:r>
            <w:proofErr w:type="spellStart"/>
            <w:r w:rsidR="00A24AB6">
              <w:t>Kshs</w:t>
            </w:r>
            <w:proofErr w:type="spellEnd"/>
            <w:r w:rsidR="00A24AB6">
              <w:t xml:space="preserve"> </w:t>
            </w:r>
            <w:r>
              <w:t>93,420</w:t>
            </w:r>
          </w:p>
          <w:p w14:paraId="67A1EA03" w14:textId="77777777" w:rsidR="00BC5F22" w:rsidRDefault="00F743FB">
            <w:pPr>
              <w:tabs>
                <w:tab w:val="left" w:pos="1285"/>
              </w:tabs>
              <w:spacing w:line="360" w:lineRule="auto"/>
            </w:pPr>
            <w:r>
              <w:t xml:space="preserve">Approximately 3.1 million population affected </w:t>
            </w:r>
          </w:p>
          <w:p w14:paraId="3C477430" w14:textId="7C3DBDA9" w:rsidR="00F743FB" w:rsidRPr="00CA14CA" w:rsidRDefault="00F743FB">
            <w:pPr>
              <w:tabs>
                <w:tab w:val="left" w:pos="1285"/>
              </w:tabs>
              <w:spacing w:line="360" w:lineRule="auto"/>
            </w:pPr>
            <w:r w:rsidRPr="00BC5F22">
              <w:rPr>
                <w:i/>
                <w:iCs/>
              </w:rPr>
              <w:t xml:space="preserve">(but not all need </w:t>
            </w:r>
            <w:r w:rsidR="00BC5F22" w:rsidRPr="00BC5F22">
              <w:rPr>
                <w:i/>
                <w:iCs/>
              </w:rPr>
              <w:t>naltrexone)</w:t>
            </w:r>
          </w:p>
        </w:tc>
      </w:tr>
      <w:tr w:rsidR="00BB7799" w:rsidRPr="00CA14CA" w14:paraId="16EC89AC" w14:textId="77777777">
        <w:tc>
          <w:tcPr>
            <w:tcW w:w="2689" w:type="dxa"/>
          </w:tcPr>
          <w:p w14:paraId="0AD6B2F2" w14:textId="77777777" w:rsidR="00BB7799" w:rsidRPr="00CA14CA" w:rsidRDefault="00BB7799">
            <w:pPr>
              <w:tabs>
                <w:tab w:val="left" w:pos="1285"/>
              </w:tabs>
              <w:rPr>
                <w:b/>
                <w:bCs/>
              </w:rPr>
            </w:pPr>
            <w:r w:rsidRPr="00CA14CA">
              <w:rPr>
                <w:b/>
                <w:bCs/>
              </w:rPr>
              <w:t>(h) feasibility of implementation of the intervention</w:t>
            </w:r>
          </w:p>
          <w:p w14:paraId="699B9579" w14:textId="77777777" w:rsidR="00BB7799" w:rsidRPr="00CA14CA" w:rsidRDefault="00BB7799">
            <w:pPr>
              <w:tabs>
                <w:tab w:val="left" w:pos="1285"/>
              </w:tabs>
            </w:pPr>
          </w:p>
        </w:tc>
        <w:tc>
          <w:tcPr>
            <w:tcW w:w="6661" w:type="dxa"/>
          </w:tcPr>
          <w:p w14:paraId="289A8D44" w14:textId="77777777" w:rsidR="00BB7799" w:rsidRDefault="00A86C89" w:rsidP="003E2E41">
            <w:pPr>
              <w:tabs>
                <w:tab w:val="left" w:pos="1285"/>
              </w:tabs>
              <w:spacing w:line="360" w:lineRule="auto"/>
            </w:pPr>
            <w:r>
              <w:t>Naltrexone implant is present in the Kenya National Medicines Formulary, 2023</w:t>
            </w:r>
          </w:p>
          <w:p w14:paraId="54FC5A10" w14:textId="77777777" w:rsidR="00A86C89" w:rsidRDefault="00652920" w:rsidP="003E2E41">
            <w:pPr>
              <w:tabs>
                <w:tab w:val="left" w:pos="1285"/>
              </w:tabs>
              <w:spacing w:line="360" w:lineRule="auto"/>
            </w:pPr>
            <w:r>
              <w:t>Also listed in Kenya Essential Medicines List, 2023</w:t>
            </w:r>
          </w:p>
          <w:p w14:paraId="606DB30C" w14:textId="77777777" w:rsidR="00652920" w:rsidRDefault="00652920" w:rsidP="003E2E41">
            <w:pPr>
              <w:tabs>
                <w:tab w:val="left" w:pos="1285"/>
              </w:tabs>
              <w:spacing w:line="360" w:lineRule="auto"/>
            </w:pPr>
          </w:p>
          <w:p w14:paraId="2553B251" w14:textId="19450271" w:rsidR="00652920" w:rsidRPr="00CA14CA" w:rsidRDefault="003E5FA6" w:rsidP="003E2E41">
            <w:pPr>
              <w:tabs>
                <w:tab w:val="left" w:pos="1285"/>
              </w:tabs>
              <w:spacing w:line="360" w:lineRule="auto"/>
            </w:pPr>
            <w:r>
              <w:t>No need for special administration (infrastructure, equipment or HR)</w:t>
            </w:r>
          </w:p>
        </w:tc>
      </w:tr>
      <w:tr w:rsidR="00BB7799" w:rsidRPr="00CA14CA" w14:paraId="514EC40C" w14:textId="77777777">
        <w:tc>
          <w:tcPr>
            <w:tcW w:w="2689" w:type="dxa"/>
          </w:tcPr>
          <w:p w14:paraId="0B6A4076" w14:textId="77777777" w:rsidR="00BB7799" w:rsidRPr="00CA14CA" w:rsidRDefault="00BB7799">
            <w:pPr>
              <w:tabs>
                <w:tab w:val="left" w:pos="1285"/>
              </w:tabs>
              <w:rPr>
                <w:b/>
                <w:bCs/>
              </w:rPr>
            </w:pPr>
            <w:r w:rsidRPr="00CA14CA">
              <w:rPr>
                <w:b/>
                <w:bCs/>
              </w:rPr>
              <w:t>(i) catastrophic health expenditure</w:t>
            </w:r>
          </w:p>
          <w:p w14:paraId="0637B275" w14:textId="77777777" w:rsidR="00BB7799" w:rsidRPr="00CA14CA" w:rsidRDefault="00BB7799">
            <w:pPr>
              <w:tabs>
                <w:tab w:val="left" w:pos="1285"/>
              </w:tabs>
            </w:pPr>
          </w:p>
        </w:tc>
        <w:tc>
          <w:tcPr>
            <w:tcW w:w="6661" w:type="dxa"/>
          </w:tcPr>
          <w:p w14:paraId="7593B3A7" w14:textId="77777777" w:rsidR="00BB7799" w:rsidRDefault="003E2E41">
            <w:pPr>
              <w:tabs>
                <w:tab w:val="left" w:pos="1285"/>
              </w:tabs>
            </w:pPr>
            <w:r>
              <w:lastRenderedPageBreak/>
              <w:t>Cost per implant 93,420</w:t>
            </w:r>
          </w:p>
          <w:p w14:paraId="059C5A37" w14:textId="77777777" w:rsidR="00F743FB" w:rsidRDefault="00F743FB">
            <w:pPr>
              <w:tabs>
                <w:tab w:val="left" w:pos="1285"/>
              </w:tabs>
            </w:pPr>
          </w:p>
          <w:p w14:paraId="77C8115B" w14:textId="4133BCD3" w:rsidR="00F743FB" w:rsidRPr="00CA14CA" w:rsidRDefault="00F743FB">
            <w:pPr>
              <w:tabs>
                <w:tab w:val="left" w:pos="1285"/>
              </w:tabs>
            </w:pPr>
            <w:r>
              <w:lastRenderedPageBreak/>
              <w:t>1 implant every 3 months (on average)</w:t>
            </w:r>
          </w:p>
        </w:tc>
      </w:tr>
      <w:tr w:rsidR="00BB7799" w:rsidRPr="00CA14CA" w14:paraId="4B2F9BDD" w14:textId="77777777">
        <w:tc>
          <w:tcPr>
            <w:tcW w:w="2689" w:type="dxa"/>
          </w:tcPr>
          <w:p w14:paraId="55C3E117" w14:textId="77777777" w:rsidR="00BB7799" w:rsidRPr="00CA14CA" w:rsidRDefault="00BB7799">
            <w:pPr>
              <w:tabs>
                <w:tab w:val="left" w:pos="1285"/>
              </w:tabs>
              <w:rPr>
                <w:b/>
                <w:bCs/>
              </w:rPr>
            </w:pPr>
            <w:r w:rsidRPr="00CA14CA">
              <w:rPr>
                <w:b/>
                <w:bCs/>
              </w:rPr>
              <w:lastRenderedPageBreak/>
              <w:t>(j) access to healthcare</w:t>
            </w:r>
          </w:p>
          <w:p w14:paraId="569F1C4D" w14:textId="77777777" w:rsidR="00BB7799" w:rsidRPr="00CA14CA" w:rsidRDefault="00BB7799">
            <w:pPr>
              <w:tabs>
                <w:tab w:val="left" w:pos="1285"/>
              </w:tabs>
              <w:rPr>
                <w:b/>
                <w:bCs/>
              </w:rPr>
            </w:pPr>
          </w:p>
        </w:tc>
        <w:tc>
          <w:tcPr>
            <w:tcW w:w="6661" w:type="dxa"/>
          </w:tcPr>
          <w:p w14:paraId="5ADC2977" w14:textId="19870397" w:rsidR="00BB7799" w:rsidRPr="00CA14CA" w:rsidRDefault="009E6F44" w:rsidP="003E2E41">
            <w:pPr>
              <w:tabs>
                <w:tab w:val="left" w:pos="1285"/>
              </w:tabs>
              <w:spacing w:line="360" w:lineRule="auto"/>
              <w:jc w:val="both"/>
            </w:pPr>
            <w:proofErr w:type="gramStart"/>
            <w:r>
              <w:t>Its</w:t>
            </w:r>
            <w:proofErr w:type="gramEnd"/>
            <w:r>
              <w:t xml:space="preserve"> readily available in Kenya, particularly in urban centers.</w:t>
            </w:r>
          </w:p>
        </w:tc>
      </w:tr>
      <w:tr w:rsidR="00BB7799" w:rsidRPr="00CA14CA" w14:paraId="2D817445" w14:textId="77777777">
        <w:tc>
          <w:tcPr>
            <w:tcW w:w="2689" w:type="dxa"/>
          </w:tcPr>
          <w:p w14:paraId="7C7B3AC2" w14:textId="77777777" w:rsidR="00BB7799" w:rsidRPr="00CA14CA" w:rsidRDefault="00BB7799">
            <w:pPr>
              <w:tabs>
                <w:tab w:val="left" w:pos="1285"/>
              </w:tabs>
              <w:rPr>
                <w:b/>
                <w:bCs/>
              </w:rPr>
            </w:pPr>
            <w:r w:rsidRPr="00CA14CA">
              <w:rPr>
                <w:b/>
                <w:bCs/>
              </w:rPr>
              <w:t>(k) congruence with existing priorities, policies and guidelines in the health sector.</w:t>
            </w:r>
          </w:p>
        </w:tc>
        <w:tc>
          <w:tcPr>
            <w:tcW w:w="6661" w:type="dxa"/>
          </w:tcPr>
          <w:p w14:paraId="1E8A1DA3" w14:textId="77777777" w:rsidR="00BB7799" w:rsidRPr="00CA14CA" w:rsidRDefault="00BB7799">
            <w:pPr>
              <w:pStyle w:val="BodyText"/>
              <w:spacing w:before="24" w:line="276" w:lineRule="auto"/>
              <w:ind w:left="67"/>
              <w:jc w:val="both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CA14CA">
              <w:rPr>
                <w:rFonts w:asciiTheme="minorHAnsi" w:hAnsiTheme="minorHAnsi"/>
                <w:color w:val="231F20"/>
                <w:w w:val="105"/>
              </w:rPr>
              <w:t>T</w:t>
            </w:r>
            <w:r w:rsidRPr="00CA14CA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he National Policy for the Prevention, Management, and Control of Alcohol, Drugs, and Substance Abuse. </w:t>
            </w:r>
            <w:r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(NACADA)</w:t>
            </w:r>
          </w:p>
          <w:p w14:paraId="339FC51E" w14:textId="77777777" w:rsidR="00BB7799" w:rsidRPr="00CA14CA" w:rsidRDefault="00BB7799">
            <w:pPr>
              <w:pStyle w:val="BodyText"/>
              <w:spacing w:before="25" w:line="276" w:lineRule="auto"/>
              <w:ind w:left="67"/>
              <w:jc w:val="both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</w:p>
          <w:p w14:paraId="1359CDA4" w14:textId="77777777" w:rsidR="00BB7799" w:rsidRPr="00CA14CA" w:rsidRDefault="00BB7799">
            <w:pPr>
              <w:pStyle w:val="BodyText"/>
              <w:spacing w:before="25" w:line="276" w:lineRule="auto"/>
              <w:ind w:left="67"/>
              <w:jc w:val="both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CA14CA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Thematic area 2 </w:t>
            </w:r>
          </w:p>
          <w:p w14:paraId="7732D9D3" w14:textId="77777777" w:rsidR="00BB7799" w:rsidRPr="00CA14CA" w:rsidRDefault="00BB7799">
            <w:pPr>
              <w:pStyle w:val="BodyText"/>
              <w:spacing w:before="25" w:line="276" w:lineRule="auto"/>
              <w:ind w:left="67"/>
              <w:jc w:val="both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CA14CA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“Expanded treatment and rehabilitation programs and aftercare services”</w:t>
            </w:r>
          </w:p>
          <w:p w14:paraId="74DB7E44" w14:textId="77777777" w:rsidR="00BB7799" w:rsidRPr="00CA14CA" w:rsidRDefault="00BB7799">
            <w:pPr>
              <w:pStyle w:val="BodyText"/>
              <w:spacing w:before="25" w:line="276" w:lineRule="auto"/>
              <w:ind w:left="67"/>
              <w:jc w:val="both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</w:p>
          <w:p w14:paraId="2387F868" w14:textId="77777777" w:rsidR="00BB7799" w:rsidRPr="00CA14CA" w:rsidRDefault="00BB7799">
            <w:pPr>
              <w:pStyle w:val="BodyText"/>
              <w:spacing w:before="25" w:line="276" w:lineRule="auto"/>
              <w:ind w:left="67"/>
              <w:jc w:val="both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CA14CA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Objective: To promote provision of and access to quality and affordable </w:t>
            </w:r>
            <w:r w:rsidRPr="00A86C89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treatment,</w:t>
            </w:r>
            <w:r w:rsidRPr="00CA14CA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</w:t>
            </w:r>
            <w:r w:rsidRPr="00A86C89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>rehabilitation,</w:t>
            </w:r>
            <w:r w:rsidRPr="00CA14CA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 and aftercare services for persons with substance use disorders (SUDs):</w:t>
            </w:r>
          </w:p>
          <w:p w14:paraId="32517171" w14:textId="77777777" w:rsidR="00BB7799" w:rsidRPr="00CA14CA" w:rsidRDefault="00BB7799">
            <w:pPr>
              <w:pStyle w:val="BodyText"/>
              <w:spacing w:before="25" w:line="276" w:lineRule="auto"/>
              <w:ind w:left="67"/>
              <w:jc w:val="both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</w:p>
          <w:p w14:paraId="7979D6B6" w14:textId="77777777" w:rsidR="00BB7799" w:rsidRPr="00CA14CA" w:rsidRDefault="00BB7799" w:rsidP="00BB7799">
            <w:pPr>
              <w:pStyle w:val="BodyText"/>
              <w:numPr>
                <w:ilvl w:val="0"/>
                <w:numId w:val="5"/>
              </w:numPr>
              <w:spacing w:before="25" w:line="276" w:lineRule="auto"/>
              <w:jc w:val="both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CA14CA"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  <w:t xml:space="preserve">Promote and </w:t>
            </w:r>
            <w:r w:rsidRPr="005163BC">
              <w:rPr>
                <w:rFonts w:asciiTheme="minorHAnsi" w:eastAsiaTheme="minorHAnsi" w:hAnsiTheme="minorHAnsi" w:cstheme="minorBidi"/>
                <w:b/>
                <w:bCs/>
                <w:kern w:val="2"/>
                <w14:ligatures w14:val="standardContextual"/>
              </w:rPr>
              <w:t>facilitate provis</w:t>
            </w:r>
            <w:r w:rsidRPr="005163BC">
              <w:rPr>
                <w:rFonts w:asciiTheme="minorHAnsi" w:hAnsiTheme="minorHAnsi"/>
                <w:b/>
                <w:bCs/>
                <w:color w:val="231F20"/>
                <w:w w:val="105"/>
              </w:rPr>
              <w:t xml:space="preserve">ion and access to treatment, </w:t>
            </w:r>
            <w:r w:rsidRPr="00A86C89">
              <w:rPr>
                <w:rFonts w:asciiTheme="minorHAnsi" w:hAnsiTheme="minorHAnsi"/>
                <w:color w:val="231F20"/>
                <w:w w:val="105"/>
              </w:rPr>
              <w:t>rehabilitation, reintegration and aftercare services and programs at all levels of health-care services,</w:t>
            </w:r>
            <w:r w:rsidRPr="005163BC">
              <w:rPr>
                <w:rFonts w:asciiTheme="minorHAnsi" w:hAnsiTheme="minorHAnsi"/>
                <w:b/>
                <w:bCs/>
                <w:color w:val="231F2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 xml:space="preserve">including distinct services and facilities with targeted focus to persons with disabilities and other vulnerable population </w:t>
            </w:r>
            <w:proofErr w:type="gramStart"/>
            <w:r w:rsidRPr="00CA14CA">
              <w:rPr>
                <w:rFonts w:asciiTheme="minorHAnsi" w:hAnsiTheme="minorHAnsi"/>
                <w:color w:val="231F20"/>
                <w:w w:val="105"/>
              </w:rPr>
              <w:t>groups;</w:t>
            </w:r>
            <w:proofErr w:type="gramEnd"/>
          </w:p>
          <w:p w14:paraId="522EFC14" w14:textId="77777777" w:rsidR="00BB7799" w:rsidRPr="00CA14CA" w:rsidRDefault="00BB7799">
            <w:pPr>
              <w:pStyle w:val="BodyText"/>
              <w:spacing w:before="25" w:line="276" w:lineRule="auto"/>
              <w:ind w:left="847"/>
              <w:jc w:val="both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</w:p>
          <w:p w14:paraId="6F895DC2" w14:textId="77777777" w:rsidR="00BB7799" w:rsidRPr="00CA14CA" w:rsidRDefault="00BB7799" w:rsidP="00BB7799">
            <w:pPr>
              <w:pStyle w:val="BodyText"/>
              <w:numPr>
                <w:ilvl w:val="0"/>
                <w:numId w:val="5"/>
              </w:numPr>
              <w:spacing w:before="25" w:line="276" w:lineRule="auto"/>
              <w:jc w:val="both"/>
              <w:rPr>
                <w:rFonts w:asciiTheme="minorHAnsi" w:eastAsiaTheme="minorHAnsi" w:hAnsiTheme="minorHAnsi" w:cstheme="minorBidi"/>
                <w:kern w:val="2"/>
                <w14:ligatures w14:val="standardContextual"/>
              </w:rPr>
            </w:pPr>
            <w:r w:rsidRPr="00CA14CA">
              <w:rPr>
                <w:rFonts w:asciiTheme="minorHAnsi" w:hAnsiTheme="minorHAnsi"/>
                <w:color w:val="231F20"/>
                <w:w w:val="105"/>
              </w:rPr>
              <w:t xml:space="preserve">Promote the </w:t>
            </w:r>
            <w:r w:rsidRPr="005163BC">
              <w:rPr>
                <w:rFonts w:asciiTheme="minorHAnsi" w:hAnsiTheme="minorHAnsi"/>
                <w:b/>
                <w:bCs/>
                <w:color w:val="231F20"/>
                <w:w w:val="105"/>
              </w:rPr>
              <w:t xml:space="preserve">adoption and implementation of national standards for treatment, </w:t>
            </w:r>
            <w:r w:rsidRPr="00A86C89">
              <w:rPr>
                <w:rFonts w:asciiTheme="minorHAnsi" w:hAnsiTheme="minorHAnsi"/>
                <w:color w:val="231F20"/>
                <w:w w:val="105"/>
              </w:rPr>
              <w:t>rehabilitation and after-care services of persons wi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 xml:space="preserve">th substance use </w:t>
            </w:r>
            <w:proofErr w:type="gramStart"/>
            <w:r w:rsidRPr="00CA14CA">
              <w:rPr>
                <w:rFonts w:asciiTheme="minorHAnsi" w:hAnsiTheme="minorHAnsi"/>
                <w:color w:val="231F20"/>
                <w:w w:val="105"/>
              </w:rPr>
              <w:t>disorders;</w:t>
            </w:r>
            <w:proofErr w:type="gramEnd"/>
          </w:p>
          <w:p w14:paraId="03DEDB29" w14:textId="77777777" w:rsidR="00BB7799" w:rsidRPr="00CA14CA" w:rsidRDefault="00BB7799">
            <w:pPr>
              <w:pStyle w:val="BodyText"/>
              <w:spacing w:before="25"/>
              <w:ind w:left="67"/>
              <w:jc w:val="both"/>
              <w:rPr>
                <w:rFonts w:asciiTheme="minorHAnsi" w:hAnsiTheme="minorHAnsi"/>
                <w:color w:val="231F20"/>
                <w:w w:val="105"/>
              </w:rPr>
            </w:pPr>
          </w:p>
          <w:p w14:paraId="30E39942" w14:textId="62926381" w:rsidR="00BB7799" w:rsidRPr="00CA14CA" w:rsidRDefault="00BB7799" w:rsidP="00A86C89">
            <w:pPr>
              <w:pStyle w:val="BodyText"/>
              <w:spacing w:before="25"/>
              <w:ind w:left="67"/>
              <w:jc w:val="both"/>
              <w:rPr>
                <w:rFonts w:asciiTheme="minorHAnsi" w:hAnsiTheme="minorHAnsi"/>
                <w:b/>
                <w:bCs/>
                <w:color w:val="231F20"/>
                <w:spacing w:val="-4"/>
                <w:w w:val="105"/>
              </w:rPr>
            </w:pPr>
            <w:r w:rsidRPr="00CA14CA">
              <w:rPr>
                <w:rFonts w:asciiTheme="minorHAnsi" w:hAnsiTheme="minorHAnsi"/>
                <w:b/>
                <w:bCs/>
                <w:color w:val="231F20"/>
                <w:spacing w:val="-4"/>
                <w:w w:val="105"/>
              </w:rPr>
              <w:t>Other policies</w:t>
            </w:r>
          </w:p>
          <w:p w14:paraId="267B4495" w14:textId="77777777" w:rsidR="00BB7799" w:rsidRPr="00CA14CA" w:rsidRDefault="00BB7799">
            <w:pPr>
              <w:pStyle w:val="BodyText"/>
              <w:spacing w:before="25"/>
              <w:ind w:left="427"/>
              <w:jc w:val="both"/>
              <w:rPr>
                <w:rFonts w:asciiTheme="minorHAnsi" w:hAnsiTheme="minorHAnsi"/>
                <w:b/>
                <w:bCs/>
                <w:color w:val="231F20"/>
                <w:spacing w:val="-4"/>
                <w:w w:val="105"/>
              </w:rPr>
            </w:pPr>
          </w:p>
          <w:p w14:paraId="6202C62B" w14:textId="77777777" w:rsidR="00BB7799" w:rsidRPr="00CA14CA" w:rsidRDefault="00BB7799" w:rsidP="00BB7799">
            <w:pPr>
              <w:pStyle w:val="BodyText"/>
              <w:numPr>
                <w:ilvl w:val="0"/>
                <w:numId w:val="6"/>
              </w:numPr>
              <w:spacing w:before="25"/>
              <w:jc w:val="both"/>
              <w:rPr>
                <w:rFonts w:asciiTheme="minorHAnsi" w:hAnsiTheme="minorHAnsi"/>
                <w:b/>
                <w:bCs/>
                <w:color w:val="231F20"/>
                <w:spacing w:val="-4"/>
                <w:w w:val="105"/>
              </w:rPr>
            </w:pPr>
            <w:r w:rsidRPr="00CA14CA">
              <w:rPr>
                <w:rFonts w:asciiTheme="minorHAnsi" w:hAnsiTheme="minorHAnsi"/>
                <w:color w:val="231F20"/>
                <w:w w:val="105"/>
              </w:rPr>
              <w:t>Sustainable Development Goals (SDGs): Our policy directly supports SDG</w:t>
            </w:r>
            <w:r w:rsidRPr="00CA14CA">
              <w:rPr>
                <w:rFonts w:asciiTheme="minorHAnsi" w:hAnsiTheme="minorHAnsi"/>
                <w:color w:val="231F20"/>
                <w:spacing w:val="-1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Goal</w:t>
            </w:r>
            <w:r w:rsidRPr="00CA14CA">
              <w:rPr>
                <w:rFonts w:asciiTheme="minorHAnsi" w:hAnsiTheme="minorHAnsi"/>
                <w:color w:val="231F20"/>
                <w:spacing w:val="-1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3,</w:t>
            </w:r>
            <w:r w:rsidRPr="00CA14CA">
              <w:rPr>
                <w:rFonts w:asciiTheme="minorHAnsi" w:hAnsiTheme="minorHAnsi"/>
                <w:color w:val="231F20"/>
                <w:spacing w:val="-1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Target</w:t>
            </w:r>
            <w:r w:rsidRPr="00CA14CA">
              <w:rPr>
                <w:rFonts w:asciiTheme="minorHAnsi" w:hAnsiTheme="minorHAnsi"/>
                <w:color w:val="231F20"/>
                <w:spacing w:val="-1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3.5, which aims to “strengthen the prevention</w:t>
            </w:r>
            <w:r w:rsidRPr="00CA14CA">
              <w:rPr>
                <w:rFonts w:asciiTheme="minorHAnsi" w:hAnsiTheme="minorHAnsi"/>
                <w:color w:val="231F20"/>
                <w:spacing w:val="-8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and</w:t>
            </w:r>
            <w:r w:rsidRPr="00CA14CA">
              <w:rPr>
                <w:rFonts w:asciiTheme="minorHAnsi" w:hAnsiTheme="minorHAnsi"/>
                <w:color w:val="231F20"/>
                <w:spacing w:val="-8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treatment</w:t>
            </w:r>
            <w:r w:rsidRPr="00CA14CA">
              <w:rPr>
                <w:rFonts w:asciiTheme="minorHAnsi" w:hAnsiTheme="minorHAnsi"/>
                <w:color w:val="231F20"/>
                <w:spacing w:val="-8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of</w:t>
            </w:r>
            <w:r w:rsidRPr="00CA14CA">
              <w:rPr>
                <w:rFonts w:asciiTheme="minorHAnsi" w:hAnsiTheme="minorHAnsi"/>
                <w:color w:val="231F20"/>
                <w:spacing w:val="-8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substance</w:t>
            </w:r>
            <w:r w:rsidRPr="00CA14CA">
              <w:rPr>
                <w:rFonts w:asciiTheme="minorHAnsi" w:hAnsiTheme="minorHAnsi"/>
                <w:color w:val="231F20"/>
                <w:spacing w:val="-8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abuse,</w:t>
            </w:r>
            <w:r w:rsidRPr="00CA14CA">
              <w:rPr>
                <w:rFonts w:asciiTheme="minorHAnsi" w:hAnsiTheme="minorHAnsi"/>
                <w:color w:val="231F20"/>
                <w:spacing w:val="-8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including</w:t>
            </w:r>
            <w:r w:rsidRPr="00CA14CA">
              <w:rPr>
                <w:rFonts w:asciiTheme="minorHAnsi" w:hAnsiTheme="minorHAnsi"/>
                <w:color w:val="231F20"/>
                <w:spacing w:val="-8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 xml:space="preserve">narcotic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drug</w:t>
            </w:r>
            <w:r w:rsidRPr="00CA14CA">
              <w:rPr>
                <w:rFonts w:asciiTheme="minorHAnsi" w:hAnsiTheme="minorHAnsi"/>
                <w:color w:val="231F20"/>
                <w:spacing w:val="-12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abuse</w:t>
            </w:r>
            <w:r w:rsidRPr="00CA14CA">
              <w:rPr>
                <w:rFonts w:asciiTheme="minorHAnsi" w:hAnsiTheme="minorHAnsi"/>
                <w:color w:val="231F20"/>
                <w:spacing w:val="-12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and</w:t>
            </w:r>
            <w:r w:rsidRPr="00CA14CA">
              <w:rPr>
                <w:rFonts w:asciiTheme="minorHAnsi" w:hAnsiTheme="minorHAnsi"/>
                <w:color w:val="231F20"/>
                <w:spacing w:val="-12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harmful</w:t>
            </w:r>
            <w:r w:rsidRPr="00CA14CA">
              <w:rPr>
                <w:rFonts w:asciiTheme="minorHAnsi" w:hAnsiTheme="minorHAnsi"/>
                <w:color w:val="231F20"/>
                <w:spacing w:val="-12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use</w:t>
            </w:r>
            <w:r w:rsidRPr="00CA14CA">
              <w:rPr>
                <w:rFonts w:asciiTheme="minorHAnsi" w:hAnsiTheme="minorHAnsi"/>
                <w:color w:val="231F20"/>
                <w:spacing w:val="-12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of</w:t>
            </w:r>
            <w:r w:rsidRPr="00CA14CA">
              <w:rPr>
                <w:rFonts w:asciiTheme="minorHAnsi" w:hAnsiTheme="minorHAnsi"/>
                <w:color w:val="231F20"/>
                <w:spacing w:val="-12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alcohol,</w:t>
            </w:r>
            <w:r w:rsidRPr="00CA14CA">
              <w:rPr>
                <w:rFonts w:asciiTheme="minorHAnsi" w:hAnsiTheme="minorHAnsi"/>
                <w:color w:val="231F20"/>
                <w:spacing w:val="-12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and</w:t>
            </w:r>
            <w:r w:rsidRPr="00CA14CA">
              <w:rPr>
                <w:rFonts w:asciiTheme="minorHAnsi" w:hAnsiTheme="minorHAnsi"/>
                <w:color w:val="231F20"/>
                <w:spacing w:val="-12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on</w:t>
            </w:r>
            <w:r w:rsidRPr="00CA14CA">
              <w:rPr>
                <w:rFonts w:asciiTheme="minorHAnsi" w:hAnsiTheme="minorHAnsi"/>
                <w:color w:val="231F20"/>
                <w:spacing w:val="-12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ensuring</w:t>
            </w:r>
            <w:r w:rsidRPr="00CA14CA">
              <w:rPr>
                <w:rFonts w:asciiTheme="minorHAnsi" w:hAnsiTheme="minorHAnsi"/>
                <w:color w:val="231F20"/>
                <w:spacing w:val="-12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healthy</w:t>
            </w:r>
            <w:r w:rsidRPr="00CA14CA">
              <w:rPr>
                <w:rFonts w:asciiTheme="minorHAnsi" w:hAnsiTheme="minorHAnsi"/>
                <w:color w:val="231F20"/>
                <w:spacing w:val="-12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lives and</w:t>
            </w:r>
            <w:r w:rsidRPr="00CA14CA">
              <w:rPr>
                <w:rFonts w:asciiTheme="minorHAnsi" w:hAnsiTheme="minorHAnsi"/>
                <w:color w:val="231F20"/>
                <w:spacing w:val="-1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promotion</w:t>
            </w:r>
            <w:r w:rsidRPr="00CA14CA">
              <w:rPr>
                <w:rFonts w:asciiTheme="minorHAnsi" w:hAnsiTheme="minorHAnsi"/>
                <w:color w:val="231F20"/>
                <w:spacing w:val="-14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of</w:t>
            </w:r>
            <w:r w:rsidRPr="00CA14CA">
              <w:rPr>
                <w:rFonts w:asciiTheme="minorHAnsi" w:hAnsiTheme="minorHAnsi"/>
                <w:color w:val="231F20"/>
                <w:spacing w:val="-1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well-being</w:t>
            </w:r>
            <w:r w:rsidRPr="00CA14CA">
              <w:rPr>
                <w:rFonts w:asciiTheme="minorHAnsi" w:hAnsiTheme="minorHAnsi"/>
                <w:color w:val="231F20"/>
                <w:spacing w:val="-14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for</w:t>
            </w:r>
            <w:r w:rsidRPr="00CA14CA">
              <w:rPr>
                <w:rFonts w:asciiTheme="minorHAnsi" w:hAnsiTheme="minorHAnsi"/>
                <w:color w:val="231F20"/>
                <w:spacing w:val="-1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all</w:t>
            </w:r>
            <w:r w:rsidRPr="00CA14CA">
              <w:rPr>
                <w:rFonts w:asciiTheme="minorHAnsi" w:hAnsiTheme="minorHAnsi"/>
                <w:color w:val="231F20"/>
                <w:spacing w:val="-14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at</w:t>
            </w:r>
            <w:r w:rsidRPr="00CA14CA">
              <w:rPr>
                <w:rFonts w:asciiTheme="minorHAnsi" w:hAnsiTheme="minorHAnsi"/>
                <w:color w:val="231F20"/>
                <w:spacing w:val="-1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all</w:t>
            </w:r>
            <w:r w:rsidRPr="00CA14CA">
              <w:rPr>
                <w:rFonts w:asciiTheme="minorHAnsi" w:hAnsiTheme="minorHAnsi"/>
                <w:color w:val="231F20"/>
                <w:spacing w:val="-14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ages.”</w:t>
            </w:r>
            <w:r w:rsidRPr="00CA14CA">
              <w:rPr>
                <w:rFonts w:asciiTheme="minorHAnsi" w:hAnsiTheme="minorHAnsi"/>
                <w:color w:val="231F20"/>
                <w:spacing w:val="-1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This</w:t>
            </w:r>
            <w:r w:rsidRPr="00CA14CA">
              <w:rPr>
                <w:rFonts w:asciiTheme="minorHAnsi" w:hAnsiTheme="minorHAnsi"/>
                <w:color w:val="231F20"/>
                <w:spacing w:val="-14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>demonstrates</w:t>
            </w:r>
            <w:r w:rsidRPr="00CA14CA">
              <w:rPr>
                <w:rFonts w:asciiTheme="minorHAnsi" w:hAnsiTheme="minorHAnsi"/>
                <w:color w:val="231F20"/>
                <w:spacing w:val="-1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</w:rPr>
              <w:t xml:space="preserve">our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dedication</w:t>
            </w:r>
            <w:r w:rsidRPr="00CA14CA">
              <w:rPr>
                <w:rFonts w:asciiTheme="minorHAnsi" w:hAnsiTheme="minorHAnsi"/>
                <w:color w:val="231F20"/>
                <w:spacing w:val="-15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to</w:t>
            </w:r>
            <w:r w:rsidRPr="00CA14CA">
              <w:rPr>
                <w:rFonts w:asciiTheme="minorHAnsi" w:hAnsiTheme="minorHAnsi"/>
                <w:color w:val="231F20"/>
                <w:spacing w:val="-15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achieving</w:t>
            </w:r>
            <w:r w:rsidRPr="00CA14CA">
              <w:rPr>
                <w:rFonts w:asciiTheme="minorHAnsi" w:hAnsiTheme="minorHAnsi"/>
                <w:color w:val="231F20"/>
                <w:spacing w:val="-15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broader</w:t>
            </w:r>
            <w:r w:rsidRPr="00CA14CA">
              <w:rPr>
                <w:rFonts w:asciiTheme="minorHAnsi" w:hAnsiTheme="minorHAnsi"/>
                <w:color w:val="231F20"/>
                <w:spacing w:val="-15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health</w:t>
            </w:r>
            <w:r w:rsidRPr="00CA14CA">
              <w:rPr>
                <w:rFonts w:asciiTheme="minorHAnsi" w:hAnsiTheme="minorHAnsi"/>
                <w:color w:val="231F20"/>
                <w:spacing w:val="-15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and</w:t>
            </w:r>
            <w:r w:rsidRPr="00CA14CA">
              <w:rPr>
                <w:rFonts w:asciiTheme="minorHAnsi" w:hAnsiTheme="minorHAnsi"/>
                <w:color w:val="231F20"/>
                <w:spacing w:val="-15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well-being</w:t>
            </w:r>
            <w:r w:rsidRPr="00CA14CA">
              <w:rPr>
                <w:rFonts w:asciiTheme="minorHAnsi" w:hAnsiTheme="minorHAnsi"/>
                <w:color w:val="231F20"/>
                <w:spacing w:val="-15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outcomes.</w:t>
            </w:r>
          </w:p>
          <w:p w14:paraId="1F7948BF" w14:textId="77777777" w:rsidR="00BB7799" w:rsidRPr="00CA14CA" w:rsidRDefault="00BB7799">
            <w:pPr>
              <w:pStyle w:val="BodyText"/>
              <w:spacing w:before="25"/>
              <w:jc w:val="both"/>
              <w:rPr>
                <w:rFonts w:asciiTheme="minorHAnsi" w:hAnsiTheme="minorHAnsi"/>
                <w:b/>
                <w:bCs/>
                <w:color w:val="231F20"/>
                <w:spacing w:val="-4"/>
                <w:w w:val="105"/>
              </w:rPr>
            </w:pPr>
          </w:p>
          <w:p w14:paraId="0AE89B29" w14:textId="77777777" w:rsidR="00BB7799" w:rsidRPr="00CA14CA" w:rsidRDefault="00BB7799" w:rsidP="00BB7799">
            <w:pPr>
              <w:pStyle w:val="BodyText"/>
              <w:numPr>
                <w:ilvl w:val="0"/>
                <w:numId w:val="6"/>
              </w:numPr>
              <w:spacing w:before="25"/>
              <w:jc w:val="both"/>
              <w:rPr>
                <w:rFonts w:asciiTheme="minorHAnsi" w:hAnsiTheme="minorHAnsi"/>
                <w:b/>
                <w:bCs/>
                <w:color w:val="231F20"/>
                <w:spacing w:val="-4"/>
                <w:w w:val="105"/>
              </w:rPr>
            </w:pPr>
            <w:r w:rsidRPr="00CA14CA">
              <w:rPr>
                <w:rFonts w:asciiTheme="minorHAnsi" w:hAnsiTheme="minorHAnsi"/>
                <w:color w:val="231F20"/>
                <w:w w:val="105"/>
              </w:rPr>
              <w:t>East African Community (EAC) Regional Policy: This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regional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framework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provides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a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comprehensive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blueprint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lastRenderedPageBreak/>
              <w:t xml:space="preserve">for prevention, control, </w:t>
            </w:r>
            <w:r w:rsidRPr="00A86C89">
              <w:rPr>
                <w:rFonts w:asciiTheme="minorHAnsi" w:hAnsiTheme="minorHAnsi"/>
                <w:b/>
                <w:bCs/>
                <w:color w:val="231F20"/>
                <w:w w:val="105"/>
              </w:rPr>
              <w:t>management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 xml:space="preserve">, and </w:t>
            </w:r>
            <w:r w:rsidRPr="00A86C89">
              <w:rPr>
                <w:rFonts w:asciiTheme="minorHAnsi" w:hAnsiTheme="minorHAnsi"/>
                <w:color w:val="231F20"/>
                <w:w w:val="105"/>
              </w:rPr>
              <w:t xml:space="preserve">rehabilitation strategies 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>related</w:t>
            </w:r>
            <w:r w:rsidRPr="00CA14CA">
              <w:rPr>
                <w:rFonts w:asciiTheme="minorHAnsi" w:hAnsiTheme="minorHAnsi"/>
                <w:color w:val="231F20"/>
                <w:spacing w:val="-1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>to</w:t>
            </w:r>
            <w:r w:rsidRPr="00CA14CA">
              <w:rPr>
                <w:rFonts w:asciiTheme="minorHAnsi" w:hAnsiTheme="minorHAnsi"/>
                <w:color w:val="231F20"/>
                <w:spacing w:val="-1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>alcohol</w:t>
            </w:r>
            <w:r w:rsidRPr="00CA14CA">
              <w:rPr>
                <w:rFonts w:asciiTheme="minorHAnsi" w:hAnsiTheme="minorHAnsi"/>
                <w:color w:val="231F20"/>
                <w:spacing w:val="-1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>and</w:t>
            </w:r>
            <w:r w:rsidRPr="00CA14CA">
              <w:rPr>
                <w:rFonts w:asciiTheme="minorHAnsi" w:hAnsiTheme="minorHAnsi"/>
                <w:color w:val="231F20"/>
                <w:spacing w:val="-1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>drug</w:t>
            </w:r>
            <w:r w:rsidRPr="00CA14CA">
              <w:rPr>
                <w:rFonts w:asciiTheme="minorHAnsi" w:hAnsiTheme="minorHAnsi"/>
                <w:color w:val="231F20"/>
                <w:spacing w:val="-1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>use,</w:t>
            </w:r>
            <w:r w:rsidRPr="00CA14CA">
              <w:rPr>
                <w:rFonts w:asciiTheme="minorHAnsi" w:hAnsiTheme="minorHAnsi"/>
                <w:color w:val="231F20"/>
                <w:spacing w:val="-1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>ensuring</w:t>
            </w:r>
            <w:r w:rsidRPr="00CA14CA">
              <w:rPr>
                <w:rFonts w:asciiTheme="minorHAnsi" w:hAnsiTheme="minorHAnsi"/>
                <w:color w:val="231F20"/>
                <w:spacing w:val="-1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>a</w:t>
            </w:r>
            <w:r w:rsidRPr="00CA14CA">
              <w:rPr>
                <w:rFonts w:asciiTheme="minorHAnsi" w:hAnsiTheme="minorHAnsi"/>
                <w:color w:val="231F20"/>
                <w:spacing w:val="-1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>harmonized</w:t>
            </w:r>
            <w:r w:rsidRPr="00CA14CA">
              <w:rPr>
                <w:rFonts w:asciiTheme="minorHAnsi" w:hAnsiTheme="minorHAnsi"/>
                <w:color w:val="231F20"/>
                <w:spacing w:val="-10"/>
                <w:w w:val="105"/>
              </w:rPr>
              <w:t xml:space="preserve"> </w:t>
            </w:r>
            <w:r w:rsidRPr="00CA14CA">
              <w:rPr>
                <w:rFonts w:asciiTheme="minorHAnsi" w:hAnsiTheme="minorHAnsi"/>
                <w:color w:val="231F20"/>
                <w:spacing w:val="-2"/>
                <w:w w:val="105"/>
              </w:rPr>
              <w:t xml:space="preserve">approach </w:t>
            </w:r>
            <w:r w:rsidRPr="00CA14CA">
              <w:rPr>
                <w:rFonts w:asciiTheme="minorHAnsi" w:hAnsiTheme="minorHAnsi"/>
                <w:color w:val="231F20"/>
                <w:w w:val="105"/>
              </w:rPr>
              <w:t>within East Africa.</w:t>
            </w:r>
          </w:p>
          <w:p w14:paraId="18952A38" w14:textId="77777777" w:rsidR="00BB7799" w:rsidRPr="00CA14CA" w:rsidRDefault="00BB7799">
            <w:pPr>
              <w:tabs>
                <w:tab w:val="left" w:pos="1285"/>
              </w:tabs>
              <w:jc w:val="both"/>
            </w:pPr>
          </w:p>
        </w:tc>
      </w:tr>
      <w:tr w:rsidR="00BB7799" w:rsidRPr="00CA14CA" w14:paraId="3430A447" w14:textId="77777777">
        <w:tc>
          <w:tcPr>
            <w:tcW w:w="2689" w:type="dxa"/>
          </w:tcPr>
          <w:p w14:paraId="5A56514F" w14:textId="77777777" w:rsidR="00BB7799" w:rsidRPr="00CA14CA" w:rsidRDefault="00BB7799">
            <w:pPr>
              <w:tabs>
                <w:tab w:val="left" w:pos="1285"/>
              </w:tabs>
              <w:rPr>
                <w:b/>
                <w:bCs/>
              </w:rPr>
            </w:pPr>
          </w:p>
        </w:tc>
        <w:tc>
          <w:tcPr>
            <w:tcW w:w="6661" w:type="dxa"/>
          </w:tcPr>
          <w:p w14:paraId="3C7A2029" w14:textId="77777777" w:rsidR="00BB7799" w:rsidRPr="00CA14CA" w:rsidRDefault="00BB7799">
            <w:pPr>
              <w:tabs>
                <w:tab w:val="left" w:pos="1285"/>
              </w:tabs>
            </w:pPr>
          </w:p>
        </w:tc>
      </w:tr>
    </w:tbl>
    <w:p w14:paraId="491B1A66" w14:textId="77777777" w:rsidR="00BB7799" w:rsidRPr="00CA14CA" w:rsidRDefault="00BB7799" w:rsidP="00BB7799">
      <w:pPr>
        <w:tabs>
          <w:tab w:val="left" w:pos="1285"/>
        </w:tabs>
      </w:pPr>
    </w:p>
    <w:p w14:paraId="2FD09665" w14:textId="77777777" w:rsidR="00BB7799" w:rsidRPr="00CA14CA" w:rsidRDefault="00BB7799" w:rsidP="00BB7799">
      <w:pPr>
        <w:tabs>
          <w:tab w:val="left" w:pos="1285"/>
        </w:tabs>
        <w:rPr>
          <w:b/>
          <w:bCs/>
        </w:rPr>
      </w:pPr>
    </w:p>
    <w:p w14:paraId="70266446" w14:textId="77777777" w:rsidR="00BB7799" w:rsidRPr="00CA14CA" w:rsidRDefault="00BB7799" w:rsidP="00BB7799">
      <w:pPr>
        <w:tabs>
          <w:tab w:val="left" w:pos="1285"/>
        </w:tabs>
        <w:rPr>
          <w:b/>
          <w:bCs/>
        </w:rPr>
      </w:pPr>
    </w:p>
    <w:p w14:paraId="68DDF526" w14:textId="77777777" w:rsidR="00412F85" w:rsidRDefault="00412F85"/>
    <w:sectPr w:rsidR="00412F85" w:rsidSect="00A93B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4DD"/>
    <w:multiLevelType w:val="hybridMultilevel"/>
    <w:tmpl w:val="7DCEC10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72F0D61A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F5D67"/>
    <w:multiLevelType w:val="multilevel"/>
    <w:tmpl w:val="26FA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E0C"/>
    <w:multiLevelType w:val="hybridMultilevel"/>
    <w:tmpl w:val="120480F6"/>
    <w:lvl w:ilvl="0" w:tplc="E2B84186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E0573"/>
    <w:multiLevelType w:val="hybridMultilevel"/>
    <w:tmpl w:val="0CC89A94"/>
    <w:lvl w:ilvl="0" w:tplc="04090019">
      <w:start w:val="9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1A78C1"/>
    <w:multiLevelType w:val="hybridMultilevel"/>
    <w:tmpl w:val="B6EAB484"/>
    <w:lvl w:ilvl="0" w:tplc="D862E884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64A7B"/>
    <w:multiLevelType w:val="hybridMultilevel"/>
    <w:tmpl w:val="5FCEB97A"/>
    <w:lvl w:ilvl="0" w:tplc="8E7A726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B37EE"/>
    <w:multiLevelType w:val="multilevel"/>
    <w:tmpl w:val="BBCC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D4204"/>
    <w:multiLevelType w:val="hybridMultilevel"/>
    <w:tmpl w:val="A59A9AE0"/>
    <w:lvl w:ilvl="0" w:tplc="E7F2E25A">
      <w:start w:val="1"/>
      <w:numFmt w:val="lowerLetter"/>
      <w:lvlText w:val="%1)"/>
      <w:lvlJc w:val="left"/>
      <w:pPr>
        <w:ind w:left="847" w:hanging="300"/>
      </w:pPr>
      <w:rPr>
        <w:rFonts w:asciiTheme="minorHAnsi" w:eastAsiaTheme="minorHAnsi" w:hAnsiTheme="minorHAnsi" w:cstheme="minorBidi"/>
        <w:b w:val="0"/>
        <w:bCs w:val="0"/>
        <w:i w:val="0"/>
        <w:iCs w:val="0"/>
        <w:color w:val="231F20"/>
        <w:spacing w:val="-4"/>
        <w:w w:val="101"/>
        <w:sz w:val="24"/>
        <w:szCs w:val="24"/>
        <w:lang w:val="en-US" w:eastAsia="en-US" w:bidi="ar-SA"/>
      </w:rPr>
    </w:lvl>
    <w:lvl w:ilvl="1" w:tplc="676E64D0">
      <w:numFmt w:val="bullet"/>
      <w:lvlText w:val="•"/>
      <w:lvlJc w:val="left"/>
      <w:pPr>
        <w:ind w:left="1719" w:hanging="300"/>
      </w:pPr>
      <w:rPr>
        <w:rFonts w:hint="default"/>
        <w:lang w:val="en-US" w:eastAsia="en-US" w:bidi="ar-SA"/>
      </w:rPr>
    </w:lvl>
    <w:lvl w:ilvl="2" w:tplc="20442750">
      <w:numFmt w:val="bullet"/>
      <w:lvlText w:val="•"/>
      <w:lvlJc w:val="left"/>
      <w:pPr>
        <w:ind w:left="2599" w:hanging="300"/>
      </w:pPr>
      <w:rPr>
        <w:rFonts w:hint="default"/>
        <w:lang w:val="en-US" w:eastAsia="en-US" w:bidi="ar-SA"/>
      </w:rPr>
    </w:lvl>
    <w:lvl w:ilvl="3" w:tplc="AEBE531C">
      <w:numFmt w:val="bullet"/>
      <w:lvlText w:val="•"/>
      <w:lvlJc w:val="left"/>
      <w:pPr>
        <w:ind w:left="3479" w:hanging="300"/>
      </w:pPr>
      <w:rPr>
        <w:rFonts w:hint="default"/>
        <w:lang w:val="en-US" w:eastAsia="en-US" w:bidi="ar-SA"/>
      </w:rPr>
    </w:lvl>
    <w:lvl w:ilvl="4" w:tplc="A9F8FAE8">
      <w:numFmt w:val="bullet"/>
      <w:lvlText w:val="•"/>
      <w:lvlJc w:val="left"/>
      <w:pPr>
        <w:ind w:left="4359" w:hanging="300"/>
      </w:pPr>
      <w:rPr>
        <w:rFonts w:hint="default"/>
        <w:lang w:val="en-US" w:eastAsia="en-US" w:bidi="ar-SA"/>
      </w:rPr>
    </w:lvl>
    <w:lvl w:ilvl="5" w:tplc="43905830">
      <w:numFmt w:val="bullet"/>
      <w:lvlText w:val="•"/>
      <w:lvlJc w:val="left"/>
      <w:pPr>
        <w:ind w:left="5239" w:hanging="300"/>
      </w:pPr>
      <w:rPr>
        <w:rFonts w:hint="default"/>
        <w:lang w:val="en-US" w:eastAsia="en-US" w:bidi="ar-SA"/>
      </w:rPr>
    </w:lvl>
    <w:lvl w:ilvl="6" w:tplc="A83CB0D6">
      <w:numFmt w:val="bullet"/>
      <w:lvlText w:val="•"/>
      <w:lvlJc w:val="left"/>
      <w:pPr>
        <w:ind w:left="6119" w:hanging="300"/>
      </w:pPr>
      <w:rPr>
        <w:rFonts w:hint="default"/>
        <w:lang w:val="en-US" w:eastAsia="en-US" w:bidi="ar-SA"/>
      </w:rPr>
    </w:lvl>
    <w:lvl w:ilvl="7" w:tplc="6F2434D6">
      <w:numFmt w:val="bullet"/>
      <w:lvlText w:val="•"/>
      <w:lvlJc w:val="left"/>
      <w:pPr>
        <w:ind w:left="6999" w:hanging="300"/>
      </w:pPr>
      <w:rPr>
        <w:rFonts w:hint="default"/>
        <w:lang w:val="en-US" w:eastAsia="en-US" w:bidi="ar-SA"/>
      </w:rPr>
    </w:lvl>
    <w:lvl w:ilvl="8" w:tplc="4320B3D2">
      <w:numFmt w:val="bullet"/>
      <w:lvlText w:val="•"/>
      <w:lvlJc w:val="left"/>
      <w:pPr>
        <w:ind w:left="7879" w:hanging="300"/>
      </w:pPr>
      <w:rPr>
        <w:rFonts w:hint="default"/>
        <w:lang w:val="en-US" w:eastAsia="en-US" w:bidi="ar-SA"/>
      </w:rPr>
    </w:lvl>
  </w:abstractNum>
  <w:abstractNum w:abstractNumId="8" w15:restartNumberingAfterBreak="0">
    <w:nsid w:val="52636FC1"/>
    <w:multiLevelType w:val="hybridMultilevel"/>
    <w:tmpl w:val="FD1CB5F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AE1772"/>
    <w:multiLevelType w:val="hybridMultilevel"/>
    <w:tmpl w:val="BE3E09E6"/>
    <w:lvl w:ilvl="0" w:tplc="426821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3633A54"/>
    <w:multiLevelType w:val="hybridMultilevel"/>
    <w:tmpl w:val="0BA8A87C"/>
    <w:lvl w:ilvl="0" w:tplc="E6D89E3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E693779"/>
    <w:multiLevelType w:val="hybridMultilevel"/>
    <w:tmpl w:val="BB30C52A"/>
    <w:lvl w:ilvl="0" w:tplc="CB4E1A6A">
      <w:start w:val="2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271C1C"/>
    <w:multiLevelType w:val="hybridMultilevel"/>
    <w:tmpl w:val="FC6E9508"/>
    <w:lvl w:ilvl="0" w:tplc="04090019">
      <w:start w:val="9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3030E0A"/>
    <w:multiLevelType w:val="hybridMultilevel"/>
    <w:tmpl w:val="90EAD206"/>
    <w:lvl w:ilvl="0" w:tplc="AF1EA6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DA0FF1"/>
    <w:multiLevelType w:val="hybridMultilevel"/>
    <w:tmpl w:val="A2E26438"/>
    <w:lvl w:ilvl="0" w:tplc="EF2AA64E">
      <w:start w:val="10"/>
      <w:numFmt w:val="bullet"/>
      <w:lvlText w:val="-"/>
      <w:lvlJc w:val="left"/>
      <w:pPr>
        <w:ind w:left="427" w:hanging="360"/>
      </w:pPr>
      <w:rPr>
        <w:rFonts w:ascii="Arial MT" w:eastAsia="Arial MT" w:hAnsi="Arial MT" w:cs="Arial MT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num w:numId="1" w16cid:durableId="1314139017">
    <w:abstractNumId w:val="4"/>
  </w:num>
  <w:num w:numId="2" w16cid:durableId="1609771902">
    <w:abstractNumId w:val="0"/>
  </w:num>
  <w:num w:numId="3" w16cid:durableId="360320820">
    <w:abstractNumId w:val="10"/>
  </w:num>
  <w:num w:numId="4" w16cid:durableId="1657564621">
    <w:abstractNumId w:val="9"/>
  </w:num>
  <w:num w:numId="5" w16cid:durableId="1824926519">
    <w:abstractNumId w:val="7"/>
  </w:num>
  <w:num w:numId="6" w16cid:durableId="1095050425">
    <w:abstractNumId w:val="14"/>
  </w:num>
  <w:num w:numId="7" w16cid:durableId="1169980970">
    <w:abstractNumId w:val="1"/>
  </w:num>
  <w:num w:numId="8" w16cid:durableId="316614830">
    <w:abstractNumId w:val="8"/>
  </w:num>
  <w:num w:numId="9" w16cid:durableId="1026129806">
    <w:abstractNumId w:val="5"/>
  </w:num>
  <w:num w:numId="10" w16cid:durableId="1652251325">
    <w:abstractNumId w:val="13"/>
  </w:num>
  <w:num w:numId="11" w16cid:durableId="1085148076">
    <w:abstractNumId w:val="12"/>
  </w:num>
  <w:num w:numId="12" w16cid:durableId="1461261592">
    <w:abstractNumId w:val="2"/>
  </w:num>
  <w:num w:numId="13" w16cid:durableId="913516281">
    <w:abstractNumId w:val="11"/>
  </w:num>
  <w:num w:numId="14" w16cid:durableId="758449265">
    <w:abstractNumId w:val="3"/>
  </w:num>
  <w:num w:numId="15" w16cid:durableId="624121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99"/>
    <w:rsid w:val="000643F1"/>
    <w:rsid w:val="000E09AD"/>
    <w:rsid w:val="000E2A36"/>
    <w:rsid w:val="000F4ECF"/>
    <w:rsid w:val="00181A0D"/>
    <w:rsid w:val="002C369D"/>
    <w:rsid w:val="003515DB"/>
    <w:rsid w:val="003E2E41"/>
    <w:rsid w:val="003E5FA6"/>
    <w:rsid w:val="00412F85"/>
    <w:rsid w:val="00461B47"/>
    <w:rsid w:val="00544539"/>
    <w:rsid w:val="00572D6F"/>
    <w:rsid w:val="005C2DE0"/>
    <w:rsid w:val="00652920"/>
    <w:rsid w:val="008F129C"/>
    <w:rsid w:val="0092085F"/>
    <w:rsid w:val="009E6F44"/>
    <w:rsid w:val="00A24AB6"/>
    <w:rsid w:val="00A86C89"/>
    <w:rsid w:val="00A93B8C"/>
    <w:rsid w:val="00B2118E"/>
    <w:rsid w:val="00BB7799"/>
    <w:rsid w:val="00BC5F22"/>
    <w:rsid w:val="00C4398E"/>
    <w:rsid w:val="00CC65D0"/>
    <w:rsid w:val="00DB38F7"/>
    <w:rsid w:val="00DE1764"/>
    <w:rsid w:val="00E0492D"/>
    <w:rsid w:val="00F163F6"/>
    <w:rsid w:val="00F743FB"/>
    <w:rsid w:val="00FE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16BC"/>
  <w15:chartTrackingRefBased/>
  <w15:docId w15:val="{C5835CE7-2BF9-4018-8E0A-837F015B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799"/>
  </w:style>
  <w:style w:type="paragraph" w:styleId="Heading1">
    <w:name w:val="heading 1"/>
    <w:basedOn w:val="Normal"/>
    <w:next w:val="Normal"/>
    <w:link w:val="Heading1Char"/>
    <w:uiPriority w:val="9"/>
    <w:qFormat/>
    <w:rsid w:val="00BB7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B7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7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7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B779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B7799"/>
    <w:rPr>
      <w:rFonts w:ascii="Arial MT" w:eastAsia="Arial MT" w:hAnsi="Arial MT" w:cs="Arial MT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65D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211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6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Nyokabi</dc:creator>
  <cp:keywords/>
  <dc:description/>
  <cp:lastModifiedBy>Antony Muchiri</cp:lastModifiedBy>
  <cp:revision>5</cp:revision>
  <dcterms:created xsi:type="dcterms:W3CDTF">2026-03-27T07:04:00Z</dcterms:created>
  <dcterms:modified xsi:type="dcterms:W3CDTF">2026-03-30T12:21:00Z</dcterms:modified>
</cp:coreProperties>
</file>