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TECNOLÓGICA DEL PERÚ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Facultad de Ingeniería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Carrera de Ingeniería de Sistemas e Informática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Interacción Hombre-Computador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Avance del Proyecto Final 2 (AC-S09-APF2)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Prototipos responsivos de alta fidelidad de la página web y del sistema de gestión de Memo's Caffe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Cueva Carpio, Eduardo Franklin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Mendoza Guevara, Raúl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Montenegro Sánchez, Norbi Antoni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Tarrillo Cóndor, Nigson Shrimi</w:t>
      </w:r>
    </w:p>
    <w:p>
      <w:pPr>
        <w:spacing w:after="120" w:before="4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 de sustento (video de exposición)</w:t>
      </w:r>
    </w:p>
    <w:p>
      <w:pPr>
        <w:spacing w:after="600"/>
        <w:jc w:val="center"/>
      </w:pPr>
      <w:r>
        <w:rPr>
          <w:rFonts w:ascii="Arial" w:cs="Arial" w:eastAsia="Arial" w:hAnsi="Arial"/>
          <w:color w:val="A33A2C"/>
          <w:sz w:val="22"/>
          <w:szCs w:val="22"/>
        </w:rPr>
        <w:t xml:space="preserve">[Pegar aquí el enlace del video de la exposición]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Chiclayo, Perú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</w:t>
      </w:r>
    </w:p>
    <w:p>
      <w:r>
        <w:br w:type="pag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Índice</w:t>
      </w:r>
    </w:p>
    <w:p>
      <w:pPr>
        <w:tabs>
          <w:tab w:val="right" w:pos="9026" w:leader="dot"/>
        </w:tabs>
        <w:spacing w:after="80" w:line="2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Consulta RUC de la existencia de la empresa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2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Definición del problema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2.1 Contexto de la empresa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2.2 Problema identificado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2.3 Usuarios del sistema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2.4 Objetivos del prototipo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80" w:line="2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Técnicas de prototipado de alta fidelidad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 Herramienta y técnicas empleadas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 Colores y tipografía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 Componentes reutilizables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3.4 Prototipos responsivos del sistema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3.5 Prototipos responsivos de la página web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3.6 Elementos clave de la interfaz (Cuadro S05)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3.7 Flujos de navegación (Cuadro S05)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80" w:line="240"/>
        <w:ind w:left="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3.8 Evaluación de las leyes de la Gestalt (Cuadro S07)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	21</w:t>
      </w:r>
    </w:p>
    <w:p>
      <w:pPr>
        <w:tabs>
          <w:tab w:val="right" w:pos="9026" w:leader="dot"/>
        </w:tabs>
        <w:spacing w:after="80" w:line="2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Conclusiones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22</w:t>
      </w:r>
    </w:p>
    <w:p>
      <w:pPr>
        <w:tabs>
          <w:tab w:val="right" w:pos="9026" w:leader="dot"/>
        </w:tabs>
        <w:spacing w:after="80" w:line="24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Referencias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24</w:t>
      </w:r>
    </w:p>
    <w:p>
      <w:r>
        <w:br w:type="page"/>
      </w:r>
    </w:p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Consulta RUC de la existencia de la empresa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se desarrolla para Memo's Caffe, una cafetería ubicada en la ciudad de Chiclayo que ofrece café de especialidad, postres y champagne. Para certificar que se trata de una empresa formal y en actividad se realizó la consulta del Registro Único de Contribuyentes (RUC) en la plataforma oficial de la Superintendencia Nacional de Aduanas y de Administración Tributaria (SUNAT, 2026). La Tabla 1 resume los datos obtenidos y la Figura 1 muestra la captura de la consulta.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Datos de la empresa según la consulta RUC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Información registrada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Número de RUC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10724681714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o razón social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PRADO DIAZ JOSELYN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comercial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MEMO'S CAFFE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contribuyente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 natural con negocio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contribuyente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Condición del domicilio fiscal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 del local</w:t>
            </w:r>
          </w:p>
        </w:tc>
        <w:tc>
          <w:tcPr>
            <w:tcW w:type="dxa" w:w="6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Ca. Cruz de Chalpón 120, Urb. Latina, Chiclayo, Lambayeque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Adaptado de la Consulta RUC de SUNAT (2026).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Captura de la consulta RUC en la plataforma de SUNAT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33A2C" w:sz="8"/>
              <w:left w:val="dashed" w:color="A33A2C" w:sz="8"/>
              <w:bottom w:val="dashed" w:color="A33A2C" w:sz="8"/>
              <w:right w:val="dashed" w:color="A33A2C" w:sz="8"/>
            </w:tcBorders>
            <w:tcMar>
              <w:top w:type="dxa" w:w="900"/>
              <w:left w:type="dxa" w:w="200"/>
              <w:bottom w:type="dxa" w:w="9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3A2C"/>
                <w:sz w:val="22"/>
                <w:szCs w:val="22"/>
              </w:rPr>
              <w:t xml:space="preserve">[Insertar aquí la captura de pantalla de la Consulta RUC 10724681714 en e-consultaruc.sunat.gob.pe]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Tomado de SUNAT (2026). Consulta RUC.</w:t>
      </w:r>
    </w:p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Definición del problema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Contexto de la empresa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Memo's Caffe es un negocio de atención en salón, para llevar y por delivery. Su carta combina bebidas de café, bebidas frías, postres artesanales, piqueos y una selección de champagnes, y su horario de atención va de lunes a domingo de 7:30 a. m. a 12:00 a. m. El local tiene alrededor de doce mesas distribuidas entre el salón y la barra, y su personal se organiza en cuatro funciones: administración, caja, atención de mesas y cocina.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Problema identificado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A partir del levantamiento de información realizado en el primer avance se identificaron tres dificultades que afectan la operación diaria y la experiencia del cliente: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Toma de pedidos en papel. </w:t>
      </w:r>
      <w:r>
        <w:rPr>
          <w:rFonts w:ascii="Arial" w:cs="Arial" w:eastAsia="Arial" w:hAnsi="Arial"/>
          <w:sz w:val="22"/>
          <w:szCs w:val="22"/>
        </w:rPr>
        <w:t xml:space="preserve">Los pedidos se anotan a mano y se llevan a cocina, lo que provoca errores de lectura, notas que se pierden (por ejemplo, “sin azúcar” o “sin mayonesa”) y demoras en las horas de mayor afluencia.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Caja desconectada de las mesas. </w:t>
      </w:r>
      <w:r>
        <w:rPr>
          <w:rFonts w:ascii="Arial" w:cs="Arial" w:eastAsia="Arial" w:hAnsi="Arial"/>
          <w:sz w:val="22"/>
          <w:szCs w:val="22"/>
        </w:rPr>
        <w:t xml:space="preserve">El cajero no sabe qué mesas pidieron la cuenta ni cuánto deben hasta preguntar al mesero; además, el cierre de turno se hace sumando a mano, lo que genera descuadres difíciles de explicar.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Escasa presencia digital. </w:t>
      </w:r>
      <w:r>
        <w:rPr>
          <w:rFonts w:ascii="Arial" w:cs="Arial" w:eastAsia="Arial" w:hAnsi="Arial"/>
          <w:sz w:val="22"/>
          <w:szCs w:val="22"/>
        </w:rPr>
        <w:t xml:space="preserve">El negocio no cuenta con una carta digital ni con una página que informe horarios, ubicación y especialidades, por lo que depende de las redes sociales para captar clientes y recibir reservas.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Frente a ello se propone un ecosistema digital formado por dos productos: un sistema de gestión (web y aplicación) que conecta mesas, pedidos, cocina y caja en tiempo real, y una página web pública que presenta el local, la carta y los canales de reserva. Este avance documenta los prototipos de alta fidelidad de ambos productos en sus tres vistas: computadora (PC), tablet y celular.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Usuarios del sistema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diseño se centró en cinco perfiles de usuario. Cada uno tiene tareas, dispositivos y condiciones de uso distintas, lo que justifica la necesidad de vistas responsivas (Garrett, 2011). La Tabla 2 los resume.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2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Perfiles de usuario, dispositivos y tareas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326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Dispositivo principal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Tareas principales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Necesidad de diseño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 y celular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ventas y alertas, gestionar productos, insumos, usuarios y permisos, exportar reportes.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Información resumida y acceso rápido a las alertas.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Cajero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 o tablet en caja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Cobrar pedidos con uno o varios métodos de pago, emitir boleta o factura, registrar movimientos y cerrar turno.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Montos legibles, cálculo automático del vuelto y validación del arqueo.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Mesero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Celular o tablet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sus mesas, tomar pedidos con notas, enviarlos a cocina y marcar lo servido.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Botones grandes para el pulgar y avisos en tiempo real.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Cocinero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Tablet o PC en cocina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las comandas pendientes, empezar la preparación y marcar lo que está listo.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Lectura a distancia y prioridad visual de los pedidos demorados.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Celular (QR de la mesa) y web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la carta, pedir desde la mesa, seguir el estado del pedido, pedir la cuenta y reservar.</w:t>
            </w:r>
          </w:p>
        </w:tc>
        <w:tc>
          <w:tcPr>
            <w:tcW w:type="dxa" w:w="2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 corto, sin registro y con lenguaje sencillo.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Objetivos del prototipo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general. </w:t>
      </w:r>
      <w:r>
        <w:rPr>
          <w:rFonts w:ascii="Arial" w:cs="Arial" w:eastAsia="Arial" w:hAnsi="Arial"/>
          <w:sz w:val="22"/>
          <w:szCs w:val="22"/>
        </w:rPr>
        <w:t xml:space="preserve">Diseñar prototipos responsivos de alta fidelidad del sistema de gestión y de la página web de Memo's Caffe que permitan simular las interacciones principales de cada usuario antes de su implementación.</w:t>
      </w:r>
    </w:p>
    <w:p>
      <w:pPr>
        <w:spacing w:after="80" w:before="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Definir un sistema visual propio (colores, tipografía y componentes) coherente con la identidad del local.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Construir las pantallas del sistema y de la web en tres tamaños: PC (1440 px), tablet (1180 px) y celular (390 px).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Conectar las pantallas para simular los flujos completos de mesero, cliente, cocina, cajero y administrador.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Evaluar la interfaz con las leyes de la Gestalt y proponer mejoras.</w:t>
      </w:r>
    </w:p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Técnicas de prototipado de alta fidelidad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Un prototipo de alta fidelidad se parece al producto final en aspecto visual, contenido e interacción; por eso permite evaluar detalles que un boceto no muestra, como la jerarquía visual, los colores o el comportamiento de los botones (Rudd et al., 1996). En este avance el prototipo de baja fidelidad del primer entregable se transformó en un prototipo interactivo y responsivo.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Herramienta y técnicas empleadas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Los prototipos se construyeron en Figma (Figma, s.f.). El archivo de trabajo se organizó en seis páginas: estilos y componentes, sistema en PC, sistema en tablet, sistema en celular, página web pública y flujos de navegación. Se aplicaron las siguientes técnicas: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de color y estilos de texto. </w:t>
      </w:r>
      <w:r>
        <w:rPr>
          <w:rFonts w:ascii="Arial" w:cs="Arial" w:eastAsia="Arial" w:hAnsi="Arial"/>
          <w:sz w:val="22"/>
          <w:szCs w:val="22"/>
        </w:rPr>
        <w:t xml:space="preserve">La paleta y la escala tipográfica se definieron una sola vez y se reutilizan en todas las pantallas; un cambio en la variable se refleja en todo el prototipo.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 con variantes. </w:t>
      </w:r>
      <w:r>
        <w:rPr>
          <w:rFonts w:ascii="Arial" w:cs="Arial" w:eastAsia="Arial" w:hAnsi="Arial"/>
          <w:sz w:val="22"/>
          <w:szCs w:val="22"/>
        </w:rPr>
        <w:t xml:space="preserve">Botones, insignias de estado, campos de formulario, ítems de menú, logotipo y tarjetas de producto se diseñaron como componentes reutilizables con sus estados (normal, foco, error, seleccionado, agotado).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layout. </w:t>
      </w:r>
      <w:r>
        <w:rPr>
          <w:rFonts w:ascii="Arial" w:cs="Arial" w:eastAsia="Arial" w:hAnsi="Arial"/>
          <w:sz w:val="22"/>
          <w:szCs w:val="22"/>
        </w:rPr>
        <w:t xml:space="preserve">Los contenedores se ajustan automáticamente al contenido, lo que facilitó adaptar cada pantalla a los tres anchos sin rediseñarla desde cero.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Diseño responsivo. </w:t>
      </w:r>
      <w:r>
        <w:rPr>
          <w:rFonts w:ascii="Arial" w:cs="Arial" w:eastAsia="Arial" w:hAnsi="Arial"/>
          <w:sz w:val="22"/>
          <w:szCs w:val="22"/>
        </w:rPr>
        <w:t xml:space="preserve">Se siguió el enfoque de retícula flexible y adaptación de componentes según el ancho disponible (Marcotte, 2011): menú lateral en PC, menú compacto en tablet y barra inferior en celular; las tablas se convierten en tarjetas apiladas en el celular.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Prototipado interactivo. </w:t>
      </w:r>
      <w:r>
        <w:rPr>
          <w:rFonts w:ascii="Arial" w:cs="Arial" w:eastAsia="Arial" w:hAnsi="Arial"/>
          <w:sz w:val="22"/>
          <w:szCs w:val="22"/>
        </w:rPr>
        <w:t xml:space="preserve">Los botones y menús se enlazaron entre pantallas con transiciones de disolución y animación inteligente. Se definieron puntos de inicio para presentar cada flujo con el modo Present de Figma.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 e imágenes reales. </w:t>
      </w:r>
      <w:r>
        <w:rPr>
          <w:rFonts w:ascii="Arial" w:cs="Arial" w:eastAsia="Arial" w:hAnsi="Arial"/>
          <w:sz w:val="22"/>
          <w:szCs w:val="22"/>
        </w:rPr>
        <w:t xml:space="preserve">Se usaron el logotipo, fotografías del local y productos, y datos verosímiles de la carta para que las pruebas con usuarios reflejen la situación real del negocio.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Enlace del prototipo: </w:t>
      </w:r>
      <w:hyperlink w:history="1" r:id="rIdrez7rxlezynexeeyvkpx5">
        <w:r>
          <w:rPr>
            <w:rStyle w:val="Hyperlink"/>
            <w:rFonts w:ascii="Arial" w:cs="Arial" w:eastAsia="Arial" w:hAnsi="Arial"/>
            <w:color w:val="3E5C7A"/>
            <w:sz w:val="22"/>
            <w:szCs w:val="22"/>
            <w:u w:val="single"/>
          </w:rPr>
          <w:t xml:space="preserve">https://www.figma.com/design/r7taBmAX5zriHy6VkF2lPZ</w:t>
        </w:r>
      </w:hyperlink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Colores y tipografía</w:t>
      </w:r>
    </w:p>
    <w:p>
      <w:pPr>
        <w:pStyle w:val="Heading3"/>
        <w:keepNext/>
        <w:spacing w:after="100" w:before="16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Paleta de colores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paleta parte del verde salvia del logotipo de Memo's y lo combina con tonos de café y crema propios de una cafetería. Se aplicó la proporción 60-30-10: 60 % de colores de fondo (crema y marfil), 30 % de color estructural (espresso para el menú y los textos) y 10 % de color de acción (salvia), reservado para lo que el usuario puede presionar. Los colores de estado (éxito, aviso, peligro e información) se usan siempre acompañados de texto para no depender solo del color, como recomienda la WCAG 2.1 (W3C, 2018). La Tabla 3 detalla la paleta.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3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Paleta de colores del sistema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900"/>
        <w:gridCol w:w="3326"/>
      </w:tblGrid>
      <w:tr>
        <w:trPr>
          <w:tblHeader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Función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 en la interfaz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Crema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#F5F0E6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Fondo (60 %)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Fondo general de las pantallas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Marfil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#FFFCF7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Superficie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Tarjetas, modales y campos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Arena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#EDE5D6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Superficie secundaria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Cabeceras de tabla y controles segmentados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Espresso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#2E241C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Estructura (30 %)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Menú lateral, títulos y texto principal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Café suave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#6B5B4D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secundario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Subtítulos y descripciones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Salvia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#4C6B65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Acción (10 %)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Botón principal y sección activa del menú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Salvia clara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#E1EAE4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Apoyo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Elementos seleccionados y fondos de íconos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Champán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#7E6033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Acento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Notas de cocina y etiquetas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Éxito / Aviso / Peligro / Info</w:t>
            </w:r>
          </w:p>
        </w:tc>
        <w:tc>
          <w:tcPr>
            <w:tcW w:type="dxa" w:w="21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#3B6B4A / #8A5A0C / #A33A2C / #3E5C7A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Estados</w:t>
            </w:r>
          </w:p>
        </w:tc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Listo, pendiente o demorado, anulado o descuadre, en preparación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asegurar la legibilidad se calculó la relación de contraste entre texto y fondo según la WCAG 2.1, que exige un mínimo de 4.5:1 para texto normal en el nivel AA (W3C, 2018). Durante la revisión, los tonos champán y café tenue no alcanzaban ese mínimo (4.3:1), por lo que se oscurecieron hasta cumplirlo. La Tabla 4 muestra el resultado final.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4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Relación de contraste de las combinaciones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Combinación (texto sobre fondo)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Contraste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WCAG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Espresso sobre crema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13.3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Crema sobre espresso (menú lateral)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13.3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Café suave sobre crema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5.7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Café tenue sobre marfil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5.2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Crema sobre salvia (botón principal)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5.1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Champán sobre crema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5.1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</w:t>
            </w:r>
          </w:p>
        </w:tc>
      </w:tr>
      <w:tr>
        <w:trPr>
          <w:cantSplit/>
        </w:trPr>
        <w:tc>
          <w:tcPr>
            <w:tcW w:type="dxa" w:w="50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Colores de estado sobre su fondo claro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5.2 – 5.9 : 1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con base en los criterios de W3C (2018).</w:t>
      </w:r>
    </w:p>
    <w:p>
      <w:pPr>
        <w:pStyle w:val="Heading3"/>
        <w:keepNext/>
        <w:spacing w:after="100" w:before="16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Tipografía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Se combinaron dos familias tipográficas de libre uso: Fraunces, una tipografía con serifa de trazo cálido, para los títulos, y Geist, una tipografía sin serifa de alta legibilidad, para textos, botones y números. Las mismas fuentes se emplean en la aplicación que ya tiene el negocio, lo que mantiene la coherencia entre prototipo y producto. La jerarquía se organizó en una escala de tamaños fija (Tabla 5), que facilita la lectura rápida en pantallas táctiles (Johnson, 2020).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5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Escala tipográfica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2926"/>
      </w:tblGrid>
      <w:tr>
        <w:trPr>
          <w:tblHeader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Estilo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 y peso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Tamaño / interlineado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Display / Hero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Fraunces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 px / 110 %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Portada de la web y del inicio de sesión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H1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Fraunces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px / 120 %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Título de cada pantalla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H2 y H3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Fraunces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y 18 px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Títulos de tarjetas y secciones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Número KPI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Geist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px / 120 %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Montos e indicadores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Cuerpo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Geist Regular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– 16 px / 145 %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 y tablas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Botón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Geist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px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Etiquetas de botones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Pequeño y etiqueta</w:t>
            </w:r>
          </w:p>
        </w:tc>
        <w:tc>
          <w:tcPr>
            <w:tcW w:type="dxa" w:w="2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Geist Regular y SemiBold</w:t>
            </w:r>
          </w:p>
        </w:tc>
        <w:tc>
          <w:tcPr>
            <w:tcW w:type="dxa" w:w="2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– 12 px</w:t>
            </w:r>
          </w:p>
        </w:tc>
        <w:tc>
          <w:tcPr>
            <w:tcW w:type="dxa" w:w="29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Ayudas, estados y encabezados de tabla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2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Guía visual: paleta, contraste, tipografía y retícula</w:t>
      </w:r>
    </w:p>
    <w:p>
      <w:pPr>
        <w:keepNext/>
        <w:spacing w:after="0"/>
        <w:jc w:val="center"/>
      </w:pPr>
      <w:r>
        <w:drawing>
          <wp:inline distT="0" distB="0" distL="0" distR="0">
            <wp:extent cx="4238625" cy="7239000"/>
            <wp:effectExtent t="0" r="0" b="0" l="0"/>
            <wp:docPr id="1" name="guia.png" descr="Guía visual: paleta, contraste, tipografía y retícula" title="Guía visual: paleta, contraste, tipografía y retíc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(página “00 · Estilos y componentes”).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Componentes reutilizables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Los elementos que se repiten en el sistema se diseñaron una sola vez como componentes con variantes (Figura 3). Esto garantiza la consistencia entre pantallas, reduce errores y aplica el principio de semejanza: elementos con la misma función se ven igual (Lidwell et al., 2010). El botón tiene cuatro tipos (primario, secundario, fantasma y peligro) y dos tamaños: 40 px para PC y 48 px para pantallas táctiles, que corresponde al área táctil mínima recomendada (Google, s.f.).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3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Componentes reutilizables con sus variantes</w:t>
      </w:r>
    </w:p>
    <w:p>
      <w:pPr>
        <w:keepNext/>
        <w:spacing w:after="0"/>
        <w:jc w:val="center"/>
      </w:pPr>
      <w:r>
        <w:drawing>
          <wp:inline distT="0" distB="0" distL="0" distR="0">
            <wp:extent cx="4924425" cy="6096000"/>
            <wp:effectExtent t="0" r="0" b="0" l="0"/>
            <wp:docPr id="1" name="componentes.png" descr="Componentes reutilizables con sus variantes" title="Componentes reutilizables con sus var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Prototipos responsivos del sistema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de gestión cuenta con trece pantallas, cada una en sus tres vistas, además de pantallas exclusivas para el celular del mesero y del cliente. La Tabla 6 presenta el inventario completo con el código de cada pantalla en el archivo de Figma.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6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Inventario de pantallas del sistema por vista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Pantalla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 (1440 px)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Tablet (1180 px)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Celular (390 px)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PC-01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TAB-00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MOB-01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Panel del administrador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PC-02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TAB-04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MOB-08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Mesas (croquis del salón)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PC-03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TAB-01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MOB-03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Pedidos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PC-04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TAB-05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MOB-09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Nuevo pedido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PC-05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TAB-02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MOB-04 y MOB-05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Cocina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PC-06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TAB-03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MOB-10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Caja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PC-07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TAB-06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MOB-11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Cobrar pedido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PC-08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TAB-07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MOB-12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Cerrar turno (arqueo)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PC-09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TAB-08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MOB-13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Productos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PC-10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TAB-09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MOB-14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Insumos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PC-11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TAB-10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MOB-15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Reportes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PC-12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TAB-11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MOB-16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PC-13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TAB-12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MOB-17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Inicio del mesero / menú “Más”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MOB-02 / MOB-18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Cliente: carta QR y Mi pedido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MOB-06 y MOB-07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adaptación entre vistas sigue reglas fijas. En PC el menú lateral muestra íconos y textos; en tablet se reduce a un menú compacto de íconos con etiquetas cortas; y en el celular se reemplaza por una barra inferior con cuatro secciones y la opción “Más”, al alcance del pulgar. Las tablas de PC pasan a tarjetas apiladas en el celular, y las ventanas emergentes de cobro y cierre de turno se convierten en pantallas completas con el botón de confirmación fijo en la parte inferior. La Figura 4 muestra el panel del administrador en las tres vistas.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4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Panel del administrador en PC, tablet y celular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panel_3vistas.png" descr="Panel del administrador en PC, tablet y celular" title="Panel del administrador en PC, tablet y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(PC-02, TAB-04 y MOB-08).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inicio de sesión (Figura 5) usa una fotografía real del local con un degradado oscuro para que los textos se lean bien, y muestra el logotipo de la empresa. El formulario tiene etiquetas visibles, indica el requisito de la contraseña y orienta al usuario si la olvidó, en lugar de mostrar un mensaje de error genérico (Nielsen, 2024).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5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Inicio de sesión del sistema (PC)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login.png" descr="Inicio de sesión del sistema (PC)" title="Inicio de sesión del sistema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(PC-01). Fotografía del local proporcionada por el equipo.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pantalla de mesas (Figura 6) representa el croquis del salón. Cada mesa muestra su número, su estado por color y forma (libre, ocupada o reservada) y un indicador cuando requiere atención: pedido listo, cuenta solicitada o demora. Al seleccionar una mesa se abre su detalle a la derecha, con los productos, el estado de cada uno y las acciones disponibles. En tablet (Figura 7) se mantiene el mismo croquis con un panel de detalle más angosto.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6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Mesas: croquis del salón y detalle de la mesa (PC)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mesas_pc.png" descr="Mesas: croquis del salón y detalle de la mesa (PC)" title="Mesas: croquis del salón y detalle de la mesa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(PC-03).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7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Mesas en la vista de tablet del mesero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mesas_tab.png" descr="Mesas en la vista de tablet del mesero" title="Mesas en la vista de tablet del mes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(TAB-01).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toma de pedidos (Figura 8) se resuelve en una sola pantalla: a la izquierda, la búsqueda, los filtros por categoría y las tarjetas de producto; a la derecha, el resumen con la mesa, las cantidades, las notas y el total. Los productos agotados aparecen atenuados y no pueden agregarse, lo que previene errores (Nielsen, 2024).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8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Toma de un nuevo pedido (PC)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nuevo_pc.png" descr="Toma de un nuevo pedido (PC)" title="Toma de un nuevo pedido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(PC-05).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pantalla de cocina (Figura 9) organiza las comandas en tres columnas según su estado: pendientes, en preparación y listas. Las comandas con más de diez minutos se resaltan en color ámbar y las notas especiales aparecen junto a cada producto para que no se pierdan.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9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Pantalla de cocina organizada por estado de la comanda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cocina_pc.png" descr="Pantalla de cocina organizada por estado de la comanda" title="Pantalla de cocina organizada por estado de la com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(PC-06).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cobro (Figura 10) admite pagos mixtos (efectivo, Yape, Plin y tarjeta), calcula automáticamente el vuelto y permite elegir boleta o factura, con la validación del DNI o RUC del cliente. El cierre de turno compara el efectivo esperado con el contado y exige una observación cuando la diferencia supera S/ 5.00.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10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Cobro de un pedido con pago mixto (PC)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cobro_pc.png" descr="Cobro de un pedido con pago mixto (PC)" title="Cobro de un pedido con pago mixto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(PC-08).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En el celular, el mesero cuenta con una pantalla de inicio que concentra los avisos de pedidos listos y los pedidos por QR pendientes de confirmar, y el cajero puede cobrar desde una lista de tarjetas (Figura 11).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11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Inicio del mesero y caja en la vista de celular</w:t>
      </w:r>
    </w:p>
    <w:p>
      <w:pPr>
        <w:keepNext/>
        <w:spacing w:after="0"/>
        <w:jc w:val="center"/>
      </w:pPr>
      <w:r>
        <w:drawing>
          <wp:inline distT="0" distB="0" distL="0" distR="0">
            <wp:extent cx="4953000" cy="5095875"/>
            <wp:effectExtent t="0" r="0" b="0" l="0"/>
            <wp:docPr id="1" name="movil_operacion.png" descr="Inicio del mesero y caja en la vista de celular" title="Inicio del mesero y caja en la vista de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(MOB-02 y MOB-11).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 Prototipos responsivos de la página web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página web pública presenta el local a nuevos clientes. Está compuesta por la página de inicio (portada, historia, especialidades, evento de los viernes, productos destacados, ubicación y pie de página) y la página de carta. Ambas se diseñaron en PC, tablet y celular (WEB-01 a WEB-06). Las fotografías del local y de los productos reemplazan a las ilustraciones genéricas, y los datos de contacto corresponden a los del negocio. La Figura 12 compara la página de inicio en PC y en celular.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12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Página de inicio de la web en PC y en celular</w:t>
      </w:r>
    </w:p>
    <w:p>
      <w:pPr>
        <w:keepNext/>
        <w:spacing w:after="0"/>
        <w:jc w:val="center"/>
      </w:pPr>
      <w:r>
        <w:drawing>
          <wp:inline distT="0" distB="0" distL="0" distR="0">
            <wp:extent cx="3819525" cy="6858000"/>
            <wp:effectExtent t="0" r="0" b="0" l="0"/>
            <wp:docPr id="1" name="web_2vistas.png" descr="Página de inicio de la web en PC y en celular" title="Página de inicio de la web en PC y e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(WEB-01 y WEB-03). Fotografías del local proporcionadas por el equipo.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Desde la mesa, el cliente escanea un código QR y accede a la carta digital, agrega productos y sigue el estado de su pedido en una línea de tiempo (recibido, en preparación, listo y servido). Desde la misma pantalla puede pedir la cuenta e indicar el método de pago, aviso que llega directamente a la caja (Figura 13).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13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Carta por QR y seguimiento del pedido del cliente</w:t>
      </w:r>
    </w:p>
    <w:p>
      <w:pPr>
        <w:keepNext/>
        <w:spacing w:after="0"/>
        <w:jc w:val="center"/>
      </w:pPr>
      <w:r>
        <w:drawing>
          <wp:inline distT="0" distB="0" distL="0" distR="0">
            <wp:extent cx="4953000" cy="5095875"/>
            <wp:effectExtent t="0" r="0" b="0" l="0"/>
            <wp:docPr id="1" name="qr_cliente.png" descr="Carta por QR y seguimiento del pedido del cliente" title="Carta por QR y seguimiento del pedido d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(MOB-06 y MOB-07).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 Elementos clave de la interfaz (Cuadro S05)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Tabla 7 describe los elementos de la interfaz que se definieron en el prototipo, su especificación y la razón de cada decisión.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7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Cuadro S05: elementos clave de la interfaz de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Paleta de colores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Salvia, espresso, crema y champán, con cuatro colores de estado y proporción 60-30-10.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Refleja la identidad del logotipo y destaca una sola acción principal por pantalla.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Tipografía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Fraunces para títulos y Geist para textos, en una escala de siete estilos.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Separa con claridad títulos y contenido; Geist es legible en tamaños pequeños.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Botones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Cuatro tipos y dos tamaños (40 y 48 px de alto) con ícono opcional.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jerarquía visual indica qué acción es la principal y el tamaño se adapta al uso táctil.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Campos de formulario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Etiqueta siempre visible y estados normal, foco (borde salvia) y error (borde rojo con mensaje).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Evita depender del texto de ejemplo y explica cómo corregir el error.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Insignias de estado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Píldora con punto, texto y color: pendiente, en preparación, listo, entregado, agotado.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Comunican el estado de un vistazo sin depender solo del color.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Iconografía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 íconos de línea (Lucide) con trazo uniforme.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Estilo consistente y reconocible; siempre acompañados de texto en los menús.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Navegación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Menú lateral (PC), menú compacto (tablet) y barra inferior (celular) con la sección activa resaltada.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siempre sabe dónde está y llega a cualquier sección en un toque.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Tarjetas y tablas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Tarjetas marfil con borde fino; tablas con cabecera arena que pasan a tarjetas en el celular.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Agrupan información relacionada y se adaptan al ancho disponible.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Modales y hojas inferiores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central con velo oscuro en PC y tablet; hoja inferior o pantalla completa en el celular.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Concentran la atención en tareas críticas como cobrar o cerrar el turno.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Logotipo y fotografías reales del local y de los productos.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Generan confianza y reconocimiento de la marca.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Retroalimentación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Avisos de pedido listo, contador en el menú, vuelto calculado y diferencia de caja resaltada.</w:t>
            </w:r>
          </w:p>
        </w:tc>
        <w:tc>
          <w:tcPr>
            <w:tcW w:type="dxa" w:w="361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Informan el resultado de cada acción en el momento (Nielsen, 2024).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3.7 Flujos de navegación (Cuadro S05)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navegación se organizó en tres niveles: el nivel 0 corresponde a las entradas (página web, inicio de sesión y código QR de la mesa); el nivel 1, a las secciones de cada rol (panel, mesas, pedidos, cocina, caja, productos, insumos, reportes y usuarios); y el nivel 2, al detalle y las acciones (detalle de mesa, nuevo pedido, cobro, cierre de turno y edición de producto). La Tabla 8 describe el flujo principal de cada usuario y la Figura 14 lo representa gráficamente.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8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Cuadro S05: flujos de navegación por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3"/>
        <w:gridCol w:w="3263"/>
      </w:tblGrid>
      <w:tr>
        <w:trPr>
          <w:tblHeader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Interacciones y validaciones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Mesero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sesión → Inicio → Mesas → Nuevo pedido → Revisar y enviar → aviso “listo para servir” → Marcar servido.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ve mesas libres o propias; la cocina recibe únicamente los productos nuevos de cada ronda.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Escanear QR → Carta → Mi pedido → confirmación del mesero → seguimiento del estado → Pedir la cuenta.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mesero confirma los pedidos por QR para evitar pedidos falsos.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Cocinero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sesión → Pendientes → Empezar a preparar → Marcar listo → Entregado.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comandas demoradas se resaltan y el tiempo de cada etapa queda registrado.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Cajero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sesión → Caja → Por cobrar → Cobrar (pago mixto, boleta o factura) → Cerrar turno.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 el vuelto, valida DNI o RUC y exige una observación si el descuadre supera S/ 5.00.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sesión → Panel → Productos e insumos → Reportes → Usuarios y roles.</w:t>
            </w:r>
          </w:p>
        </w:tc>
        <w:tc>
          <w:tcPr>
            <w:tcW w:type="dxa" w:w="3263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Alertas de stock bajo, exportación a Excel y permisos por módulo.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14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Flujos de navegación por usuario y mapa de navegación</w:t>
      </w:r>
    </w:p>
    <w:p>
      <w:pPr>
        <w:keepNext/>
        <w:spacing w:after="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flujos.png" descr="Flujos de navegación por usuario y mapa de navegación" title="Flujos de navegación por usuario y mapa de nave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en Figma (página “05 · Flujos de navegación”).</w:t>
      </w:r>
    </w:p>
    <w:p>
      <w:pPr>
        <w:pStyle w:val="Heading2"/>
        <w:keepNext/>
        <w:spacing w:after="12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3.8 Evaluación de las leyes de la Gestalt (Cuadro S07)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Las leyes de la Gestalt explican cómo las personas agrupan y organizan lo que ven (Interaction Design Foundation, s.f.; Lidwell et al., 2010). Se revisaron las pantallas del prototipo con ocho de estas leyes, se indicó si se cumplen total o parcialmente y se propuso una mejora en cada caso (Tabla 9).</w:t>
      </w:r>
    </w:p>
    <w:p>
      <w:pPr>
        <w:keepNext/>
        <w:spacing w:after="0" w:before="120"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9</w:t>
      </w:r>
    </w:p>
    <w:p>
      <w:pPr>
        <w:keepNext/>
        <w:spacing w:after="120" w:before="0" w:line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Cuadro S07: evaluación de las leyes de la Gestalt en la interfaz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50"/>
        <w:gridCol w:w="3338"/>
        <w:gridCol w:w="3138"/>
      </w:tblGrid>
      <w:tr>
        <w:trPr>
          <w:tblHeader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Ley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¿Cumple?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Evidencia en la interfaz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E1EA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Mejora propuesta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Proximidad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3B6B4A"/>
                <w:sz w:val="19"/>
                <w:szCs w:val="19"/>
              </w:rPr>
              <w:t xml:space="preserve">Sí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las tarjetas de producto, el nombre, la categoría y el precio están juntos; los bloques se separan con espacios de 16 y 24 px.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Mantener la escala de espaciado de 4 px y aumentar la separación entre bloques en los reportes del celular.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Semejanza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3B6B4A"/>
                <w:sz w:val="19"/>
                <w:szCs w:val="19"/>
              </w:rPr>
              <w:t xml:space="preserve">Sí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mismo botón, insignia y campo se repiten en todas las pantallas; cada estado conserva siempre el mismo color.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un ícono a las insignias para que el estado no dependa solo del color.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Figura y fondo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3B6B4A"/>
                <w:sz w:val="19"/>
                <w:szCs w:val="19"/>
              </w:rPr>
              <w:t xml:space="preserve">Sí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modales de cobro y cierre aparecen sobre un velo oscuro; las tarjetas marfil resaltan sobre el fondo crema.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Oscurecer un poco más el velo en el celular para su uso en exteriores.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Continuidad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C"/>
                <w:sz w:val="19"/>
                <w:szCs w:val="19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cocina se lee de izquierda a derecha según el avance de la comanda; sin embargo, en el celular la toma de pedido se divide en dos pantallas sin indicar el paso actual.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Añadir un indicador de pasos (“Paso 1 de 2”) en Nuevo pedido y Revisar y enviar.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Cierre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C"/>
                <w:sz w:val="19"/>
                <w:szCs w:val="19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íconos de línea se completan mentalmente, pero algunos (insumos, receta, reportes) no se reconocen sin texto en tamaños de 16 px.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Acompañar siempre los íconos con etiqueta y agregar textos de ayuda en la tablet.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Simetría y orden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3B6B4A"/>
                <w:sz w:val="19"/>
                <w:szCs w:val="19"/>
              </w:rPr>
              <w:t xml:space="preserve">Sí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Retícula de 12, 8 y 4 columnas; indicadores en filas de cuatro columnas iguales; mesas alineadas en el croquis.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la tablet, igualar la altura de las tarjetas del panel, que quedan desalineadas.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Región común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3B6B4A"/>
                <w:sz w:val="19"/>
                <w:szCs w:val="19"/>
              </w:rPr>
              <w:t xml:space="preserve">Sí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tarjetas con borde agrupan información y las columnas de la cocina tienen un fondo propio.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Evitar bordes dobles cuando una tabla está dentro de una tarjeta.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Destino común</w:t>
            </w:r>
          </w:p>
        </w:tc>
        <w:tc>
          <w:tcPr>
            <w:tcW w:type="dxa" w:w="11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C"/>
                <w:sz w:val="19"/>
                <w:szCs w:val="19"/>
              </w:rPr>
              <w:t xml:space="preserve">Parcial</w:t>
            </w:r>
          </w:p>
        </w:tc>
        <w:tc>
          <w:tcPr>
            <w:tcW w:type="dxa" w:w="3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mismo pedido cambia de estado a la vez en la cocina, las mesas y la caja; pero en el croquis los indicadores de alerta están dispersos y no se perciben como un grupo.</w:t>
            </w:r>
          </w:p>
        </w:tc>
        <w:tc>
          <w:tcPr>
            <w:tcW w:type="dxa" w:w="3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Añadir una leyenda de alertas en el croquis y animar juntos los indicadores que cambian.</w:t>
            </w:r>
          </w:p>
        </w:tc>
      </w:tr>
    </w:tbl>
    <w:p>
      <w:pPr>
        <w:spacing w:after="240" w:before="80" w:line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Elaboración propia con base en Lidwell et al. (2010) e Interaction Design Foundation (s.f.).</w:t>
      </w:r>
    </w:p>
    <w:p>
      <w:pPr>
        <w:spacing w:after="160" w:before="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En síntesis, la interfaz cumple plenamente cinco de las ocho leyes evaluadas. Las leyes de continuidad, cierre y destino común se cumplen solo de forma parcial: la primera porque el flujo de pedido en el celular no muestra el paso en que se encuentra el usuario; la segunda porque algunos íconos pequeños no se entienden sin texto; y la tercera porque las alertas del croquis no se leen como un conjunto. Las mejoras propuestas son de bajo costo y se incorporarán en la siguiente versión del prototipo, antes de las pruebas con usuarios.</w:t>
      </w:r>
    </w:p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Conclusiones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Se diseñaron 44 pantallas de alta fidelidad: 13 del sistema en PC, 13 en tablet, 18 en celular y 6 de la página web, todas basadas en un mismo sistema visual y conectadas como prototipo interactivo.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El uso de variables, componentes y auto layout en Figma permitió mantener la coherencia entre las tres vistas y adaptar cada pantalla al dispositivo de cada usuario.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paleta basada en el verde salvia del logotipo, junto con la combinación de Fraunces y Geist, da al producto una identidad propia y cumple el contraste mínimo AA de la WCAG 2.1.</w:t>
      </w:r>
    </w:p>
    <w:p>
      <w:pPr>
        <w:pStyle w:val="ListParagraph"/>
        <w:numPr>
          <w:ilvl w:val="0"/>
          <w:numId w:val="2"/>
        </w:numPr>
        <w:spacing w:after="80" w:line="240"/>
        <w:jc w:val="both"/>
      </w:pPr>
      <w:r>
        <w:rPr>
          <w:rFonts w:ascii="Arial" w:cs="Arial" w:eastAsia="Arial" w:hAnsi="Arial"/>
          <w:sz w:val="22"/>
          <w:szCs w:val="22"/>
        </w:rPr>
        <w:t xml:space="preserve">La evaluación con las leyes de la Gestalt identificó tres aspectos por mejorar (continuidad, cierre y destino común), cuyas correcciones se incorporarán en la siguiente iteración.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Referencias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Figma. (s.f.).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Figma Learn: Help Center</w:t>
      </w:r>
      <w:r>
        <w:rPr>
          <w:rFonts w:ascii="Arial" w:cs="Arial" w:eastAsia="Arial" w:hAnsi="Arial"/>
          <w:sz w:val="22"/>
          <w:szCs w:val="22"/>
        </w:rPr>
        <w:t xml:space="preserve">. https://help.figma.com/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Garrett, J. J.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elements of user experience: User-centered design for the web and beyond</w:t>
      </w:r>
      <w:r>
        <w:rPr>
          <w:rFonts w:ascii="Arial" w:cs="Arial" w:eastAsia="Arial" w:hAnsi="Arial"/>
          <w:sz w:val="22"/>
          <w:szCs w:val="22"/>
        </w:rPr>
        <w:t xml:space="preserve"> (2.ª ed.). New Riders.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Google. (s.f.).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Accessibility: Material Design 3</w:t>
      </w:r>
      <w:r>
        <w:rPr>
          <w:rFonts w:ascii="Arial" w:cs="Arial" w:eastAsia="Arial" w:hAnsi="Arial"/>
          <w:sz w:val="22"/>
          <w:szCs w:val="22"/>
        </w:rPr>
        <w:t xml:space="preserve">. https://m3.material.io/foundations/accessible-design/overview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Interaction Design Foundation. (s.f.).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Gestalt principles</w:t>
      </w:r>
      <w:r>
        <w:rPr>
          <w:rFonts w:ascii="Arial" w:cs="Arial" w:eastAsia="Arial" w:hAnsi="Arial"/>
          <w:sz w:val="22"/>
          <w:szCs w:val="22"/>
        </w:rPr>
        <w:t xml:space="preserve">. https://www.interaction-design.org/literature/topics/gestalt-principles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Johnson, J. (2020).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Designing with the mind in mind: Simple guide to understanding user interface design guidelines</w:t>
      </w:r>
      <w:r>
        <w:rPr>
          <w:rFonts w:ascii="Arial" w:cs="Arial" w:eastAsia="Arial" w:hAnsi="Arial"/>
          <w:sz w:val="22"/>
          <w:szCs w:val="22"/>
        </w:rPr>
        <w:t xml:space="preserve"> (3.ª ed.). Morgan Kaufmann.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Lidwell, W., Holden, K. y Butler, J.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Universal principles of design</w:t>
      </w:r>
      <w:r>
        <w:rPr>
          <w:rFonts w:ascii="Arial" w:cs="Arial" w:eastAsia="Arial" w:hAnsi="Arial"/>
          <w:sz w:val="22"/>
          <w:szCs w:val="22"/>
        </w:rPr>
        <w:t xml:space="preserve"> (ed. rev.). Rockport Publishers.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Marcotte, E.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Responsive web design</w:t>
      </w:r>
      <w:r>
        <w:rPr>
          <w:rFonts w:ascii="Arial" w:cs="Arial" w:eastAsia="Arial" w:hAnsi="Arial"/>
          <w:sz w:val="22"/>
          <w:szCs w:val="22"/>
        </w:rPr>
        <w:t xml:space="preserve">. A Book Apart.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Nielsen, J. (2024, 30 de enero).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10 usability heuristics for user interface design</w:t>
      </w:r>
      <w:r>
        <w:rPr>
          <w:rFonts w:ascii="Arial" w:cs="Arial" w:eastAsia="Arial" w:hAnsi="Arial"/>
          <w:sz w:val="22"/>
          <w:szCs w:val="22"/>
        </w:rPr>
        <w:t xml:space="preserve">. Nielsen Norman Group. https://www.nngroup.com/articles/ten-usability-heuristics/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Rudd, J., Stern, K. e Isensee, S. (1996). Low vs. high-fidelity prototyping debate.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Interactions, 3</w:t>
      </w:r>
      <w:r>
        <w:rPr>
          <w:rFonts w:ascii="Arial" w:cs="Arial" w:eastAsia="Arial" w:hAnsi="Arial"/>
          <w:sz w:val="22"/>
          <w:szCs w:val="22"/>
        </w:rPr>
        <w:t xml:space="preserve">(1), 76–85. https://doi.org/10.1145/223500.223514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Superintendencia Nacional de Aduanas y de Administración Tributaria.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Consulta RUC</w:t>
      </w:r>
      <w:r>
        <w:rPr>
          <w:rFonts w:ascii="Arial" w:cs="Arial" w:eastAsia="Arial" w:hAnsi="Arial"/>
          <w:sz w:val="22"/>
          <w:szCs w:val="22"/>
        </w:rPr>
        <w:t xml:space="preserve">. https://e-consultaruc.sunat.gob.pe/</w:t>
      </w:r>
    </w:p>
    <w:p>
      <w:pPr>
        <w:spacing w:after="160" w:line="24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W3C.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Web Content Accessibility Guidelines (WCAG) 2.1</w:t>
      </w:r>
      <w:r>
        <w:rPr>
          <w:rFonts w:ascii="Arial" w:cs="Arial" w:eastAsia="Arial" w:hAnsi="Arial"/>
          <w:sz w:val="22"/>
          <w:szCs w:val="22"/>
        </w:rPr>
        <w:t xml:space="preserve">. https://www.w3.org/TR/WCAG21/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rez7rxlezynexeeyvkpx5" Type="http://schemas.openxmlformats.org/officeDocument/2006/relationships/hyperlink" Target="https://www.figma.com/design/r7taBmAX5zriHy6VkF2lPZ" TargetMode="External"/><Relationship Id="rId8" Type="http://schemas.openxmlformats.org/officeDocument/2006/relationships/image" Target="media/be602ded2d3b483e61c2749590befb15a601fbe0.png"/><Relationship Id="rId9" Type="http://schemas.openxmlformats.org/officeDocument/2006/relationships/image" Target="media/36ff72372df52933cf92f9ed80f4126e94fb6cca.png"/><Relationship Id="rId10" Type="http://schemas.openxmlformats.org/officeDocument/2006/relationships/image" Target="media/dbc2789401c837a17b81fee2f33ef8383f8e2e81.png"/><Relationship Id="rId11" Type="http://schemas.openxmlformats.org/officeDocument/2006/relationships/image" Target="media/8dabb6eb0b3b0e9dc900a0829e70c3b68d817a01.png"/><Relationship Id="rId12" Type="http://schemas.openxmlformats.org/officeDocument/2006/relationships/image" Target="media/1d7c2be6901565e5a133aa00f6d9141c81c02984.png"/><Relationship Id="rId13" Type="http://schemas.openxmlformats.org/officeDocument/2006/relationships/image" Target="media/27590137f12eedcbe674a26af4422c7f26aaed0a.png"/><Relationship Id="rId14" Type="http://schemas.openxmlformats.org/officeDocument/2006/relationships/image" Target="media/3606edeb94de5256876808acc378267879ba5234.png"/><Relationship Id="rId15" Type="http://schemas.openxmlformats.org/officeDocument/2006/relationships/image" Target="media/3e1424f831739f2b29deeb664f1517240ee57319.png"/><Relationship Id="rId16" Type="http://schemas.openxmlformats.org/officeDocument/2006/relationships/image" Target="media/b09219432b89c4f7e605159707fcfdf8ef06bda9.png"/><Relationship Id="rId17" Type="http://schemas.openxmlformats.org/officeDocument/2006/relationships/image" Target="media/49e76dc359210db1111c4bd6767ca94b3a66e8b4.png"/><Relationship Id="rId18" Type="http://schemas.openxmlformats.org/officeDocument/2006/relationships/image" Target="media/f1c8f3918c27e353aab82766e68747477814a279.png"/><Relationship Id="rId19" Type="http://schemas.openxmlformats.org/officeDocument/2006/relationships/image" Target="media/be0cc478e428cb1b330aac34d1b067213c9fd5bf.png"/><Relationship Id="rId20" Type="http://schemas.openxmlformats.org/officeDocument/2006/relationships/image" Target="media/68751407d1e7939f85591559718cceaa3a6475d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AC-S09-APF2 · Prototipos de alta fidelidad · Memo's Caffe</dc:title>
  <dc:creator>Equipo Memo's Caffe</dc:creator>
  <cp:lastModifiedBy>Un-named</cp:lastModifiedBy>
  <cp:revision>1</cp:revision>
  <dcterms:created xsi:type="dcterms:W3CDTF">2026-10-06T22:49:16.734Z</dcterms:created>
  <dcterms:modified xsi:type="dcterms:W3CDTF">2026-10-06T22:49:16.734Z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