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3366"/>
          <w:sz w:val="52"/>
        </w:rPr>
        <w:t>Enhanced Democratic Priority Score</w:t>
      </w:r>
    </w:p>
    <w:p>
      <w:pPr>
        <w:jc w:val="center"/>
      </w:pPr>
      <w:r>
        <w:rPr>
          <w:color w:val="505050"/>
          <w:sz w:val="28"/>
        </w:rPr>
        <w:t>A Data-Driven Composite Index for Campaign Resource Allocation</w:t>
        <w:br/>
        <w:t>Swing State Election Analysis: Pennsylvania, Michigan, North Carolina</w:t>
      </w:r>
    </w:p>
    <w:p>
      <w:pPr>
        <w:jc w:val="center"/>
      </w:pPr>
      <w:r>
        <w:rPr>
          <w:color w:val="646464"/>
          <w:sz w:val="22"/>
        </w:rPr>
        <w:br/>
        <w:t>Antoni Czolgowski | Data Lead</w:t>
        <w:br/>
        <w:t>CSCI 5502 Data Mining | Spring 2026 | University of Colorado Boulder</w:t>
        <w:br/>
        <w:t>April 2026</w:t>
      </w:r>
    </w:p>
    <w:p>
      <w:r>
        <w:br w:type="page"/>
      </w:r>
    </w:p>
    <w:p>
      <w:pPr>
        <w:pStyle w:val="Heading1"/>
      </w:pPr>
      <w:r>
        <w:rPr>
          <w:color w:val="000000"/>
        </w:rPr>
        <w:t>1. Executive Summary</w:t>
      </w:r>
    </w:p>
    <w:p>
      <w:r>
        <w:t>The Enhanced Democratic Priority Score (DPS) is a composite 0-1 index that ranks 250 counties across three critical swing states (Pennsylvania, Michigan, North Carolina) by their strategic value for Democratic campaign resource allocation. The score integrates six data-driven components derived from classification models, regression analysis, clustering archetypes, and temporal electoral trajectories.</w:t>
      </w:r>
    </w:p>
    <w:p>
      <w:r>
        <w:t>Key improvements over the previous version:</w:t>
      </w:r>
    </w:p>
    <w:p>
      <w:pPr>
        <w:pStyle w:val="ListBullet"/>
      </w:pPr>
      <w:r>
        <w:t>Integrates Random Forest predicted probability of high volatility (AUC = 0.828), capturing nonlinear demographic interactions that simple weighted sums cannot.</w:t>
      </w:r>
    </w:p>
    <w:p>
      <w:pPr>
        <w:pStyle w:val="ListBullet"/>
      </w:pPr>
      <w:r>
        <w:t>Replaces linear competitiveness function with exponential decay -- a county with a 20-point margin now scores 14% (not 80%) of a tied county.</w:t>
      </w:r>
    </w:p>
    <w:p>
      <w:pPr>
        <w:pStyle w:val="ListBullet"/>
      </w:pPr>
      <w:r>
        <w:t>Adds directional Democratic Opportunity signal -- counties trending toward Democrats in recent elections are prioritized over those trending away.</w:t>
      </w:r>
    </w:p>
    <w:p>
      <w:pPr>
        <w:pStyle w:val="ListBullet"/>
      </w:pPr>
      <w:r>
        <w:t>Uses log-transformed electoral weight, preventing mega-counties from dominating.</w:t>
      </w:r>
    </w:p>
    <w:p>
      <w:pPr>
        <w:pStyle w:val="ListBullet"/>
      </w:pPr>
      <w:r>
        <w:t>Incorporates K-Means cluster membership as a persuadability modifier, reflecting county archetype context (e.g., "Poor &amp; Diverse" clusters are 86% highly volatile).</w:t>
      </w:r>
    </w:p>
    <w:p>
      <w:pPr>
        <w:pStyle w:val="ListBullet"/>
      </w:pPr>
      <w:r>
        <w:t>Direction-adjusts misfit scores: "Surprise Dem" counties are boosted 1.3x (empirically 2x more volatile than "Surprise Rep" misfits).</w:t>
      </w:r>
    </w:p>
    <w:p>
      <w:r>
        <w:br/>
        <w:t>The #1 priority county is Bucks County, PA (DPS = 0.734) -- 802,000 votes, essentially tied (-0.1% margin), and classified as Highly Volatile. The top 10 includes 5 PA counties (Bucks, Lehigh, Northampton, Monroe, Dauphin), 3 NC counties (Cabarrus, New Hanover, Wilson), and 2 MI counties (Kent, Oakland).</w:t>
      </w:r>
    </w:p>
    <w:p>
      <w:pPr>
        <w:pStyle w:val="Heading1"/>
      </w:pPr>
      <w:r>
        <w:rPr>
          <w:color w:val="000000"/>
        </w:rPr>
        <w:t>2. Motivation: Why the Previous Score Needed Enhancement</w:t>
      </w:r>
    </w:p>
    <w:p>
      <w:r>
        <w:t>The Milestone 3 priority score used four components with manually selected weights:</w:t>
      </w:r>
    </w:p>
    <w:p>
      <w:r>
        <w:t>priority = 0.30 x volatility + 0.25 x misfit + 0.25 x vote_volume + 0.20 x margin_closeness</w:t>
      </w:r>
    </w:p>
    <w:p>
      <w:r>
        <w:t>This formula had four specific weaknesses:</w:t>
      </w:r>
    </w:p>
    <w:p>
      <w:r>
        <w:rPr>
          <w:b/>
        </w:rPr>
        <w:t xml:space="preserve">Arbitrary weights: </w:t>
      </w:r>
      <w:r>
        <w:t>The 0.30/0.25/0.25/0.20 split was not grounded in any empirical result. Feature ablation shows Race/Ethnicity features alone cause the largest F1 drop (0.092), while Economic features are dispensable -- yet the original score weighted all components roughly equally.</w:t>
      </w:r>
    </w:p>
    <w:p>
      <w:r>
        <w:rPr>
          <w:b/>
        </w:rPr>
        <w:t xml:space="preserve">No ML integration: </w:t>
      </w:r>
      <w:r>
        <w:t>The Random Forest classifier achieves AUC = 0.828 and captures critical nonlinear interactions (diversity x density, education x urbanization), but its predicted probabilities were never incorporated into the score.</w:t>
      </w:r>
    </w:p>
    <w:p>
      <w:r>
        <w:rPr>
          <w:b/>
        </w:rPr>
        <w:t xml:space="preserve">No directional signal: </w:t>
      </w:r>
      <w:r>
        <w:t>A county drifting steadily toward Republicans is fundamentally different from one trending toward Democrats. The original score treated all volatility identically regardless of direction.</w:t>
      </w:r>
    </w:p>
    <w:p>
      <w:r>
        <w:rPr>
          <w:b/>
        </w:rPr>
        <w:t xml:space="preserve">Linear competitiveness: </w:t>
      </w:r>
      <w:r>
        <w:t>The formula (100 - |margin|)/100 gives a +20pp county 80% of a tied county's competitiveness score. No campaign would allocate resources that way -- a +20 county is essentially unwinnable/safe.</w:t>
      </w:r>
    </w:p>
    <w:p>
      <w:r>
        <w:br w:type="page"/>
      </w:r>
    </w:p>
    <w:p>
      <w:pPr>
        <w:pStyle w:val="Heading1"/>
      </w:pPr>
      <w:r>
        <w:rPr>
          <w:color w:val="000000"/>
        </w:rPr>
        <w:t>3. Methodology: The 6-Component Enhanced Score</w:t>
      </w:r>
    </w:p>
    <w:p>
      <w:r>
        <w:t>The Enhanced DPS decomposes into six sub-scores, each normalized to 0-1, combined with data-driven weights summing to 1.0:</w:t>
      </w:r>
    </w:p>
    <w:p>
      <w:r>
        <w:t>DPS = 0.20 x S_persuadability + 0.20 x S_electoral_weight + 0.20 x S_competitiveness + 0.20 x S_predicted_volatility + 0.10 x S_dem_opportunity + 0.10 x S_misfit</w:t>
      </w:r>
    </w:p>
    <w:p>
      <w:pPr>
        <w:pStyle w:val="Heading2"/>
      </w:pPr>
      <w:r>
        <w:rPr>
          <w:color w:val="000000"/>
        </w:rPr>
        <w:t>3.1 Weight Rationale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Weight</w:t>
            </w:r>
          </w:p>
        </w:tc>
        <w:tc>
          <w:tcPr>
            <w:tcW w:type="dxa" w:w="2880"/>
          </w:tcPr>
          <w:p>
            <w:r>
              <w:rPr>
                <w:b/>
                <w:sz w:val="18"/>
              </w:rPr>
              <w:t>Justification</w:t>
            </w:r>
          </w:p>
        </w:tc>
      </w:tr>
      <w:tr>
        <w:tc>
          <w:tcPr>
            <w:tcW w:type="dxa" w:w="2880"/>
          </w:tcPr>
          <w:p>
            <w:r>
              <w:rPr>
                <w:sz w:val="18"/>
              </w:rPr>
              <w:t>S_persuadability</w:t>
            </w:r>
          </w:p>
        </w:tc>
        <w:tc>
          <w:tcPr>
            <w:tcW w:type="dxa" w:w="2880"/>
          </w:tcPr>
          <w:p>
            <w:r>
              <w:rPr>
                <w:sz w:val="18"/>
              </w:rPr>
              <w:t>0.20</w:t>
            </w:r>
          </w:p>
        </w:tc>
        <w:tc>
          <w:tcPr>
            <w:tcW w:type="dxa" w:w="2880"/>
          </w:tcPr>
          <w:p>
            <w:r>
              <w:rPr>
                <w:sz w:val="18"/>
              </w:rPr>
              <w:t>Diversity threshold (OR=7.15) + cluster archetype context</w:t>
            </w:r>
          </w:p>
        </w:tc>
      </w:tr>
      <w:tr>
        <w:tc>
          <w:tcPr>
            <w:tcW w:type="dxa" w:w="2880"/>
          </w:tcPr>
          <w:p>
            <w:r>
              <w:rPr>
                <w:sz w:val="18"/>
              </w:rPr>
              <w:t>S_electoral_weight</w:t>
            </w:r>
          </w:p>
        </w:tc>
        <w:tc>
          <w:tcPr>
            <w:tcW w:type="dxa" w:w="2880"/>
          </w:tcPr>
          <w:p>
            <w:r>
              <w:rPr>
                <w:sz w:val="18"/>
              </w:rPr>
              <w:t>0.20</w:t>
            </w:r>
          </w:p>
        </w:tc>
        <w:tc>
          <w:tcPr>
            <w:tcW w:type="dxa" w:w="2880"/>
          </w:tcPr>
          <w:p>
            <w:r>
              <w:rPr>
                <w:sz w:val="18"/>
              </w:rPr>
              <w:t>Academic literature: vote volume is half the resource allocation equation</w:t>
            </w:r>
          </w:p>
        </w:tc>
      </w:tr>
      <w:tr>
        <w:tc>
          <w:tcPr>
            <w:tcW w:type="dxa" w:w="2880"/>
          </w:tcPr>
          <w:p>
            <w:r>
              <w:rPr>
                <w:sz w:val="18"/>
              </w:rPr>
              <w:t>S_competitiveness</w:t>
            </w:r>
          </w:p>
        </w:tc>
        <w:tc>
          <w:tcPr>
            <w:tcW w:type="dxa" w:w="2880"/>
          </w:tcPr>
          <w:p>
            <w:r>
              <w:rPr>
                <w:sz w:val="18"/>
              </w:rPr>
              <w:t>0.20</w:t>
            </w:r>
          </w:p>
        </w:tc>
        <w:tc>
          <w:tcPr>
            <w:tcW w:type="dxa" w:w="2880"/>
          </w:tcPr>
          <w:p>
            <w:r>
              <w:rPr>
                <w:sz w:val="18"/>
              </w:rPr>
              <w:t>Academic literature: competitiveness is the other half</w:t>
            </w:r>
          </w:p>
        </w:tc>
      </w:tr>
      <w:tr>
        <w:tc>
          <w:tcPr>
            <w:tcW w:type="dxa" w:w="2880"/>
          </w:tcPr>
          <w:p>
            <w:r>
              <w:rPr>
                <w:sz w:val="18"/>
              </w:rPr>
              <w:t>S_predicted_volatility</w:t>
            </w:r>
          </w:p>
        </w:tc>
        <w:tc>
          <w:tcPr>
            <w:tcW w:type="dxa" w:w="2880"/>
          </w:tcPr>
          <w:p>
            <w:r>
              <w:rPr>
                <w:sz w:val="18"/>
              </w:rPr>
              <w:t>0.20</w:t>
            </w:r>
          </w:p>
        </w:tc>
        <w:tc>
          <w:tcPr>
            <w:tcW w:type="dxa" w:w="2880"/>
          </w:tcPr>
          <w:p>
            <w:r>
              <w:rPr>
                <w:sz w:val="18"/>
              </w:rPr>
              <w:t>RF model (AUC=0.828) integrates all 28 features + interactions</w:t>
            </w:r>
          </w:p>
        </w:tc>
      </w:tr>
      <w:tr>
        <w:tc>
          <w:tcPr>
            <w:tcW w:type="dxa" w:w="2880"/>
          </w:tcPr>
          <w:p>
            <w:r>
              <w:rPr>
                <w:sz w:val="18"/>
              </w:rPr>
              <w:t>S_dem_opportunity</w:t>
            </w:r>
          </w:p>
        </w:tc>
        <w:tc>
          <w:tcPr>
            <w:tcW w:type="dxa" w:w="2880"/>
          </w:tcPr>
          <w:p>
            <w:r>
              <w:rPr>
                <w:sz w:val="18"/>
              </w:rPr>
              <w:t>0.10</w:t>
            </w:r>
          </w:p>
        </w:tc>
        <w:tc>
          <w:tcPr>
            <w:tcW w:type="dxa" w:w="2880"/>
          </w:tcPr>
          <w:p>
            <w:r>
              <w:rPr>
                <w:sz w:val="18"/>
              </w:rPr>
              <w:t>Directional signal; lower weight because backward-looking</w:t>
            </w:r>
          </w:p>
        </w:tc>
      </w:tr>
      <w:tr>
        <w:tc>
          <w:tcPr>
            <w:tcW w:type="dxa" w:w="2880"/>
          </w:tcPr>
          <w:p>
            <w:r>
              <w:rPr>
                <w:sz w:val="18"/>
              </w:rPr>
              <w:t>S_misfit</w:t>
            </w:r>
          </w:p>
        </w:tc>
        <w:tc>
          <w:tcPr>
            <w:tcW w:type="dxa" w:w="2880"/>
          </w:tcPr>
          <w:p>
            <w:r>
              <w:rPr>
                <w:sz w:val="18"/>
              </w:rPr>
              <w:t>0.10</w:t>
            </w:r>
          </w:p>
        </w:tc>
        <w:tc>
          <w:tcPr>
            <w:tcW w:type="dxa" w:w="2880"/>
          </w:tcPr>
          <w:p>
            <w:r>
              <w:rPr>
                <w:sz w:val="18"/>
              </w:rPr>
              <w:t>Captures "surprise" counties; overlaps with other ML components</w:t>
            </w:r>
          </w:p>
        </w:tc>
      </w:tr>
    </w:tbl>
    <w:p>
      <w:r>
        <w:br/>
        <w:t>The core four components receive equal weight (0.20 each), reflecting both academic campaign theory (competitiveness x electoral weight) and data mining results (persuadability and predicted volatility). The two supplementary signals receive 0.10 each because they are either backward-looking (opportunity) or partially redundant with other components (misfit).</w:t>
      </w:r>
    </w:p>
    <w:p>
      <w:pPr>
        <w:pStyle w:val="Heading2"/>
      </w:pPr>
      <w:r>
        <w:rPr>
          <w:color w:val="000000"/>
        </w:rPr>
        <w:t>3.2 Sub-Score Definitions</w:t>
      </w:r>
    </w:p>
    <w:p>
      <w:pPr>
        <w:pStyle w:val="Heading3"/>
      </w:pPr>
      <w:r>
        <w:rPr>
          <w:color w:val="000000"/>
        </w:rPr>
        <w:t>S1: Persuadability Score</w:t>
      </w:r>
    </w:p>
    <w:p>
      <w:r>
        <w:t>Captures whether a county's electorate is likely to be persuadable, combining the diversity threshold discovery with K-Means cluster context.</w:t>
      </w:r>
    </w:p>
    <w:p>
      <w:r>
        <w:t>Formula: S1 = 0.60 x sigmoid((race_entropy_norm - 0.552) x 10) + 0.40 x cluster_vol_rate_norm</w:t>
      </w:r>
    </w:p>
    <w:p>
      <w:r>
        <w:t>The sigmoid function creates a soft step at the empirically identified diversity threshold of 0.552 (where counties become 7.15x more likely to be highly volatile). The cluster component maps each county's K-Means cluster to its observed high-volatility rate: Cluster 2 "Poor &amp; Diverse" = 86%, Cluster 4 "Educated Urban" = 73%, Cluster 0 "High-Diversity Urban" = 62%, Cluster 1 "Affluent Stable" = 49%, Cluster 3 "Rural Stable" = 26%.</w:t>
      </w:r>
    </w:p>
    <w:p>
      <w:pPr>
        <w:pStyle w:val="Heading3"/>
      </w:pPr>
      <w:r>
        <w:rPr>
          <w:color w:val="000000"/>
        </w:rPr>
        <w:t>S2: Electoral Weight Score</w:t>
      </w:r>
    </w:p>
    <w:p>
      <w:r>
        <w:t>Formula: S2 = MinMaxScale(log(1 + total_votes_2024))</w:t>
      </w:r>
    </w:p>
    <w:p>
      <w:r>
        <w:t>Log-transformation prevents the top 5 mega-counties (Allegheny PA with 1.4M votes, Oakland MI with 772K) from compressing 245 of 250 counties into the bottom of the scale. A county with 100K votes scores meaningfully higher than one with 10K, but not 10x higher -- approximately 2x with the log transform.</w:t>
      </w:r>
    </w:p>
    <w:p>
      <w:pPr>
        <w:pStyle w:val="Heading3"/>
      </w:pPr>
      <w:r>
        <w:rPr>
          <w:color w:val="000000"/>
        </w:rPr>
        <w:t>S3: Competitiveness Score</w:t>
      </w:r>
    </w:p>
    <w:p>
      <w:r>
        <w:t>Formula: S3 = exp(-|dem_margin_2024| / 10)</w:t>
      </w:r>
    </w:p>
    <w:p>
      <w:r>
        <w:t>Exponential decay with tau = 10 percentage points. Score mapping: 0pp margin = 1.00, 5pp = 0.61, 10pp = 0.37, 20pp = 0.14, 40pp = 0.02. This reflects campaign reality: resources deployed in a +20pp county are largely wasted.</w:t>
      </w:r>
    </w:p>
    <w:p>
      <w:pPr>
        <w:pStyle w:val="Heading3"/>
      </w:pPr>
      <w:r>
        <w:rPr>
          <w:color w:val="000000"/>
        </w:rPr>
        <w:t>S4: Predicted Volatility Score</w:t>
      </w:r>
    </w:p>
    <w:p>
      <w:r>
        <w:t>Formula: S4 = RF.predict_proba(28_demographic_features)[:, 1]</w:t>
      </w:r>
    </w:p>
    <w:p>
      <w:r>
        <w:t>A Random Forest classifier (500 trees, max_depth=8, AUC=0.828) is trained to predict binary high/low volatility from 28 scaled demographic features. The predicted probability P(high volatility) is already on a 0-1 scale. This is the most powerful individual component because it captures ALL nonlinear feature interactions -- diversity x density, education x urbanization, rent x poverty -- that no linear formula can.</w:t>
      </w:r>
    </w:p>
    <w:p>
      <w:pPr>
        <w:pStyle w:val="Heading3"/>
      </w:pPr>
      <w:r>
        <w:rPr>
          <w:color w:val="000000"/>
        </w:rPr>
        <w:t>S5: Democratic Opportunity Score</w:t>
      </w:r>
    </w:p>
    <w:p>
      <w:r>
        <w:t>Formula: S5 = MinMaxScale(0.65 x d_20_24 + 0.35 x d_16_20)</w:t>
      </w:r>
    </w:p>
    <w:p>
      <w:r>
        <w:t>Positive d_20_24 means the county shifted toward Democrats in the most recent election cycle. The 65/35 weighting favors recency. This component is weighted at only 0.10 because past trajectory does not reliably predict future direction -- Blue Bounceback (2020 Biden surge reversing in 2024) is the most common pattern at 47% of counties.</w:t>
      </w:r>
    </w:p>
    <w:p>
      <w:pPr>
        <w:pStyle w:val="Heading3"/>
      </w:pPr>
      <w:r>
        <w:rPr>
          <w:color w:val="000000"/>
        </w:rPr>
        <w:t>S6: Demographic Misfit Score</w:t>
      </w:r>
    </w:p>
    <w:p>
      <w:r>
        <w:t>Formula: S6 = MinMaxScale(direction_adjusted_misfit)</w:t>
      </w:r>
    </w:p>
    <w:p>
      <w:r>
        <w:t>The misfit score (|actual_winner - P(Dem)| from logistic regression) is adjusted by direction: "Surprise Dem" counties (model predicted Republican, voted Democrat) receive a 1.3x multiplier, "Surprise Rep" counties receive 0.7x. This reflects the empirical finding that Surprise Dem misfits have average volatility of 0.807, double that of Surprise Rep misfits (0.383). Examples: Leelanau MI (misfit = 0.96, demographics say Republican, votes Democrat +8%).</w:t>
      </w:r>
    </w:p>
    <w:p>
      <w:r>
        <w:br w:type="page"/>
      </w:r>
    </w:p>
    <w:p>
      <w:pPr>
        <w:pStyle w:val="Heading1"/>
      </w:pPr>
      <w:r>
        <w:rPr>
          <w:color w:val="000000"/>
        </w:rPr>
        <w:t>4. Data Sources &amp; Integration</w:t>
      </w:r>
    </w:p>
    <w:p>
      <w:r>
        <w:t>The enhanced score integrates outputs from across the entire project pipeline: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Data Source</w:t>
            </w:r>
          </w:p>
        </w:tc>
        <w:tc>
          <w:tcPr>
            <w:tcW w:type="dxa" w:w="2880"/>
          </w:tcPr>
          <w:p>
            <w:r>
              <w:rPr>
                <w:b/>
                <w:sz w:val="18"/>
              </w:rPr>
              <w:t>File</w:t>
            </w:r>
          </w:p>
        </w:tc>
        <w:tc>
          <w:tcPr>
            <w:tcW w:type="dxa" w:w="2880"/>
          </w:tcPr>
          <w:p>
            <w:r>
              <w:rPr>
                <w:b/>
                <w:sz w:val="18"/>
              </w:rPr>
              <w:t>Key Variables Used</w:t>
            </w:r>
          </w:p>
        </w:tc>
      </w:tr>
      <w:tr>
        <w:tc>
          <w:tcPr>
            <w:tcW w:type="dxa" w:w="2880"/>
          </w:tcPr>
          <w:p>
            <w:r>
              <w:rPr>
                <w:sz w:val="18"/>
              </w:rPr>
              <w:t>Raw Election Data (2024)</w:t>
            </w:r>
          </w:p>
        </w:tc>
        <w:tc>
          <w:tcPr>
            <w:tcW w:type="dxa" w:w="2880"/>
          </w:tcPr>
          <w:p>
            <w:r>
              <w:rPr>
                <w:sz w:val="18"/>
              </w:rPr>
              <w:t>master_dataset.csv</w:t>
            </w:r>
          </w:p>
        </w:tc>
        <w:tc>
          <w:tcPr>
            <w:tcW w:type="dxa" w:w="2880"/>
          </w:tcPr>
          <w:p>
            <w:r>
              <w:rPr>
                <w:sz w:val="18"/>
              </w:rPr>
              <w:t>dem_margin (pp), total_votes, total_population</w:t>
            </w:r>
          </w:p>
        </w:tc>
      </w:tr>
      <w:tr>
        <w:tc>
          <w:tcPr>
            <w:tcW w:type="dxa" w:w="2880"/>
          </w:tcPr>
          <w:p>
            <w:r>
              <w:rPr>
                <w:sz w:val="18"/>
              </w:rPr>
              <w:t>Scaled Demographics (2024)</w:t>
            </w:r>
          </w:p>
        </w:tc>
        <w:tc>
          <w:tcPr>
            <w:tcW w:type="dxa" w:w="2880"/>
          </w:tcPr>
          <w:p>
            <w:r>
              <w:rPr>
                <w:sz w:val="18"/>
              </w:rPr>
              <w:t>master_dataset_scaled.csv</w:t>
            </w:r>
          </w:p>
        </w:tc>
        <w:tc>
          <w:tcPr>
            <w:tcW w:type="dxa" w:w="2880"/>
          </w:tcPr>
          <w:p>
            <w:r>
              <w:rPr>
                <w:sz w:val="18"/>
              </w:rPr>
              <w:t>race_entropy_norm (raw 0-1 scale)</w:t>
            </w:r>
          </w:p>
        </w:tc>
      </w:tr>
      <w:tr>
        <w:tc>
          <w:tcPr>
            <w:tcW w:type="dxa" w:w="2880"/>
          </w:tcPr>
          <w:p>
            <w:r>
              <w:rPr>
                <w:sz w:val="18"/>
              </w:rPr>
              <w:t>Classification Features</w:t>
            </w:r>
          </w:p>
        </w:tc>
        <w:tc>
          <w:tcPr>
            <w:tcW w:type="dxa" w:w="2880"/>
          </w:tcPr>
          <w:p>
            <w:r>
              <w:rPr>
                <w:sz w:val="18"/>
              </w:rPr>
              <w:t>classification_dataset_250.csv</w:t>
            </w:r>
          </w:p>
        </w:tc>
        <w:tc>
          <w:tcPr>
            <w:tcW w:type="dxa" w:w="2880"/>
          </w:tcPr>
          <w:p>
            <w:r>
              <w:rPr>
                <w:sz w:val="18"/>
              </w:rPr>
              <w:t>28 z-scored demographic features, vol_binary</w:t>
            </w:r>
          </w:p>
        </w:tc>
      </w:tr>
      <w:tr>
        <w:tc>
          <w:tcPr>
            <w:tcW w:type="dxa" w:w="2880"/>
          </w:tcPr>
          <w:p>
            <w:r>
              <w:rPr>
                <w:sz w:val="18"/>
              </w:rPr>
              <w:t>Volatility Metrics</w:t>
            </w:r>
          </w:p>
        </w:tc>
        <w:tc>
          <w:tcPr>
            <w:tcW w:type="dxa" w:w="2880"/>
          </w:tcPr>
          <w:p>
            <w:r>
              <w:rPr>
                <w:sz w:val="18"/>
              </w:rPr>
              <w:t>county_volatility_dimTable.csv</w:t>
            </w:r>
          </w:p>
        </w:tc>
        <w:tc>
          <w:tcPr>
            <w:tcW w:type="dxa" w:w="2880"/>
          </w:tcPr>
          <w:p>
            <w:r>
              <w:rPr>
                <w:sz w:val="18"/>
              </w:rPr>
              <w:t>d_16_20, d_20_24 (swing direction/magnitude)</w:t>
            </w:r>
          </w:p>
        </w:tc>
      </w:tr>
      <w:tr>
        <w:tc>
          <w:tcPr>
            <w:tcW w:type="dxa" w:w="2880"/>
          </w:tcPr>
          <w:p>
            <w:r>
              <w:rPr>
                <w:sz w:val="18"/>
              </w:rPr>
              <w:t>K-Means Clusters</w:t>
            </w:r>
          </w:p>
        </w:tc>
        <w:tc>
          <w:tcPr>
            <w:tcW w:type="dxa" w:w="2880"/>
          </w:tcPr>
          <w:p>
            <w:r>
              <w:rPr>
                <w:sz w:val="18"/>
              </w:rPr>
              <w:t>kmeans_clusters.csv</w:t>
            </w:r>
          </w:p>
        </w:tc>
        <w:tc>
          <w:tcPr>
            <w:tcW w:type="dxa" w:w="2880"/>
          </w:tcPr>
          <w:p>
            <w:r>
              <w:rPr>
                <w:sz w:val="18"/>
              </w:rPr>
              <w:t>kmeans_cluster_label (5 clusters)</w:t>
            </w:r>
          </w:p>
        </w:tc>
      </w:tr>
      <w:tr>
        <w:tc>
          <w:tcPr>
            <w:tcW w:type="dxa" w:w="2880"/>
          </w:tcPr>
          <w:p>
            <w:r>
              <w:rPr>
                <w:sz w:val="18"/>
              </w:rPr>
              <w:t>Classification Predictions</w:t>
            </w:r>
          </w:p>
        </w:tc>
        <w:tc>
          <w:tcPr>
            <w:tcW w:type="dxa" w:w="2880"/>
          </w:tcPr>
          <w:p>
            <w:r>
              <w:rPr>
                <w:sz w:val="18"/>
              </w:rPr>
              <w:t>classification_predictions.csv</w:t>
            </w:r>
          </w:p>
        </w:tc>
        <w:tc>
          <w:tcPr>
            <w:tcW w:type="dxa" w:w="2880"/>
          </w:tcPr>
          <w:p>
            <w:r>
              <w:rPr>
                <w:sz w:val="18"/>
              </w:rPr>
              <w:t>p_dem, misfit_score (logistic regression)</w:t>
            </w:r>
          </w:p>
        </w:tc>
      </w:tr>
      <w:tr>
        <w:tc>
          <w:tcPr>
            <w:tcW w:type="dxa" w:w="2880"/>
          </w:tcPr>
          <w:p>
            <w:r>
              <w:rPr>
                <w:sz w:val="18"/>
              </w:rPr>
              <w:t>Old Priority Scores</w:t>
            </w:r>
          </w:p>
        </w:tc>
        <w:tc>
          <w:tcPr>
            <w:tcW w:type="dxa" w:w="2880"/>
          </w:tcPr>
          <w:p>
            <w:r>
              <w:rPr>
                <w:sz w:val="18"/>
              </w:rPr>
              <w:t>campaign_priority_rankings.csv</w:t>
            </w:r>
          </w:p>
        </w:tc>
        <w:tc>
          <w:tcPr>
            <w:tcW w:type="dxa" w:w="2880"/>
          </w:tcPr>
          <w:p>
            <w:r>
              <w:rPr>
                <w:sz w:val="18"/>
              </w:rPr>
              <w:t>priority_score (Milestone 3, for comparison)</w:t>
            </w:r>
          </w:p>
        </w:tc>
      </w:tr>
    </w:tbl>
    <w:p>
      <w:r>
        <w:br/>
        <w:t>All datasets are merged on county_fips (5-digit FIPS code). The master_dataset is filtered to election_year = 2024 for current-state features.</w:t>
      </w:r>
    </w:p>
    <w:p>
      <w:pPr>
        <w:pStyle w:val="Heading2"/>
      </w:pPr>
      <w:r>
        <w:rPr>
          <w:color w:val="000000"/>
        </w:rPr>
        <w:t>4.1 Integration of Project Analysis Results</w:t>
      </w:r>
    </w:p>
    <w:p>
      <w:r>
        <w:rPr>
          <w:b/>
        </w:rPr>
        <w:t xml:space="preserve">Classification (Random Forest): </w:t>
      </w:r>
      <w:r>
        <w:t>P(high volatility) from RF binary classifier becomes S4. The model captures nonlinear interactions between race_entropy_norm, log_median_gross_rent, pct_bachelors_plus, and population density that are invisible to linear combinations.</w:t>
      </w:r>
    </w:p>
    <w:p>
      <w:r>
        <w:rPr>
          <w:b/>
        </w:rPr>
        <w:t xml:space="preserve">Regression (Linear Regression): </w:t>
      </w:r>
      <w:r>
        <w:t>Regression coefficients informed the choice of components and their relative importance. The universal significance of log_median_gross_rent (beta = 0.88, strongest across all states) is captured through the RF model. State-specific signatures (PA: diversity-driven, MI: education-driven, NC: poverty-driven) are implicitly encoded in the RF predicted probabilities.</w:t>
      </w:r>
    </w:p>
    <w:p>
      <w:r>
        <w:rPr>
          <w:b/>
        </w:rPr>
        <w:t xml:space="preserve">Clustering (K-Means, k=5): </w:t>
      </w:r>
      <w:r>
        <w:t>Cluster membership directly feeds S1 (Persuadability) as a modifier. Each cluster's observed high-volatility rate maps to the persuadability score, so a county in "Poor &amp; Diverse" (Cluster 2, 86% high vol) gets a higher persuadability boost than one in "Rural Stable" (Cluster 3, 26% high vol).</w:t>
      </w:r>
    </w:p>
    <w:p>
      <w:r>
        <w:rPr>
          <w:b/>
        </w:rPr>
        <w:t xml:space="preserve">Temporal Analysis: </w:t>
      </w:r>
      <w:r>
        <w:t>Swing direction data (d_16_20, d_20_24) from volatility dimension table becomes S5. Trajectory classification (Blue Bounceback, Steady Red Drift, etc.) informed the decision to weight this component at only 0.10.</w:t>
      </w:r>
    </w:p>
    <w:p>
      <w:r>
        <w:rPr>
          <w:b/>
        </w:rPr>
        <w:t xml:space="preserve">Misfit Detector: </w:t>
      </w:r>
      <w:r>
        <w:t>The logistic regression misfit score becomes S6, with direction adjustment based on the finding that Surprise Dem misfits are 2x more volatile than Surprise Rep.</w:t>
      </w:r>
    </w:p>
    <w:p>
      <w:r>
        <w:rPr>
          <w:b/>
        </w:rPr>
        <w:t xml:space="preserve">Diversity Threshold: </w:t>
      </w:r>
      <w:r>
        <w:t>The race_entropy_norm threshold of 0.552 (OR = 7.15, bootstrap CI [0.397, 0.642]) is the core of S1, implemented as a soft sigmoid to capture the step-function relationship.</w:t>
      </w:r>
    </w:p>
    <w:p>
      <w:r>
        <w:br w:type="page"/>
      </w:r>
    </w:p>
    <w:p>
      <w:pPr>
        <w:pStyle w:val="Heading1"/>
      </w:pPr>
      <w:r>
        <w:rPr>
          <w:color w:val="000000"/>
        </w:rPr>
        <w:t>5. Results</w:t>
      </w:r>
    </w:p>
    <w:p>
      <w:pPr>
        <w:pStyle w:val="Heading2"/>
      </w:pPr>
      <w:r>
        <w:rPr>
          <w:color w:val="000000"/>
        </w:rPr>
        <w:t>5.1 Top 10 Democratic Priority Counties (Overall)</w:t>
      </w:r>
    </w:p>
    <w:tbl>
      <w:tblPr>
        <w:tblStyle w:val="LightGrid-Accent1"/>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t>Rank</w:t>
            </w:r>
          </w:p>
        </w:tc>
        <w:tc>
          <w:tcPr>
            <w:tcW w:type="dxa" w:w="720"/>
          </w:tcPr>
          <w:p>
            <w:r>
              <w:rPr>
                <w:b/>
                <w:sz w:val="18"/>
              </w:rPr>
              <w:t>County</w:t>
            </w:r>
          </w:p>
        </w:tc>
        <w:tc>
          <w:tcPr>
            <w:tcW w:type="dxa" w:w="720"/>
          </w:tcPr>
          <w:p>
            <w:r>
              <w:rPr>
                <w:b/>
                <w:sz w:val="18"/>
              </w:rPr>
              <w:t>State</w:t>
            </w:r>
          </w:p>
        </w:tc>
        <w:tc>
          <w:tcPr>
            <w:tcW w:type="dxa" w:w="720"/>
          </w:tcPr>
          <w:p>
            <w:r>
              <w:rPr>
                <w:b/>
                <w:sz w:val="18"/>
              </w:rPr>
              <w:t>DPS</w:t>
            </w:r>
          </w:p>
        </w:tc>
        <w:tc>
          <w:tcPr>
            <w:tcW w:type="dxa" w:w="720"/>
          </w:tcPr>
          <w:p>
            <w:r>
              <w:rPr>
                <w:b/>
                <w:sz w:val="18"/>
              </w:rPr>
              <w:t>Persuad.</w:t>
            </w:r>
          </w:p>
        </w:tc>
        <w:tc>
          <w:tcPr>
            <w:tcW w:type="dxa" w:w="720"/>
          </w:tcPr>
          <w:p>
            <w:r>
              <w:rPr>
                <w:b/>
                <w:sz w:val="18"/>
              </w:rPr>
              <w:t>Elec.Wt</w:t>
            </w:r>
          </w:p>
        </w:tc>
        <w:tc>
          <w:tcPr>
            <w:tcW w:type="dxa" w:w="720"/>
          </w:tcPr>
          <w:p>
            <w:r>
              <w:rPr>
                <w:b/>
                <w:sz w:val="18"/>
              </w:rPr>
              <w:t>Compet.</w:t>
            </w:r>
          </w:p>
        </w:tc>
        <w:tc>
          <w:tcPr>
            <w:tcW w:type="dxa" w:w="720"/>
          </w:tcPr>
          <w:p>
            <w:r>
              <w:rPr>
                <w:b/>
                <w:sz w:val="18"/>
              </w:rPr>
              <w:t>Pred.Vol</w:t>
            </w:r>
          </w:p>
        </w:tc>
        <w:tc>
          <w:tcPr>
            <w:tcW w:type="dxa" w:w="720"/>
          </w:tcPr>
          <w:p>
            <w:r>
              <w:rPr>
                <w:b/>
                <w:sz w:val="18"/>
              </w:rPr>
              <w:t>Dem.Opp</w:t>
            </w:r>
          </w:p>
        </w:tc>
        <w:tc>
          <w:tcPr>
            <w:tcW w:type="dxa" w:w="720"/>
          </w:tcPr>
          <w:p>
            <w:r>
              <w:rPr>
                <w:b/>
                <w:sz w:val="18"/>
              </w:rPr>
              <w:t>Misfit</w:t>
            </w:r>
          </w:p>
        </w:tc>
        <w:tc>
          <w:tcPr>
            <w:tcW w:type="dxa" w:w="720"/>
          </w:tcPr>
          <w:p>
            <w:r>
              <w:rPr>
                <w:b/>
                <w:sz w:val="18"/>
              </w:rPr>
              <w:t>Margin</w:t>
            </w:r>
          </w:p>
        </w:tc>
        <w:tc>
          <w:tcPr>
            <w:tcW w:type="dxa" w:w="720"/>
          </w:tcPr>
          <w:p>
            <w:r>
              <w:rPr>
                <w:b/>
                <w:sz w:val="18"/>
              </w:rPr>
              <w:t>Votes</w:t>
            </w:r>
          </w:p>
        </w:tc>
      </w:tr>
      <w:tr>
        <w:tc>
          <w:tcPr>
            <w:tcW w:type="dxa" w:w="720"/>
          </w:tcPr>
          <w:p>
            <w:r>
              <w:rPr>
                <w:sz w:val="18"/>
              </w:rPr>
              <w:t>1</w:t>
            </w:r>
          </w:p>
        </w:tc>
        <w:tc>
          <w:tcPr>
            <w:tcW w:type="dxa" w:w="720"/>
          </w:tcPr>
          <w:p>
            <w:r>
              <w:rPr>
                <w:sz w:val="18"/>
              </w:rPr>
              <w:t>Bucks</w:t>
            </w:r>
          </w:p>
        </w:tc>
        <w:tc>
          <w:tcPr>
            <w:tcW w:type="dxa" w:w="720"/>
          </w:tcPr>
          <w:p>
            <w:r>
              <w:rPr>
                <w:sz w:val="18"/>
              </w:rPr>
              <w:t>PA</w:t>
            </w:r>
          </w:p>
        </w:tc>
        <w:tc>
          <w:tcPr>
            <w:tcW w:type="dxa" w:w="720"/>
          </w:tcPr>
          <w:p>
            <w:r>
              <w:rPr>
                <w:sz w:val="18"/>
              </w:rPr>
              <w:t>0.734</w:t>
            </w:r>
          </w:p>
        </w:tc>
        <w:tc>
          <w:tcPr>
            <w:tcW w:type="dxa" w:w="720"/>
          </w:tcPr>
          <w:p>
            <w:r>
              <w:rPr>
                <w:sz w:val="18"/>
              </w:rPr>
              <w:t>0.383</w:t>
            </w:r>
          </w:p>
        </w:tc>
        <w:tc>
          <w:tcPr>
            <w:tcW w:type="dxa" w:w="720"/>
          </w:tcPr>
          <w:p>
            <w:r>
              <w:rPr>
                <w:sz w:val="18"/>
              </w:rPr>
              <w:t>0.914</w:t>
            </w:r>
          </w:p>
        </w:tc>
        <w:tc>
          <w:tcPr>
            <w:tcW w:type="dxa" w:w="720"/>
          </w:tcPr>
          <w:p>
            <w:r>
              <w:rPr>
                <w:sz w:val="18"/>
              </w:rPr>
              <w:t>0.993</w:t>
            </w:r>
          </w:p>
        </w:tc>
        <w:tc>
          <w:tcPr>
            <w:tcW w:type="dxa" w:w="720"/>
          </w:tcPr>
          <w:p>
            <w:r>
              <w:rPr>
                <w:sz w:val="18"/>
              </w:rPr>
              <w:t>0.878</w:t>
            </w:r>
          </w:p>
        </w:tc>
        <w:tc>
          <w:tcPr>
            <w:tcW w:type="dxa" w:w="720"/>
          </w:tcPr>
          <w:p>
            <w:r>
              <w:rPr>
                <w:sz w:val="18"/>
              </w:rPr>
              <w:t>0.553</w:t>
            </w:r>
          </w:p>
        </w:tc>
        <w:tc>
          <w:tcPr>
            <w:tcW w:type="dxa" w:w="720"/>
          </w:tcPr>
          <w:p>
            <w:r>
              <w:rPr>
                <w:sz w:val="18"/>
              </w:rPr>
              <w:t>0.447</w:t>
            </w:r>
          </w:p>
        </w:tc>
        <w:tc>
          <w:tcPr>
            <w:tcW w:type="dxa" w:w="720"/>
          </w:tcPr>
          <w:p>
            <w:r>
              <w:rPr>
                <w:sz w:val="18"/>
              </w:rPr>
              <w:t>-0.1%</w:t>
            </w:r>
          </w:p>
        </w:tc>
        <w:tc>
          <w:tcPr>
            <w:tcW w:type="dxa" w:w="720"/>
          </w:tcPr>
          <w:p>
            <w:r>
              <w:rPr>
                <w:sz w:val="18"/>
              </w:rPr>
              <w:t>802,056</w:t>
            </w:r>
          </w:p>
        </w:tc>
      </w:tr>
      <w:tr>
        <w:tc>
          <w:tcPr>
            <w:tcW w:type="dxa" w:w="720"/>
          </w:tcPr>
          <w:p>
            <w:r>
              <w:rPr>
                <w:sz w:val="18"/>
              </w:rPr>
              <w:t>2</w:t>
            </w:r>
          </w:p>
        </w:tc>
        <w:tc>
          <w:tcPr>
            <w:tcW w:type="dxa" w:w="720"/>
          </w:tcPr>
          <w:p>
            <w:r>
              <w:rPr>
                <w:sz w:val="18"/>
              </w:rPr>
              <w:t>Lehigh</w:t>
            </w:r>
          </w:p>
        </w:tc>
        <w:tc>
          <w:tcPr>
            <w:tcW w:type="dxa" w:w="720"/>
          </w:tcPr>
          <w:p>
            <w:r>
              <w:rPr>
                <w:sz w:val="18"/>
              </w:rPr>
              <w:t>PA</w:t>
            </w:r>
          </w:p>
        </w:tc>
        <w:tc>
          <w:tcPr>
            <w:tcW w:type="dxa" w:w="720"/>
          </w:tcPr>
          <w:p>
            <w:r>
              <w:rPr>
                <w:sz w:val="18"/>
              </w:rPr>
              <w:t>0.702</w:t>
            </w:r>
          </w:p>
        </w:tc>
        <w:tc>
          <w:tcPr>
            <w:tcW w:type="dxa" w:w="720"/>
          </w:tcPr>
          <w:p>
            <w:r>
              <w:rPr>
                <w:sz w:val="18"/>
              </w:rPr>
              <w:t>0.728</w:t>
            </w:r>
          </w:p>
        </w:tc>
        <w:tc>
          <w:tcPr>
            <w:tcW w:type="dxa" w:w="720"/>
          </w:tcPr>
          <w:p>
            <w:r>
              <w:rPr>
                <w:sz w:val="18"/>
              </w:rPr>
              <w:t>0.804</w:t>
            </w:r>
          </w:p>
        </w:tc>
        <w:tc>
          <w:tcPr>
            <w:tcW w:type="dxa" w:w="720"/>
          </w:tcPr>
          <w:p>
            <w:r>
              <w:rPr>
                <w:sz w:val="18"/>
              </w:rPr>
              <w:t>0.764</w:t>
            </w:r>
          </w:p>
        </w:tc>
        <w:tc>
          <w:tcPr>
            <w:tcW w:type="dxa" w:w="720"/>
          </w:tcPr>
          <w:p>
            <w:r>
              <w:rPr>
                <w:sz w:val="18"/>
              </w:rPr>
              <w:t>0.851</w:t>
            </w:r>
          </w:p>
        </w:tc>
        <w:tc>
          <w:tcPr>
            <w:tcW w:type="dxa" w:w="720"/>
          </w:tcPr>
          <w:p>
            <w:r>
              <w:rPr>
                <w:sz w:val="18"/>
              </w:rPr>
              <w:t>0.520</w:t>
            </w:r>
          </w:p>
        </w:tc>
        <w:tc>
          <w:tcPr>
            <w:tcW w:type="dxa" w:w="720"/>
          </w:tcPr>
          <w:p>
            <w:r>
              <w:rPr>
                <w:sz w:val="18"/>
              </w:rPr>
              <w:t>0.208</w:t>
            </w:r>
          </w:p>
        </w:tc>
        <w:tc>
          <w:tcPr>
            <w:tcW w:type="dxa" w:w="720"/>
          </w:tcPr>
          <w:p>
            <w:r>
              <w:rPr>
                <w:sz w:val="18"/>
              </w:rPr>
              <w:t>+2.7%</w:t>
            </w:r>
          </w:p>
        </w:tc>
        <w:tc>
          <w:tcPr>
            <w:tcW w:type="dxa" w:w="720"/>
          </w:tcPr>
          <w:p>
            <w:r>
              <w:rPr>
                <w:sz w:val="18"/>
              </w:rPr>
              <w:t>379,620</w:t>
            </w:r>
          </w:p>
        </w:tc>
      </w:tr>
      <w:tr>
        <w:tc>
          <w:tcPr>
            <w:tcW w:type="dxa" w:w="720"/>
          </w:tcPr>
          <w:p>
            <w:r>
              <w:rPr>
                <w:sz w:val="18"/>
              </w:rPr>
              <w:t>3</w:t>
            </w:r>
          </w:p>
        </w:tc>
        <w:tc>
          <w:tcPr>
            <w:tcW w:type="dxa" w:w="720"/>
          </w:tcPr>
          <w:p>
            <w:r>
              <w:rPr>
                <w:sz w:val="18"/>
              </w:rPr>
              <w:t>Northampton</w:t>
            </w:r>
          </w:p>
        </w:tc>
        <w:tc>
          <w:tcPr>
            <w:tcW w:type="dxa" w:w="720"/>
          </w:tcPr>
          <w:p>
            <w:r>
              <w:rPr>
                <w:sz w:val="18"/>
              </w:rPr>
              <w:t>PA</w:t>
            </w:r>
          </w:p>
        </w:tc>
        <w:tc>
          <w:tcPr>
            <w:tcW w:type="dxa" w:w="720"/>
          </w:tcPr>
          <w:p>
            <w:r>
              <w:rPr>
                <w:sz w:val="18"/>
              </w:rPr>
              <w:t>0.702</w:t>
            </w:r>
          </w:p>
        </w:tc>
        <w:tc>
          <w:tcPr>
            <w:tcW w:type="dxa" w:w="720"/>
          </w:tcPr>
          <w:p>
            <w:r>
              <w:rPr>
                <w:sz w:val="18"/>
              </w:rPr>
              <w:t>0.524</w:t>
            </w:r>
          </w:p>
        </w:tc>
        <w:tc>
          <w:tcPr>
            <w:tcW w:type="dxa" w:w="720"/>
          </w:tcPr>
          <w:p>
            <w:r>
              <w:rPr>
                <w:sz w:val="18"/>
              </w:rPr>
              <w:t>0.794</w:t>
            </w:r>
          </w:p>
        </w:tc>
        <w:tc>
          <w:tcPr>
            <w:tcW w:type="dxa" w:w="720"/>
          </w:tcPr>
          <w:p>
            <w:r>
              <w:rPr>
                <w:sz w:val="18"/>
              </w:rPr>
              <w:t>0.837</w:t>
            </w:r>
          </w:p>
        </w:tc>
        <w:tc>
          <w:tcPr>
            <w:tcW w:type="dxa" w:w="720"/>
          </w:tcPr>
          <w:p>
            <w:r>
              <w:rPr>
                <w:sz w:val="18"/>
              </w:rPr>
              <w:t>0.844</w:t>
            </w:r>
          </w:p>
        </w:tc>
        <w:tc>
          <w:tcPr>
            <w:tcW w:type="dxa" w:w="720"/>
          </w:tcPr>
          <w:p>
            <w:r>
              <w:rPr>
                <w:sz w:val="18"/>
              </w:rPr>
              <w:t>0.649</w:t>
            </w:r>
          </w:p>
        </w:tc>
        <w:tc>
          <w:tcPr>
            <w:tcW w:type="dxa" w:w="720"/>
          </w:tcPr>
          <w:p>
            <w:r>
              <w:rPr>
                <w:sz w:val="18"/>
              </w:rPr>
              <w:t>0.368</w:t>
            </w:r>
          </w:p>
        </w:tc>
        <w:tc>
          <w:tcPr>
            <w:tcW w:type="dxa" w:w="720"/>
          </w:tcPr>
          <w:p>
            <w:r>
              <w:rPr>
                <w:sz w:val="18"/>
              </w:rPr>
              <w:t>-1.8%</w:t>
            </w:r>
          </w:p>
        </w:tc>
        <w:tc>
          <w:tcPr>
            <w:tcW w:type="dxa" w:w="720"/>
          </w:tcPr>
          <w:p>
            <w:r>
              <w:rPr>
                <w:sz w:val="18"/>
              </w:rPr>
              <w:t>356,430</w:t>
            </w:r>
          </w:p>
        </w:tc>
      </w:tr>
      <w:tr>
        <w:tc>
          <w:tcPr>
            <w:tcW w:type="dxa" w:w="720"/>
          </w:tcPr>
          <w:p>
            <w:r>
              <w:rPr>
                <w:sz w:val="18"/>
              </w:rPr>
              <w:t>4</w:t>
            </w:r>
          </w:p>
        </w:tc>
        <w:tc>
          <w:tcPr>
            <w:tcW w:type="dxa" w:w="720"/>
          </w:tcPr>
          <w:p>
            <w:r>
              <w:rPr>
                <w:sz w:val="18"/>
              </w:rPr>
              <w:t>Monroe</w:t>
            </w:r>
          </w:p>
        </w:tc>
        <w:tc>
          <w:tcPr>
            <w:tcW w:type="dxa" w:w="720"/>
          </w:tcPr>
          <w:p>
            <w:r>
              <w:rPr>
                <w:sz w:val="18"/>
              </w:rPr>
              <w:t>PA</w:t>
            </w:r>
          </w:p>
        </w:tc>
        <w:tc>
          <w:tcPr>
            <w:tcW w:type="dxa" w:w="720"/>
          </w:tcPr>
          <w:p>
            <w:r>
              <w:rPr>
                <w:sz w:val="18"/>
              </w:rPr>
              <w:t>0.688</w:t>
            </w:r>
          </w:p>
        </w:tc>
        <w:tc>
          <w:tcPr>
            <w:tcW w:type="dxa" w:w="720"/>
          </w:tcPr>
          <w:p>
            <w:r>
              <w:rPr>
                <w:sz w:val="18"/>
              </w:rPr>
              <w:t>0.754</w:t>
            </w:r>
          </w:p>
        </w:tc>
        <w:tc>
          <w:tcPr>
            <w:tcW w:type="dxa" w:w="720"/>
          </w:tcPr>
          <w:p>
            <w:r>
              <w:rPr>
                <w:sz w:val="18"/>
              </w:rPr>
              <w:t>0.686</w:t>
            </w:r>
          </w:p>
        </w:tc>
        <w:tc>
          <w:tcPr>
            <w:tcW w:type="dxa" w:w="720"/>
          </w:tcPr>
          <w:p>
            <w:r>
              <w:rPr>
                <w:sz w:val="18"/>
              </w:rPr>
              <w:t>0.925</w:t>
            </w:r>
          </w:p>
        </w:tc>
        <w:tc>
          <w:tcPr>
            <w:tcW w:type="dxa" w:w="720"/>
          </w:tcPr>
          <w:p>
            <w:r>
              <w:rPr>
                <w:sz w:val="18"/>
              </w:rPr>
              <w:t>0.680</w:t>
            </w:r>
          </w:p>
        </w:tc>
        <w:tc>
          <w:tcPr>
            <w:tcW w:type="dxa" w:w="720"/>
          </w:tcPr>
          <w:p>
            <w:r>
              <w:rPr>
                <w:sz w:val="18"/>
              </w:rPr>
              <w:t>0.490</w:t>
            </w:r>
          </w:p>
        </w:tc>
        <w:tc>
          <w:tcPr>
            <w:tcW w:type="dxa" w:w="720"/>
          </w:tcPr>
          <w:p>
            <w:r>
              <w:rPr>
                <w:sz w:val="18"/>
              </w:rPr>
              <w:t>0.301</w:t>
            </w:r>
          </w:p>
        </w:tc>
        <w:tc>
          <w:tcPr>
            <w:tcW w:type="dxa" w:w="720"/>
          </w:tcPr>
          <w:p>
            <w:r>
              <w:rPr>
                <w:sz w:val="18"/>
              </w:rPr>
              <w:t>-0.8%</w:t>
            </w:r>
          </w:p>
        </w:tc>
        <w:tc>
          <w:tcPr>
            <w:tcW w:type="dxa" w:w="720"/>
          </w:tcPr>
          <w:p>
            <w:r>
              <w:rPr>
                <w:sz w:val="18"/>
              </w:rPr>
              <w:t>171,050</w:t>
            </w:r>
          </w:p>
        </w:tc>
      </w:tr>
      <w:tr>
        <w:tc>
          <w:tcPr>
            <w:tcW w:type="dxa" w:w="720"/>
          </w:tcPr>
          <w:p>
            <w:r>
              <w:rPr>
                <w:sz w:val="18"/>
              </w:rPr>
              <w:t>5</w:t>
            </w:r>
          </w:p>
        </w:tc>
        <w:tc>
          <w:tcPr>
            <w:tcW w:type="dxa" w:w="720"/>
          </w:tcPr>
          <w:p>
            <w:r>
              <w:rPr>
                <w:sz w:val="18"/>
              </w:rPr>
              <w:t>Cabarrus</w:t>
            </w:r>
          </w:p>
        </w:tc>
        <w:tc>
          <w:tcPr>
            <w:tcW w:type="dxa" w:w="720"/>
          </w:tcPr>
          <w:p>
            <w:r>
              <w:rPr>
                <w:sz w:val="18"/>
              </w:rPr>
              <w:t>NC</w:t>
            </w:r>
          </w:p>
        </w:tc>
        <w:tc>
          <w:tcPr>
            <w:tcW w:type="dxa" w:w="720"/>
          </w:tcPr>
          <w:p>
            <w:r>
              <w:rPr>
                <w:sz w:val="18"/>
              </w:rPr>
              <w:t>0.678</w:t>
            </w:r>
          </w:p>
        </w:tc>
        <w:tc>
          <w:tcPr>
            <w:tcW w:type="dxa" w:w="720"/>
          </w:tcPr>
          <w:p>
            <w:r>
              <w:rPr>
                <w:sz w:val="18"/>
              </w:rPr>
              <w:t>0.708</w:t>
            </w:r>
          </w:p>
        </w:tc>
        <w:tc>
          <w:tcPr>
            <w:tcW w:type="dxa" w:w="720"/>
          </w:tcPr>
          <w:p>
            <w:r>
              <w:rPr>
                <w:sz w:val="18"/>
              </w:rPr>
              <w:t>0.634</w:t>
            </w:r>
          </w:p>
        </w:tc>
        <w:tc>
          <w:tcPr>
            <w:tcW w:type="dxa" w:w="720"/>
          </w:tcPr>
          <w:p>
            <w:r>
              <w:rPr>
                <w:sz w:val="18"/>
              </w:rPr>
              <w:t>0.463</w:t>
            </w:r>
          </w:p>
        </w:tc>
        <w:tc>
          <w:tcPr>
            <w:tcW w:type="dxa" w:w="720"/>
          </w:tcPr>
          <w:p>
            <w:r>
              <w:rPr>
                <w:sz w:val="18"/>
              </w:rPr>
              <w:t>0.875</w:t>
            </w:r>
          </w:p>
        </w:tc>
        <w:tc>
          <w:tcPr>
            <w:tcW w:type="dxa" w:w="720"/>
          </w:tcPr>
          <w:p>
            <w:r>
              <w:rPr>
                <w:sz w:val="18"/>
              </w:rPr>
              <w:t>0.932</w:t>
            </w:r>
          </w:p>
        </w:tc>
        <w:tc>
          <w:tcPr>
            <w:tcW w:type="dxa" w:w="720"/>
          </w:tcPr>
          <w:p>
            <w:r>
              <w:rPr>
                <w:sz w:val="18"/>
              </w:rPr>
              <w:t>0.487</w:t>
            </w:r>
          </w:p>
        </w:tc>
        <w:tc>
          <w:tcPr>
            <w:tcW w:type="dxa" w:w="720"/>
          </w:tcPr>
          <w:p>
            <w:r>
              <w:rPr>
                <w:sz w:val="18"/>
              </w:rPr>
              <w:t>-7.7%</w:t>
            </w:r>
          </w:p>
        </w:tc>
        <w:tc>
          <w:tcPr>
            <w:tcW w:type="dxa" w:w="720"/>
          </w:tcPr>
          <w:p>
            <w:r>
              <w:rPr>
                <w:sz w:val="18"/>
              </w:rPr>
              <w:t>120,202</w:t>
            </w:r>
          </w:p>
        </w:tc>
      </w:tr>
      <w:tr>
        <w:tc>
          <w:tcPr>
            <w:tcW w:type="dxa" w:w="720"/>
          </w:tcPr>
          <w:p>
            <w:r>
              <w:rPr>
                <w:sz w:val="18"/>
              </w:rPr>
              <w:t>6</w:t>
            </w:r>
          </w:p>
        </w:tc>
        <w:tc>
          <w:tcPr>
            <w:tcW w:type="dxa" w:w="720"/>
          </w:tcPr>
          <w:p>
            <w:r>
              <w:rPr>
                <w:sz w:val="18"/>
              </w:rPr>
              <w:t>Kent</w:t>
            </w:r>
          </w:p>
        </w:tc>
        <w:tc>
          <w:tcPr>
            <w:tcW w:type="dxa" w:w="720"/>
          </w:tcPr>
          <w:p>
            <w:r>
              <w:rPr>
                <w:sz w:val="18"/>
              </w:rPr>
              <w:t>MI</w:t>
            </w:r>
          </w:p>
        </w:tc>
        <w:tc>
          <w:tcPr>
            <w:tcW w:type="dxa" w:w="720"/>
          </w:tcPr>
          <w:p>
            <w:r>
              <w:rPr>
                <w:sz w:val="18"/>
              </w:rPr>
              <w:t>0.672</w:t>
            </w:r>
          </w:p>
        </w:tc>
        <w:tc>
          <w:tcPr>
            <w:tcW w:type="dxa" w:w="720"/>
          </w:tcPr>
          <w:p>
            <w:r>
              <w:rPr>
                <w:sz w:val="18"/>
              </w:rPr>
              <w:t>0.660</w:t>
            </w:r>
          </w:p>
        </w:tc>
        <w:tc>
          <w:tcPr>
            <w:tcW w:type="dxa" w:w="720"/>
          </w:tcPr>
          <w:p>
            <w:r>
              <w:rPr>
                <w:sz w:val="18"/>
              </w:rPr>
              <w:t>0.801</w:t>
            </w:r>
          </w:p>
        </w:tc>
        <w:tc>
          <w:tcPr>
            <w:tcW w:type="dxa" w:w="720"/>
          </w:tcPr>
          <w:p>
            <w:r>
              <w:rPr>
                <w:sz w:val="18"/>
              </w:rPr>
              <w:t>0.585</w:t>
            </w:r>
          </w:p>
        </w:tc>
        <w:tc>
          <w:tcPr>
            <w:tcW w:type="dxa" w:w="720"/>
          </w:tcPr>
          <w:p>
            <w:r>
              <w:rPr>
                <w:sz w:val="18"/>
              </w:rPr>
              <w:t>0.828</w:t>
            </w:r>
          </w:p>
        </w:tc>
        <w:tc>
          <w:tcPr>
            <w:tcW w:type="dxa" w:w="720"/>
          </w:tcPr>
          <w:p>
            <w:r>
              <w:rPr>
                <w:sz w:val="18"/>
              </w:rPr>
              <w:t>0.814</w:t>
            </w:r>
          </w:p>
        </w:tc>
        <w:tc>
          <w:tcPr>
            <w:tcW w:type="dxa" w:w="720"/>
          </w:tcPr>
          <w:p>
            <w:r>
              <w:rPr>
                <w:sz w:val="18"/>
              </w:rPr>
              <w:t>0.159</w:t>
            </w:r>
          </w:p>
        </w:tc>
        <w:tc>
          <w:tcPr>
            <w:tcW w:type="dxa" w:w="720"/>
          </w:tcPr>
          <w:p>
            <w:r>
              <w:rPr>
                <w:sz w:val="18"/>
              </w:rPr>
              <w:t>+5.4%</w:t>
            </w:r>
          </w:p>
        </w:tc>
        <w:tc>
          <w:tcPr>
            <w:tcW w:type="dxa" w:w="720"/>
          </w:tcPr>
          <w:p>
            <w:r>
              <w:rPr>
                <w:sz w:val="18"/>
              </w:rPr>
              <w:t>371,947</w:t>
            </w:r>
          </w:p>
        </w:tc>
      </w:tr>
      <w:tr>
        <w:tc>
          <w:tcPr>
            <w:tcW w:type="dxa" w:w="720"/>
          </w:tcPr>
          <w:p>
            <w:r>
              <w:rPr>
                <w:sz w:val="18"/>
              </w:rPr>
              <w:t>7</w:t>
            </w:r>
          </w:p>
        </w:tc>
        <w:tc>
          <w:tcPr>
            <w:tcW w:type="dxa" w:w="720"/>
          </w:tcPr>
          <w:p>
            <w:r>
              <w:rPr>
                <w:sz w:val="18"/>
              </w:rPr>
              <w:t>New Hanover</w:t>
            </w:r>
          </w:p>
        </w:tc>
        <w:tc>
          <w:tcPr>
            <w:tcW w:type="dxa" w:w="720"/>
          </w:tcPr>
          <w:p>
            <w:r>
              <w:rPr>
                <w:sz w:val="18"/>
              </w:rPr>
              <w:t>NC</w:t>
            </w:r>
          </w:p>
        </w:tc>
        <w:tc>
          <w:tcPr>
            <w:tcW w:type="dxa" w:w="720"/>
          </w:tcPr>
          <w:p>
            <w:r>
              <w:rPr>
                <w:sz w:val="18"/>
              </w:rPr>
              <w:t>0.657</w:t>
            </w:r>
          </w:p>
        </w:tc>
        <w:tc>
          <w:tcPr>
            <w:tcW w:type="dxa" w:w="720"/>
          </w:tcPr>
          <w:p>
            <w:r>
              <w:rPr>
                <w:sz w:val="18"/>
              </w:rPr>
              <w:t>0.560</w:t>
            </w:r>
          </w:p>
        </w:tc>
        <w:tc>
          <w:tcPr>
            <w:tcW w:type="dxa" w:w="720"/>
          </w:tcPr>
          <w:p>
            <w:r>
              <w:rPr>
                <w:sz w:val="18"/>
              </w:rPr>
              <w:t>0.655</w:t>
            </w:r>
          </w:p>
        </w:tc>
        <w:tc>
          <w:tcPr>
            <w:tcW w:type="dxa" w:w="720"/>
          </w:tcPr>
          <w:p>
            <w:r>
              <w:rPr>
                <w:sz w:val="18"/>
              </w:rPr>
              <w:t>0.940</w:t>
            </w:r>
          </w:p>
        </w:tc>
        <w:tc>
          <w:tcPr>
            <w:tcW w:type="dxa" w:w="720"/>
          </w:tcPr>
          <w:p>
            <w:r>
              <w:rPr>
                <w:sz w:val="18"/>
              </w:rPr>
              <w:t>0.769</w:t>
            </w:r>
          </w:p>
        </w:tc>
        <w:tc>
          <w:tcPr>
            <w:tcW w:type="dxa" w:w="720"/>
          </w:tcPr>
          <w:p>
            <w:r>
              <w:rPr>
                <w:sz w:val="18"/>
              </w:rPr>
              <w:t>0.719</w:t>
            </w:r>
          </w:p>
        </w:tc>
        <w:tc>
          <w:tcPr>
            <w:tcW w:type="dxa" w:w="720"/>
          </w:tcPr>
          <w:p>
            <w:r>
              <w:rPr>
                <w:sz w:val="18"/>
              </w:rPr>
              <w:t>0.003</w:t>
            </w:r>
          </w:p>
        </w:tc>
        <w:tc>
          <w:tcPr>
            <w:tcW w:type="dxa" w:w="720"/>
          </w:tcPr>
          <w:p>
            <w:r>
              <w:rPr>
                <w:sz w:val="18"/>
              </w:rPr>
              <w:t>+0.6%</w:t>
            </w:r>
          </w:p>
        </w:tc>
        <w:tc>
          <w:tcPr>
            <w:tcW w:type="dxa" w:w="720"/>
          </w:tcPr>
          <w:p>
            <w:r>
              <w:rPr>
                <w:sz w:val="18"/>
              </w:rPr>
              <w:t>138,734</w:t>
            </w:r>
          </w:p>
        </w:tc>
      </w:tr>
      <w:tr>
        <w:tc>
          <w:tcPr>
            <w:tcW w:type="dxa" w:w="720"/>
          </w:tcPr>
          <w:p>
            <w:r>
              <w:rPr>
                <w:sz w:val="18"/>
              </w:rPr>
              <w:t>8</w:t>
            </w:r>
          </w:p>
        </w:tc>
        <w:tc>
          <w:tcPr>
            <w:tcW w:type="dxa" w:w="720"/>
          </w:tcPr>
          <w:p>
            <w:r>
              <w:rPr>
                <w:sz w:val="18"/>
              </w:rPr>
              <w:t>Oakland</w:t>
            </w:r>
          </w:p>
        </w:tc>
        <w:tc>
          <w:tcPr>
            <w:tcW w:type="dxa" w:w="720"/>
          </w:tcPr>
          <w:p>
            <w:r>
              <w:rPr>
                <w:sz w:val="18"/>
              </w:rPr>
              <w:t>MI</w:t>
            </w:r>
          </w:p>
        </w:tc>
        <w:tc>
          <w:tcPr>
            <w:tcW w:type="dxa" w:w="720"/>
          </w:tcPr>
          <w:p>
            <w:r>
              <w:rPr>
                <w:sz w:val="18"/>
              </w:rPr>
              <w:t>0.654</w:t>
            </w:r>
          </w:p>
        </w:tc>
        <w:tc>
          <w:tcPr>
            <w:tcW w:type="dxa" w:w="720"/>
          </w:tcPr>
          <w:p>
            <w:r>
              <w:rPr>
                <w:sz w:val="18"/>
              </w:rPr>
              <w:t>0.802</w:t>
            </w:r>
          </w:p>
        </w:tc>
        <w:tc>
          <w:tcPr>
            <w:tcW w:type="dxa" w:w="720"/>
          </w:tcPr>
          <w:p>
            <w:r>
              <w:rPr>
                <w:sz w:val="18"/>
              </w:rPr>
              <w:t>0.908</w:t>
            </w:r>
          </w:p>
        </w:tc>
        <w:tc>
          <w:tcPr>
            <w:tcW w:type="dxa" w:w="720"/>
          </w:tcPr>
          <w:p>
            <w:r>
              <w:rPr>
                <w:sz w:val="18"/>
              </w:rPr>
              <w:t>0.347</w:t>
            </w:r>
          </w:p>
        </w:tc>
        <w:tc>
          <w:tcPr>
            <w:tcW w:type="dxa" w:w="720"/>
          </w:tcPr>
          <w:p>
            <w:r>
              <w:rPr>
                <w:sz w:val="18"/>
              </w:rPr>
              <w:t>0.887</w:t>
            </w:r>
          </w:p>
        </w:tc>
        <w:tc>
          <w:tcPr>
            <w:tcW w:type="dxa" w:w="720"/>
          </w:tcPr>
          <w:p>
            <w:r>
              <w:rPr>
                <w:sz w:val="18"/>
              </w:rPr>
              <w:t>0.641</w:t>
            </w:r>
          </w:p>
        </w:tc>
        <w:tc>
          <w:tcPr>
            <w:tcW w:type="dxa" w:w="720"/>
          </w:tcPr>
          <w:p>
            <w:r>
              <w:rPr>
                <w:sz w:val="18"/>
              </w:rPr>
              <w:t>0.015</w:t>
            </w:r>
          </w:p>
        </w:tc>
        <w:tc>
          <w:tcPr>
            <w:tcW w:type="dxa" w:w="720"/>
          </w:tcPr>
          <w:p>
            <w:r>
              <w:rPr>
                <w:sz w:val="18"/>
              </w:rPr>
              <w:t>+10.6%</w:t>
            </w:r>
          </w:p>
        </w:tc>
        <w:tc>
          <w:tcPr>
            <w:tcW w:type="dxa" w:w="720"/>
          </w:tcPr>
          <w:p>
            <w:r>
              <w:rPr>
                <w:sz w:val="18"/>
              </w:rPr>
              <w:t>772,145</w:t>
            </w:r>
          </w:p>
        </w:tc>
      </w:tr>
      <w:tr>
        <w:tc>
          <w:tcPr>
            <w:tcW w:type="dxa" w:w="720"/>
          </w:tcPr>
          <w:p>
            <w:r>
              <w:rPr>
                <w:sz w:val="18"/>
              </w:rPr>
              <w:t>9</w:t>
            </w:r>
          </w:p>
        </w:tc>
        <w:tc>
          <w:tcPr>
            <w:tcW w:type="dxa" w:w="720"/>
          </w:tcPr>
          <w:p>
            <w:r>
              <w:rPr>
                <w:sz w:val="18"/>
              </w:rPr>
              <w:t>Dauphin</w:t>
            </w:r>
          </w:p>
        </w:tc>
        <w:tc>
          <w:tcPr>
            <w:tcW w:type="dxa" w:w="720"/>
          </w:tcPr>
          <w:p>
            <w:r>
              <w:rPr>
                <w:sz w:val="18"/>
              </w:rPr>
              <w:t>PA</w:t>
            </w:r>
          </w:p>
        </w:tc>
        <w:tc>
          <w:tcPr>
            <w:tcW w:type="dxa" w:w="720"/>
          </w:tcPr>
          <w:p>
            <w:r>
              <w:rPr>
                <w:sz w:val="18"/>
              </w:rPr>
              <w:t>0.643</w:t>
            </w:r>
          </w:p>
        </w:tc>
        <w:tc>
          <w:tcPr>
            <w:tcW w:type="dxa" w:w="720"/>
          </w:tcPr>
          <w:p>
            <w:r>
              <w:rPr>
                <w:sz w:val="18"/>
              </w:rPr>
              <w:t>0.782</w:t>
            </w:r>
          </w:p>
        </w:tc>
        <w:tc>
          <w:tcPr>
            <w:tcW w:type="dxa" w:w="720"/>
          </w:tcPr>
          <w:p>
            <w:r>
              <w:rPr>
                <w:sz w:val="18"/>
              </w:rPr>
              <w:t>0.768</w:t>
            </w:r>
          </w:p>
        </w:tc>
        <w:tc>
          <w:tcPr>
            <w:tcW w:type="dxa" w:w="720"/>
          </w:tcPr>
          <w:p>
            <w:r>
              <w:rPr>
                <w:sz w:val="18"/>
              </w:rPr>
              <w:t>0.553</w:t>
            </w:r>
          </w:p>
        </w:tc>
        <w:tc>
          <w:tcPr>
            <w:tcW w:type="dxa" w:w="720"/>
          </w:tcPr>
          <w:p>
            <w:r>
              <w:rPr>
                <w:sz w:val="18"/>
              </w:rPr>
              <w:t>0.705</w:t>
            </w:r>
          </w:p>
        </w:tc>
        <w:tc>
          <w:tcPr>
            <w:tcW w:type="dxa" w:w="720"/>
          </w:tcPr>
          <w:p>
            <w:r>
              <w:rPr>
                <w:sz w:val="18"/>
              </w:rPr>
              <w:t>0.667</w:t>
            </w:r>
          </w:p>
        </w:tc>
        <w:tc>
          <w:tcPr>
            <w:tcW w:type="dxa" w:w="720"/>
          </w:tcPr>
          <w:p>
            <w:r>
              <w:rPr>
                <w:sz w:val="18"/>
              </w:rPr>
              <w:t>0.146</w:t>
            </w:r>
          </w:p>
        </w:tc>
        <w:tc>
          <w:tcPr>
            <w:tcW w:type="dxa" w:w="720"/>
          </w:tcPr>
          <w:p>
            <w:r>
              <w:rPr>
                <w:sz w:val="18"/>
              </w:rPr>
              <w:t>+5.9%</w:t>
            </w:r>
          </w:p>
        </w:tc>
        <w:tc>
          <w:tcPr>
            <w:tcW w:type="dxa" w:w="720"/>
          </w:tcPr>
          <w:p>
            <w:r>
              <w:rPr>
                <w:sz w:val="18"/>
              </w:rPr>
              <w:t>299,052</w:t>
            </w:r>
          </w:p>
        </w:tc>
      </w:tr>
      <w:tr>
        <w:tc>
          <w:tcPr>
            <w:tcW w:type="dxa" w:w="720"/>
          </w:tcPr>
          <w:p>
            <w:r>
              <w:rPr>
                <w:sz w:val="18"/>
              </w:rPr>
              <w:t>10</w:t>
            </w:r>
          </w:p>
        </w:tc>
        <w:tc>
          <w:tcPr>
            <w:tcW w:type="dxa" w:w="720"/>
          </w:tcPr>
          <w:p>
            <w:r>
              <w:rPr>
                <w:sz w:val="18"/>
              </w:rPr>
              <w:t>Wilson</w:t>
            </w:r>
          </w:p>
        </w:tc>
        <w:tc>
          <w:tcPr>
            <w:tcW w:type="dxa" w:w="720"/>
          </w:tcPr>
          <w:p>
            <w:r>
              <w:rPr>
                <w:sz w:val="18"/>
              </w:rPr>
              <w:t>NC</w:t>
            </w:r>
          </w:p>
        </w:tc>
        <w:tc>
          <w:tcPr>
            <w:tcW w:type="dxa" w:w="720"/>
          </w:tcPr>
          <w:p>
            <w:r>
              <w:rPr>
                <w:sz w:val="18"/>
              </w:rPr>
              <w:t>0.639</w:t>
            </w:r>
          </w:p>
        </w:tc>
        <w:tc>
          <w:tcPr>
            <w:tcW w:type="dxa" w:w="720"/>
          </w:tcPr>
          <w:p>
            <w:r>
              <w:rPr>
                <w:sz w:val="18"/>
              </w:rPr>
              <w:t>0.940</w:t>
            </w:r>
          </w:p>
        </w:tc>
        <w:tc>
          <w:tcPr>
            <w:tcW w:type="dxa" w:w="720"/>
          </w:tcPr>
          <w:p>
            <w:r>
              <w:rPr>
                <w:sz w:val="18"/>
              </w:rPr>
              <w:t>0.473</w:t>
            </w:r>
          </w:p>
        </w:tc>
        <w:tc>
          <w:tcPr>
            <w:tcW w:type="dxa" w:w="720"/>
          </w:tcPr>
          <w:p>
            <w:r>
              <w:rPr>
                <w:sz w:val="18"/>
              </w:rPr>
              <w:t>0.961</w:t>
            </w:r>
          </w:p>
        </w:tc>
        <w:tc>
          <w:tcPr>
            <w:tcW w:type="dxa" w:w="720"/>
          </w:tcPr>
          <w:p>
            <w:r>
              <w:rPr>
                <w:sz w:val="18"/>
              </w:rPr>
              <w:t>0.374</w:t>
            </w:r>
          </w:p>
        </w:tc>
        <w:tc>
          <w:tcPr>
            <w:tcW w:type="dxa" w:w="720"/>
          </w:tcPr>
          <w:p>
            <w:r>
              <w:rPr>
                <w:sz w:val="18"/>
              </w:rPr>
              <w:t>0.498</w:t>
            </w:r>
          </w:p>
        </w:tc>
        <w:tc>
          <w:tcPr>
            <w:tcW w:type="dxa" w:w="720"/>
          </w:tcPr>
          <w:p>
            <w:r>
              <w:rPr>
                <w:sz w:val="18"/>
              </w:rPr>
              <w:t>0.399</w:t>
            </w:r>
          </w:p>
        </w:tc>
        <w:tc>
          <w:tcPr>
            <w:tcW w:type="dxa" w:w="720"/>
          </w:tcPr>
          <w:p>
            <w:r>
              <w:rPr>
                <w:sz w:val="18"/>
              </w:rPr>
              <w:t>+0.4%</w:t>
            </w:r>
          </w:p>
        </w:tc>
        <w:tc>
          <w:tcPr>
            <w:tcW w:type="dxa" w:w="720"/>
          </w:tcPr>
          <w:p>
            <w:r>
              <w:rPr>
                <w:sz w:val="18"/>
              </w:rPr>
              <w:t>40,045</w:t>
            </w:r>
          </w:p>
        </w:tc>
      </w:tr>
    </w:tbl>
    <w:p>
      <w:r>
        <w:br/>
        <w:t>Bucks County, PA is the undisputed #1 target: 802,000 votes, virtually tied (-0.1%), and classified as Highly Volatile. Its S_competitiveness score (0.993) is the highest in the dataset. The top 4 counties are all in the Philadelphia suburban corridor (Bucks, Lehigh, Northampton, Monroe) -- the decisive PA battleground.</w:t>
      </w:r>
    </w:p>
    <w:p>
      <w:pPr>
        <w:pStyle w:val="Heading2"/>
      </w:pPr>
      <w:r>
        <w:rPr>
          <w:color w:val="000000"/>
        </w:rPr>
        <w:t>5.2 Top 5 -- Pennsylvania</w:t>
      </w:r>
    </w:p>
    <w:tbl>
      <w:tblPr>
        <w:tblStyle w:val="LightGrid-Accent1"/>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t>Rank</w:t>
            </w:r>
          </w:p>
        </w:tc>
        <w:tc>
          <w:tcPr>
            <w:tcW w:type="dxa" w:w="720"/>
          </w:tcPr>
          <w:p>
            <w:r>
              <w:rPr>
                <w:b/>
                <w:sz w:val="18"/>
              </w:rPr>
              <w:t>County</w:t>
            </w:r>
          </w:p>
        </w:tc>
        <w:tc>
          <w:tcPr>
            <w:tcW w:type="dxa" w:w="720"/>
          </w:tcPr>
          <w:p>
            <w:r>
              <w:rPr>
                <w:b/>
                <w:sz w:val="18"/>
              </w:rPr>
              <w:t>State</w:t>
            </w:r>
          </w:p>
        </w:tc>
        <w:tc>
          <w:tcPr>
            <w:tcW w:type="dxa" w:w="720"/>
          </w:tcPr>
          <w:p>
            <w:r>
              <w:rPr>
                <w:b/>
                <w:sz w:val="18"/>
              </w:rPr>
              <w:t>DPS</w:t>
            </w:r>
          </w:p>
        </w:tc>
        <w:tc>
          <w:tcPr>
            <w:tcW w:type="dxa" w:w="720"/>
          </w:tcPr>
          <w:p>
            <w:r>
              <w:rPr>
                <w:b/>
                <w:sz w:val="18"/>
              </w:rPr>
              <w:t>Persuad.</w:t>
            </w:r>
          </w:p>
        </w:tc>
        <w:tc>
          <w:tcPr>
            <w:tcW w:type="dxa" w:w="720"/>
          </w:tcPr>
          <w:p>
            <w:r>
              <w:rPr>
                <w:b/>
                <w:sz w:val="18"/>
              </w:rPr>
              <w:t>Elec.Wt</w:t>
            </w:r>
          </w:p>
        </w:tc>
        <w:tc>
          <w:tcPr>
            <w:tcW w:type="dxa" w:w="720"/>
          </w:tcPr>
          <w:p>
            <w:r>
              <w:rPr>
                <w:b/>
                <w:sz w:val="18"/>
              </w:rPr>
              <w:t>Compet.</w:t>
            </w:r>
          </w:p>
        </w:tc>
        <w:tc>
          <w:tcPr>
            <w:tcW w:type="dxa" w:w="720"/>
          </w:tcPr>
          <w:p>
            <w:r>
              <w:rPr>
                <w:b/>
                <w:sz w:val="18"/>
              </w:rPr>
              <w:t>Pred.Vol</w:t>
            </w:r>
          </w:p>
        </w:tc>
        <w:tc>
          <w:tcPr>
            <w:tcW w:type="dxa" w:w="720"/>
          </w:tcPr>
          <w:p>
            <w:r>
              <w:rPr>
                <w:b/>
                <w:sz w:val="18"/>
              </w:rPr>
              <w:t>Dem.Opp</w:t>
            </w:r>
          </w:p>
        </w:tc>
        <w:tc>
          <w:tcPr>
            <w:tcW w:type="dxa" w:w="720"/>
          </w:tcPr>
          <w:p>
            <w:r>
              <w:rPr>
                <w:b/>
                <w:sz w:val="18"/>
              </w:rPr>
              <w:t>Misfit</w:t>
            </w:r>
          </w:p>
        </w:tc>
        <w:tc>
          <w:tcPr>
            <w:tcW w:type="dxa" w:w="720"/>
          </w:tcPr>
          <w:p>
            <w:r>
              <w:rPr>
                <w:b/>
                <w:sz w:val="18"/>
              </w:rPr>
              <w:t>Margin</w:t>
            </w:r>
          </w:p>
        </w:tc>
        <w:tc>
          <w:tcPr>
            <w:tcW w:type="dxa" w:w="720"/>
          </w:tcPr>
          <w:p>
            <w:r>
              <w:rPr>
                <w:b/>
                <w:sz w:val="18"/>
              </w:rPr>
              <w:t>Votes</w:t>
            </w:r>
          </w:p>
        </w:tc>
      </w:tr>
      <w:tr>
        <w:tc>
          <w:tcPr>
            <w:tcW w:type="dxa" w:w="720"/>
          </w:tcPr>
          <w:p>
            <w:r>
              <w:rPr>
                <w:sz w:val="18"/>
              </w:rPr>
              <w:t>1</w:t>
            </w:r>
          </w:p>
        </w:tc>
        <w:tc>
          <w:tcPr>
            <w:tcW w:type="dxa" w:w="720"/>
          </w:tcPr>
          <w:p>
            <w:r>
              <w:rPr>
                <w:sz w:val="18"/>
              </w:rPr>
              <w:t>Bucks</w:t>
            </w:r>
          </w:p>
        </w:tc>
        <w:tc>
          <w:tcPr>
            <w:tcW w:type="dxa" w:w="720"/>
          </w:tcPr>
          <w:p>
            <w:r>
              <w:rPr>
                <w:sz w:val="18"/>
              </w:rPr>
              <w:t>PA</w:t>
            </w:r>
          </w:p>
        </w:tc>
        <w:tc>
          <w:tcPr>
            <w:tcW w:type="dxa" w:w="720"/>
          </w:tcPr>
          <w:p>
            <w:r>
              <w:rPr>
                <w:sz w:val="18"/>
              </w:rPr>
              <w:t>0.734</w:t>
            </w:r>
          </w:p>
        </w:tc>
        <w:tc>
          <w:tcPr>
            <w:tcW w:type="dxa" w:w="720"/>
          </w:tcPr>
          <w:p>
            <w:r>
              <w:rPr>
                <w:sz w:val="18"/>
              </w:rPr>
              <w:t>0.383</w:t>
            </w:r>
          </w:p>
        </w:tc>
        <w:tc>
          <w:tcPr>
            <w:tcW w:type="dxa" w:w="720"/>
          </w:tcPr>
          <w:p>
            <w:r>
              <w:rPr>
                <w:sz w:val="18"/>
              </w:rPr>
              <w:t>0.914</w:t>
            </w:r>
          </w:p>
        </w:tc>
        <w:tc>
          <w:tcPr>
            <w:tcW w:type="dxa" w:w="720"/>
          </w:tcPr>
          <w:p>
            <w:r>
              <w:rPr>
                <w:sz w:val="18"/>
              </w:rPr>
              <w:t>0.993</w:t>
            </w:r>
          </w:p>
        </w:tc>
        <w:tc>
          <w:tcPr>
            <w:tcW w:type="dxa" w:w="720"/>
          </w:tcPr>
          <w:p>
            <w:r>
              <w:rPr>
                <w:sz w:val="18"/>
              </w:rPr>
              <w:t>0.878</w:t>
            </w:r>
          </w:p>
        </w:tc>
        <w:tc>
          <w:tcPr>
            <w:tcW w:type="dxa" w:w="720"/>
          </w:tcPr>
          <w:p>
            <w:r>
              <w:rPr>
                <w:sz w:val="18"/>
              </w:rPr>
              <w:t>0.553</w:t>
            </w:r>
          </w:p>
        </w:tc>
        <w:tc>
          <w:tcPr>
            <w:tcW w:type="dxa" w:w="720"/>
          </w:tcPr>
          <w:p>
            <w:r>
              <w:rPr>
                <w:sz w:val="18"/>
              </w:rPr>
              <w:t>0.447</w:t>
            </w:r>
          </w:p>
        </w:tc>
        <w:tc>
          <w:tcPr>
            <w:tcW w:type="dxa" w:w="720"/>
          </w:tcPr>
          <w:p>
            <w:r>
              <w:rPr>
                <w:sz w:val="18"/>
              </w:rPr>
              <w:t>-0.1%</w:t>
            </w:r>
          </w:p>
        </w:tc>
        <w:tc>
          <w:tcPr>
            <w:tcW w:type="dxa" w:w="720"/>
          </w:tcPr>
          <w:p>
            <w:r>
              <w:rPr>
                <w:sz w:val="18"/>
              </w:rPr>
              <w:t>802,056</w:t>
            </w:r>
          </w:p>
        </w:tc>
      </w:tr>
      <w:tr>
        <w:tc>
          <w:tcPr>
            <w:tcW w:type="dxa" w:w="720"/>
          </w:tcPr>
          <w:p>
            <w:r>
              <w:rPr>
                <w:sz w:val="18"/>
              </w:rPr>
              <w:t>2</w:t>
            </w:r>
          </w:p>
        </w:tc>
        <w:tc>
          <w:tcPr>
            <w:tcW w:type="dxa" w:w="720"/>
          </w:tcPr>
          <w:p>
            <w:r>
              <w:rPr>
                <w:sz w:val="18"/>
              </w:rPr>
              <w:t>Lehigh</w:t>
            </w:r>
          </w:p>
        </w:tc>
        <w:tc>
          <w:tcPr>
            <w:tcW w:type="dxa" w:w="720"/>
          </w:tcPr>
          <w:p>
            <w:r>
              <w:rPr>
                <w:sz w:val="18"/>
              </w:rPr>
              <w:t>PA</w:t>
            </w:r>
          </w:p>
        </w:tc>
        <w:tc>
          <w:tcPr>
            <w:tcW w:type="dxa" w:w="720"/>
          </w:tcPr>
          <w:p>
            <w:r>
              <w:rPr>
                <w:sz w:val="18"/>
              </w:rPr>
              <w:t>0.702</w:t>
            </w:r>
          </w:p>
        </w:tc>
        <w:tc>
          <w:tcPr>
            <w:tcW w:type="dxa" w:w="720"/>
          </w:tcPr>
          <w:p>
            <w:r>
              <w:rPr>
                <w:sz w:val="18"/>
              </w:rPr>
              <w:t>0.728</w:t>
            </w:r>
          </w:p>
        </w:tc>
        <w:tc>
          <w:tcPr>
            <w:tcW w:type="dxa" w:w="720"/>
          </w:tcPr>
          <w:p>
            <w:r>
              <w:rPr>
                <w:sz w:val="18"/>
              </w:rPr>
              <w:t>0.804</w:t>
            </w:r>
          </w:p>
        </w:tc>
        <w:tc>
          <w:tcPr>
            <w:tcW w:type="dxa" w:w="720"/>
          </w:tcPr>
          <w:p>
            <w:r>
              <w:rPr>
                <w:sz w:val="18"/>
              </w:rPr>
              <w:t>0.764</w:t>
            </w:r>
          </w:p>
        </w:tc>
        <w:tc>
          <w:tcPr>
            <w:tcW w:type="dxa" w:w="720"/>
          </w:tcPr>
          <w:p>
            <w:r>
              <w:rPr>
                <w:sz w:val="18"/>
              </w:rPr>
              <w:t>0.851</w:t>
            </w:r>
          </w:p>
        </w:tc>
        <w:tc>
          <w:tcPr>
            <w:tcW w:type="dxa" w:w="720"/>
          </w:tcPr>
          <w:p>
            <w:r>
              <w:rPr>
                <w:sz w:val="18"/>
              </w:rPr>
              <w:t>0.520</w:t>
            </w:r>
          </w:p>
        </w:tc>
        <w:tc>
          <w:tcPr>
            <w:tcW w:type="dxa" w:w="720"/>
          </w:tcPr>
          <w:p>
            <w:r>
              <w:rPr>
                <w:sz w:val="18"/>
              </w:rPr>
              <w:t>0.208</w:t>
            </w:r>
          </w:p>
        </w:tc>
        <w:tc>
          <w:tcPr>
            <w:tcW w:type="dxa" w:w="720"/>
          </w:tcPr>
          <w:p>
            <w:r>
              <w:rPr>
                <w:sz w:val="18"/>
              </w:rPr>
              <w:t>+2.7%</w:t>
            </w:r>
          </w:p>
        </w:tc>
        <w:tc>
          <w:tcPr>
            <w:tcW w:type="dxa" w:w="720"/>
          </w:tcPr>
          <w:p>
            <w:r>
              <w:rPr>
                <w:sz w:val="18"/>
              </w:rPr>
              <w:t>379,620</w:t>
            </w:r>
          </w:p>
        </w:tc>
      </w:tr>
      <w:tr>
        <w:tc>
          <w:tcPr>
            <w:tcW w:type="dxa" w:w="720"/>
          </w:tcPr>
          <w:p>
            <w:r>
              <w:rPr>
                <w:sz w:val="18"/>
              </w:rPr>
              <w:t>3</w:t>
            </w:r>
          </w:p>
        </w:tc>
        <w:tc>
          <w:tcPr>
            <w:tcW w:type="dxa" w:w="720"/>
          </w:tcPr>
          <w:p>
            <w:r>
              <w:rPr>
                <w:sz w:val="18"/>
              </w:rPr>
              <w:t>Northampton</w:t>
            </w:r>
          </w:p>
        </w:tc>
        <w:tc>
          <w:tcPr>
            <w:tcW w:type="dxa" w:w="720"/>
          </w:tcPr>
          <w:p>
            <w:r>
              <w:rPr>
                <w:sz w:val="18"/>
              </w:rPr>
              <w:t>PA</w:t>
            </w:r>
          </w:p>
        </w:tc>
        <w:tc>
          <w:tcPr>
            <w:tcW w:type="dxa" w:w="720"/>
          </w:tcPr>
          <w:p>
            <w:r>
              <w:rPr>
                <w:sz w:val="18"/>
              </w:rPr>
              <w:t>0.702</w:t>
            </w:r>
          </w:p>
        </w:tc>
        <w:tc>
          <w:tcPr>
            <w:tcW w:type="dxa" w:w="720"/>
          </w:tcPr>
          <w:p>
            <w:r>
              <w:rPr>
                <w:sz w:val="18"/>
              </w:rPr>
              <w:t>0.524</w:t>
            </w:r>
          </w:p>
        </w:tc>
        <w:tc>
          <w:tcPr>
            <w:tcW w:type="dxa" w:w="720"/>
          </w:tcPr>
          <w:p>
            <w:r>
              <w:rPr>
                <w:sz w:val="18"/>
              </w:rPr>
              <w:t>0.794</w:t>
            </w:r>
          </w:p>
        </w:tc>
        <w:tc>
          <w:tcPr>
            <w:tcW w:type="dxa" w:w="720"/>
          </w:tcPr>
          <w:p>
            <w:r>
              <w:rPr>
                <w:sz w:val="18"/>
              </w:rPr>
              <w:t>0.837</w:t>
            </w:r>
          </w:p>
        </w:tc>
        <w:tc>
          <w:tcPr>
            <w:tcW w:type="dxa" w:w="720"/>
          </w:tcPr>
          <w:p>
            <w:r>
              <w:rPr>
                <w:sz w:val="18"/>
              </w:rPr>
              <w:t>0.844</w:t>
            </w:r>
          </w:p>
        </w:tc>
        <w:tc>
          <w:tcPr>
            <w:tcW w:type="dxa" w:w="720"/>
          </w:tcPr>
          <w:p>
            <w:r>
              <w:rPr>
                <w:sz w:val="18"/>
              </w:rPr>
              <w:t>0.649</w:t>
            </w:r>
          </w:p>
        </w:tc>
        <w:tc>
          <w:tcPr>
            <w:tcW w:type="dxa" w:w="720"/>
          </w:tcPr>
          <w:p>
            <w:r>
              <w:rPr>
                <w:sz w:val="18"/>
              </w:rPr>
              <w:t>0.368</w:t>
            </w:r>
          </w:p>
        </w:tc>
        <w:tc>
          <w:tcPr>
            <w:tcW w:type="dxa" w:w="720"/>
          </w:tcPr>
          <w:p>
            <w:r>
              <w:rPr>
                <w:sz w:val="18"/>
              </w:rPr>
              <w:t>-1.8%</w:t>
            </w:r>
          </w:p>
        </w:tc>
        <w:tc>
          <w:tcPr>
            <w:tcW w:type="dxa" w:w="720"/>
          </w:tcPr>
          <w:p>
            <w:r>
              <w:rPr>
                <w:sz w:val="18"/>
              </w:rPr>
              <w:t>356,430</w:t>
            </w:r>
          </w:p>
        </w:tc>
      </w:tr>
      <w:tr>
        <w:tc>
          <w:tcPr>
            <w:tcW w:type="dxa" w:w="720"/>
          </w:tcPr>
          <w:p>
            <w:r>
              <w:rPr>
                <w:sz w:val="18"/>
              </w:rPr>
              <w:t>4</w:t>
            </w:r>
          </w:p>
        </w:tc>
        <w:tc>
          <w:tcPr>
            <w:tcW w:type="dxa" w:w="720"/>
          </w:tcPr>
          <w:p>
            <w:r>
              <w:rPr>
                <w:sz w:val="18"/>
              </w:rPr>
              <w:t>Monroe</w:t>
            </w:r>
          </w:p>
        </w:tc>
        <w:tc>
          <w:tcPr>
            <w:tcW w:type="dxa" w:w="720"/>
          </w:tcPr>
          <w:p>
            <w:r>
              <w:rPr>
                <w:sz w:val="18"/>
              </w:rPr>
              <w:t>PA</w:t>
            </w:r>
          </w:p>
        </w:tc>
        <w:tc>
          <w:tcPr>
            <w:tcW w:type="dxa" w:w="720"/>
          </w:tcPr>
          <w:p>
            <w:r>
              <w:rPr>
                <w:sz w:val="18"/>
              </w:rPr>
              <w:t>0.688</w:t>
            </w:r>
          </w:p>
        </w:tc>
        <w:tc>
          <w:tcPr>
            <w:tcW w:type="dxa" w:w="720"/>
          </w:tcPr>
          <w:p>
            <w:r>
              <w:rPr>
                <w:sz w:val="18"/>
              </w:rPr>
              <w:t>0.754</w:t>
            </w:r>
          </w:p>
        </w:tc>
        <w:tc>
          <w:tcPr>
            <w:tcW w:type="dxa" w:w="720"/>
          </w:tcPr>
          <w:p>
            <w:r>
              <w:rPr>
                <w:sz w:val="18"/>
              </w:rPr>
              <w:t>0.686</w:t>
            </w:r>
          </w:p>
        </w:tc>
        <w:tc>
          <w:tcPr>
            <w:tcW w:type="dxa" w:w="720"/>
          </w:tcPr>
          <w:p>
            <w:r>
              <w:rPr>
                <w:sz w:val="18"/>
              </w:rPr>
              <w:t>0.925</w:t>
            </w:r>
          </w:p>
        </w:tc>
        <w:tc>
          <w:tcPr>
            <w:tcW w:type="dxa" w:w="720"/>
          </w:tcPr>
          <w:p>
            <w:r>
              <w:rPr>
                <w:sz w:val="18"/>
              </w:rPr>
              <w:t>0.680</w:t>
            </w:r>
          </w:p>
        </w:tc>
        <w:tc>
          <w:tcPr>
            <w:tcW w:type="dxa" w:w="720"/>
          </w:tcPr>
          <w:p>
            <w:r>
              <w:rPr>
                <w:sz w:val="18"/>
              </w:rPr>
              <w:t>0.490</w:t>
            </w:r>
          </w:p>
        </w:tc>
        <w:tc>
          <w:tcPr>
            <w:tcW w:type="dxa" w:w="720"/>
          </w:tcPr>
          <w:p>
            <w:r>
              <w:rPr>
                <w:sz w:val="18"/>
              </w:rPr>
              <w:t>0.301</w:t>
            </w:r>
          </w:p>
        </w:tc>
        <w:tc>
          <w:tcPr>
            <w:tcW w:type="dxa" w:w="720"/>
          </w:tcPr>
          <w:p>
            <w:r>
              <w:rPr>
                <w:sz w:val="18"/>
              </w:rPr>
              <w:t>-0.8%</w:t>
            </w:r>
          </w:p>
        </w:tc>
        <w:tc>
          <w:tcPr>
            <w:tcW w:type="dxa" w:w="720"/>
          </w:tcPr>
          <w:p>
            <w:r>
              <w:rPr>
                <w:sz w:val="18"/>
              </w:rPr>
              <w:t>171,050</w:t>
            </w:r>
          </w:p>
        </w:tc>
      </w:tr>
      <w:tr>
        <w:tc>
          <w:tcPr>
            <w:tcW w:type="dxa" w:w="720"/>
          </w:tcPr>
          <w:p>
            <w:r>
              <w:rPr>
                <w:sz w:val="18"/>
              </w:rPr>
              <w:t>5</w:t>
            </w:r>
          </w:p>
        </w:tc>
        <w:tc>
          <w:tcPr>
            <w:tcW w:type="dxa" w:w="720"/>
          </w:tcPr>
          <w:p>
            <w:r>
              <w:rPr>
                <w:sz w:val="18"/>
              </w:rPr>
              <w:t>Dauphin</w:t>
            </w:r>
          </w:p>
        </w:tc>
        <w:tc>
          <w:tcPr>
            <w:tcW w:type="dxa" w:w="720"/>
          </w:tcPr>
          <w:p>
            <w:r>
              <w:rPr>
                <w:sz w:val="18"/>
              </w:rPr>
              <w:t>PA</w:t>
            </w:r>
          </w:p>
        </w:tc>
        <w:tc>
          <w:tcPr>
            <w:tcW w:type="dxa" w:w="720"/>
          </w:tcPr>
          <w:p>
            <w:r>
              <w:rPr>
                <w:sz w:val="18"/>
              </w:rPr>
              <w:t>0.643</w:t>
            </w:r>
          </w:p>
        </w:tc>
        <w:tc>
          <w:tcPr>
            <w:tcW w:type="dxa" w:w="720"/>
          </w:tcPr>
          <w:p>
            <w:r>
              <w:rPr>
                <w:sz w:val="18"/>
              </w:rPr>
              <w:t>0.782</w:t>
            </w:r>
          </w:p>
        </w:tc>
        <w:tc>
          <w:tcPr>
            <w:tcW w:type="dxa" w:w="720"/>
          </w:tcPr>
          <w:p>
            <w:r>
              <w:rPr>
                <w:sz w:val="18"/>
              </w:rPr>
              <w:t>0.768</w:t>
            </w:r>
          </w:p>
        </w:tc>
        <w:tc>
          <w:tcPr>
            <w:tcW w:type="dxa" w:w="720"/>
          </w:tcPr>
          <w:p>
            <w:r>
              <w:rPr>
                <w:sz w:val="18"/>
              </w:rPr>
              <w:t>0.553</w:t>
            </w:r>
          </w:p>
        </w:tc>
        <w:tc>
          <w:tcPr>
            <w:tcW w:type="dxa" w:w="720"/>
          </w:tcPr>
          <w:p>
            <w:r>
              <w:rPr>
                <w:sz w:val="18"/>
              </w:rPr>
              <w:t>0.705</w:t>
            </w:r>
          </w:p>
        </w:tc>
        <w:tc>
          <w:tcPr>
            <w:tcW w:type="dxa" w:w="720"/>
          </w:tcPr>
          <w:p>
            <w:r>
              <w:rPr>
                <w:sz w:val="18"/>
              </w:rPr>
              <w:t>0.667</w:t>
            </w:r>
          </w:p>
        </w:tc>
        <w:tc>
          <w:tcPr>
            <w:tcW w:type="dxa" w:w="720"/>
          </w:tcPr>
          <w:p>
            <w:r>
              <w:rPr>
                <w:sz w:val="18"/>
              </w:rPr>
              <w:t>0.146</w:t>
            </w:r>
          </w:p>
        </w:tc>
        <w:tc>
          <w:tcPr>
            <w:tcW w:type="dxa" w:w="720"/>
          </w:tcPr>
          <w:p>
            <w:r>
              <w:rPr>
                <w:sz w:val="18"/>
              </w:rPr>
              <w:t>+5.9%</w:t>
            </w:r>
          </w:p>
        </w:tc>
        <w:tc>
          <w:tcPr>
            <w:tcW w:type="dxa" w:w="720"/>
          </w:tcPr>
          <w:p>
            <w:r>
              <w:rPr>
                <w:sz w:val="18"/>
              </w:rPr>
              <w:t>299,052</w:t>
            </w:r>
          </w:p>
        </w:tc>
      </w:tr>
    </w:tbl>
    <w:p>
      <w:r>
        <w:br/>
        <w:t>Pennsylvania dominates the top 10, with 5 of its counties ranking nationally. The Lehigh Valley (Lehigh + Northampton) and Poconos (Monroe) form a critical corridor alongside Bucks. Dauphin (Harrisburg metro) rounds out the top 5 as the state capital region. All 5 counties are in the eastern half of the state, consistent with the diversity-driven volatility signature identified in state-specific models (top predictor: race_entropy_norm).</w:t>
      </w:r>
    </w:p>
    <w:p>
      <w:pPr>
        <w:pStyle w:val="Heading2"/>
      </w:pPr>
      <w:r>
        <w:rPr>
          <w:color w:val="000000"/>
        </w:rPr>
        <w:t>5.2 Top 5 -- Michigan</w:t>
      </w:r>
    </w:p>
    <w:tbl>
      <w:tblPr>
        <w:tblStyle w:val="LightGrid-Accent1"/>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t>Rank</w:t>
            </w:r>
          </w:p>
        </w:tc>
        <w:tc>
          <w:tcPr>
            <w:tcW w:type="dxa" w:w="720"/>
          </w:tcPr>
          <w:p>
            <w:r>
              <w:rPr>
                <w:b/>
                <w:sz w:val="18"/>
              </w:rPr>
              <w:t>County</w:t>
            </w:r>
          </w:p>
        </w:tc>
        <w:tc>
          <w:tcPr>
            <w:tcW w:type="dxa" w:w="720"/>
          </w:tcPr>
          <w:p>
            <w:r>
              <w:rPr>
                <w:b/>
                <w:sz w:val="18"/>
              </w:rPr>
              <w:t>State</w:t>
            </w:r>
          </w:p>
        </w:tc>
        <w:tc>
          <w:tcPr>
            <w:tcW w:type="dxa" w:w="720"/>
          </w:tcPr>
          <w:p>
            <w:r>
              <w:rPr>
                <w:b/>
                <w:sz w:val="18"/>
              </w:rPr>
              <w:t>DPS</w:t>
            </w:r>
          </w:p>
        </w:tc>
        <w:tc>
          <w:tcPr>
            <w:tcW w:type="dxa" w:w="720"/>
          </w:tcPr>
          <w:p>
            <w:r>
              <w:rPr>
                <w:b/>
                <w:sz w:val="18"/>
              </w:rPr>
              <w:t>Persuad.</w:t>
            </w:r>
          </w:p>
        </w:tc>
        <w:tc>
          <w:tcPr>
            <w:tcW w:type="dxa" w:w="720"/>
          </w:tcPr>
          <w:p>
            <w:r>
              <w:rPr>
                <w:b/>
                <w:sz w:val="18"/>
              </w:rPr>
              <w:t>Elec.Wt</w:t>
            </w:r>
          </w:p>
        </w:tc>
        <w:tc>
          <w:tcPr>
            <w:tcW w:type="dxa" w:w="720"/>
          </w:tcPr>
          <w:p>
            <w:r>
              <w:rPr>
                <w:b/>
                <w:sz w:val="18"/>
              </w:rPr>
              <w:t>Compet.</w:t>
            </w:r>
          </w:p>
        </w:tc>
        <w:tc>
          <w:tcPr>
            <w:tcW w:type="dxa" w:w="720"/>
          </w:tcPr>
          <w:p>
            <w:r>
              <w:rPr>
                <w:b/>
                <w:sz w:val="18"/>
              </w:rPr>
              <w:t>Pred.Vol</w:t>
            </w:r>
          </w:p>
        </w:tc>
        <w:tc>
          <w:tcPr>
            <w:tcW w:type="dxa" w:w="720"/>
          </w:tcPr>
          <w:p>
            <w:r>
              <w:rPr>
                <w:b/>
                <w:sz w:val="18"/>
              </w:rPr>
              <w:t>Dem.Opp</w:t>
            </w:r>
          </w:p>
        </w:tc>
        <w:tc>
          <w:tcPr>
            <w:tcW w:type="dxa" w:w="720"/>
          </w:tcPr>
          <w:p>
            <w:r>
              <w:rPr>
                <w:b/>
                <w:sz w:val="18"/>
              </w:rPr>
              <w:t>Misfit</w:t>
            </w:r>
          </w:p>
        </w:tc>
        <w:tc>
          <w:tcPr>
            <w:tcW w:type="dxa" w:w="720"/>
          </w:tcPr>
          <w:p>
            <w:r>
              <w:rPr>
                <w:b/>
                <w:sz w:val="18"/>
              </w:rPr>
              <w:t>Margin</w:t>
            </w:r>
          </w:p>
        </w:tc>
        <w:tc>
          <w:tcPr>
            <w:tcW w:type="dxa" w:w="720"/>
          </w:tcPr>
          <w:p>
            <w:r>
              <w:rPr>
                <w:b/>
                <w:sz w:val="18"/>
              </w:rPr>
              <w:t>Votes</w:t>
            </w:r>
          </w:p>
        </w:tc>
      </w:tr>
      <w:tr>
        <w:tc>
          <w:tcPr>
            <w:tcW w:type="dxa" w:w="720"/>
          </w:tcPr>
          <w:p>
            <w:r>
              <w:rPr>
                <w:sz w:val="18"/>
              </w:rPr>
              <w:t>1</w:t>
            </w:r>
          </w:p>
        </w:tc>
        <w:tc>
          <w:tcPr>
            <w:tcW w:type="dxa" w:w="720"/>
          </w:tcPr>
          <w:p>
            <w:r>
              <w:rPr>
                <w:sz w:val="18"/>
              </w:rPr>
              <w:t>Kent</w:t>
            </w:r>
          </w:p>
        </w:tc>
        <w:tc>
          <w:tcPr>
            <w:tcW w:type="dxa" w:w="720"/>
          </w:tcPr>
          <w:p>
            <w:r>
              <w:rPr>
                <w:sz w:val="18"/>
              </w:rPr>
              <w:t>MI</w:t>
            </w:r>
          </w:p>
        </w:tc>
        <w:tc>
          <w:tcPr>
            <w:tcW w:type="dxa" w:w="720"/>
          </w:tcPr>
          <w:p>
            <w:r>
              <w:rPr>
                <w:sz w:val="18"/>
              </w:rPr>
              <w:t>0.672</w:t>
            </w:r>
          </w:p>
        </w:tc>
        <w:tc>
          <w:tcPr>
            <w:tcW w:type="dxa" w:w="720"/>
          </w:tcPr>
          <w:p>
            <w:r>
              <w:rPr>
                <w:sz w:val="18"/>
              </w:rPr>
              <w:t>0.660</w:t>
            </w:r>
          </w:p>
        </w:tc>
        <w:tc>
          <w:tcPr>
            <w:tcW w:type="dxa" w:w="720"/>
          </w:tcPr>
          <w:p>
            <w:r>
              <w:rPr>
                <w:sz w:val="18"/>
              </w:rPr>
              <w:t>0.801</w:t>
            </w:r>
          </w:p>
        </w:tc>
        <w:tc>
          <w:tcPr>
            <w:tcW w:type="dxa" w:w="720"/>
          </w:tcPr>
          <w:p>
            <w:r>
              <w:rPr>
                <w:sz w:val="18"/>
              </w:rPr>
              <w:t>0.585</w:t>
            </w:r>
          </w:p>
        </w:tc>
        <w:tc>
          <w:tcPr>
            <w:tcW w:type="dxa" w:w="720"/>
          </w:tcPr>
          <w:p>
            <w:r>
              <w:rPr>
                <w:sz w:val="18"/>
              </w:rPr>
              <w:t>0.828</w:t>
            </w:r>
          </w:p>
        </w:tc>
        <w:tc>
          <w:tcPr>
            <w:tcW w:type="dxa" w:w="720"/>
          </w:tcPr>
          <w:p>
            <w:r>
              <w:rPr>
                <w:sz w:val="18"/>
              </w:rPr>
              <w:t>0.814</w:t>
            </w:r>
          </w:p>
        </w:tc>
        <w:tc>
          <w:tcPr>
            <w:tcW w:type="dxa" w:w="720"/>
          </w:tcPr>
          <w:p>
            <w:r>
              <w:rPr>
                <w:sz w:val="18"/>
              </w:rPr>
              <w:t>0.159</w:t>
            </w:r>
          </w:p>
        </w:tc>
        <w:tc>
          <w:tcPr>
            <w:tcW w:type="dxa" w:w="720"/>
          </w:tcPr>
          <w:p>
            <w:r>
              <w:rPr>
                <w:sz w:val="18"/>
              </w:rPr>
              <w:t>+5.4%</w:t>
            </w:r>
          </w:p>
        </w:tc>
        <w:tc>
          <w:tcPr>
            <w:tcW w:type="dxa" w:w="720"/>
          </w:tcPr>
          <w:p>
            <w:r>
              <w:rPr>
                <w:sz w:val="18"/>
              </w:rPr>
              <w:t>371,947</w:t>
            </w:r>
          </w:p>
        </w:tc>
      </w:tr>
      <w:tr>
        <w:tc>
          <w:tcPr>
            <w:tcW w:type="dxa" w:w="720"/>
          </w:tcPr>
          <w:p>
            <w:r>
              <w:rPr>
                <w:sz w:val="18"/>
              </w:rPr>
              <w:t>2</w:t>
            </w:r>
          </w:p>
        </w:tc>
        <w:tc>
          <w:tcPr>
            <w:tcW w:type="dxa" w:w="720"/>
          </w:tcPr>
          <w:p>
            <w:r>
              <w:rPr>
                <w:sz w:val="18"/>
              </w:rPr>
              <w:t>Oakland</w:t>
            </w:r>
          </w:p>
        </w:tc>
        <w:tc>
          <w:tcPr>
            <w:tcW w:type="dxa" w:w="720"/>
          </w:tcPr>
          <w:p>
            <w:r>
              <w:rPr>
                <w:sz w:val="18"/>
              </w:rPr>
              <w:t>MI</w:t>
            </w:r>
          </w:p>
        </w:tc>
        <w:tc>
          <w:tcPr>
            <w:tcW w:type="dxa" w:w="720"/>
          </w:tcPr>
          <w:p>
            <w:r>
              <w:rPr>
                <w:sz w:val="18"/>
              </w:rPr>
              <w:t>0.654</w:t>
            </w:r>
          </w:p>
        </w:tc>
        <w:tc>
          <w:tcPr>
            <w:tcW w:type="dxa" w:w="720"/>
          </w:tcPr>
          <w:p>
            <w:r>
              <w:rPr>
                <w:sz w:val="18"/>
              </w:rPr>
              <w:t>0.802</w:t>
            </w:r>
          </w:p>
        </w:tc>
        <w:tc>
          <w:tcPr>
            <w:tcW w:type="dxa" w:w="720"/>
          </w:tcPr>
          <w:p>
            <w:r>
              <w:rPr>
                <w:sz w:val="18"/>
              </w:rPr>
              <w:t>0.908</w:t>
            </w:r>
          </w:p>
        </w:tc>
        <w:tc>
          <w:tcPr>
            <w:tcW w:type="dxa" w:w="720"/>
          </w:tcPr>
          <w:p>
            <w:r>
              <w:rPr>
                <w:sz w:val="18"/>
              </w:rPr>
              <w:t>0.347</w:t>
            </w:r>
          </w:p>
        </w:tc>
        <w:tc>
          <w:tcPr>
            <w:tcW w:type="dxa" w:w="720"/>
          </w:tcPr>
          <w:p>
            <w:r>
              <w:rPr>
                <w:sz w:val="18"/>
              </w:rPr>
              <w:t>0.887</w:t>
            </w:r>
          </w:p>
        </w:tc>
        <w:tc>
          <w:tcPr>
            <w:tcW w:type="dxa" w:w="720"/>
          </w:tcPr>
          <w:p>
            <w:r>
              <w:rPr>
                <w:sz w:val="18"/>
              </w:rPr>
              <w:t>0.641</w:t>
            </w:r>
          </w:p>
        </w:tc>
        <w:tc>
          <w:tcPr>
            <w:tcW w:type="dxa" w:w="720"/>
          </w:tcPr>
          <w:p>
            <w:r>
              <w:rPr>
                <w:sz w:val="18"/>
              </w:rPr>
              <w:t>0.015</w:t>
            </w:r>
          </w:p>
        </w:tc>
        <w:tc>
          <w:tcPr>
            <w:tcW w:type="dxa" w:w="720"/>
          </w:tcPr>
          <w:p>
            <w:r>
              <w:rPr>
                <w:sz w:val="18"/>
              </w:rPr>
              <w:t>+10.6%</w:t>
            </w:r>
          </w:p>
        </w:tc>
        <w:tc>
          <w:tcPr>
            <w:tcW w:type="dxa" w:w="720"/>
          </w:tcPr>
          <w:p>
            <w:r>
              <w:rPr>
                <w:sz w:val="18"/>
              </w:rPr>
              <w:t>772,145</w:t>
            </w:r>
          </w:p>
        </w:tc>
      </w:tr>
      <w:tr>
        <w:tc>
          <w:tcPr>
            <w:tcW w:type="dxa" w:w="720"/>
          </w:tcPr>
          <w:p>
            <w:r>
              <w:rPr>
                <w:sz w:val="18"/>
              </w:rPr>
              <w:t>3</w:t>
            </w:r>
          </w:p>
        </w:tc>
        <w:tc>
          <w:tcPr>
            <w:tcW w:type="dxa" w:w="720"/>
          </w:tcPr>
          <w:p>
            <w:r>
              <w:rPr>
                <w:sz w:val="18"/>
              </w:rPr>
              <w:t>Genesee</w:t>
            </w:r>
          </w:p>
        </w:tc>
        <w:tc>
          <w:tcPr>
            <w:tcW w:type="dxa" w:w="720"/>
          </w:tcPr>
          <w:p>
            <w:r>
              <w:rPr>
                <w:sz w:val="18"/>
              </w:rPr>
              <w:t>MI</w:t>
            </w:r>
          </w:p>
        </w:tc>
        <w:tc>
          <w:tcPr>
            <w:tcW w:type="dxa" w:w="720"/>
          </w:tcPr>
          <w:p>
            <w:r>
              <w:rPr>
                <w:sz w:val="18"/>
              </w:rPr>
              <w:t>0.638</w:t>
            </w:r>
          </w:p>
        </w:tc>
        <w:tc>
          <w:tcPr>
            <w:tcW w:type="dxa" w:w="720"/>
          </w:tcPr>
          <w:p>
            <w:r>
              <w:rPr>
                <w:sz w:val="18"/>
              </w:rPr>
              <w:t>0.620</w:t>
            </w:r>
          </w:p>
        </w:tc>
        <w:tc>
          <w:tcPr>
            <w:tcW w:type="dxa" w:w="720"/>
          </w:tcPr>
          <w:p>
            <w:r>
              <w:rPr>
                <w:sz w:val="18"/>
              </w:rPr>
              <w:t>0.725</w:t>
            </w:r>
          </w:p>
        </w:tc>
        <w:tc>
          <w:tcPr>
            <w:tcW w:type="dxa" w:w="720"/>
          </w:tcPr>
          <w:p>
            <w:r>
              <w:rPr>
                <w:sz w:val="18"/>
              </w:rPr>
              <w:t>0.657</w:t>
            </w:r>
          </w:p>
        </w:tc>
        <w:tc>
          <w:tcPr>
            <w:tcW w:type="dxa" w:w="720"/>
          </w:tcPr>
          <w:p>
            <w:r>
              <w:rPr>
                <w:sz w:val="18"/>
              </w:rPr>
              <w:t>0.536</w:t>
            </w:r>
          </w:p>
        </w:tc>
        <w:tc>
          <w:tcPr>
            <w:tcW w:type="dxa" w:w="720"/>
          </w:tcPr>
          <w:p>
            <w:r>
              <w:rPr>
                <w:sz w:val="18"/>
              </w:rPr>
              <w:t>0.448</w:t>
            </w:r>
          </w:p>
        </w:tc>
        <w:tc>
          <w:tcPr>
            <w:tcW w:type="dxa" w:w="720"/>
          </w:tcPr>
          <w:p>
            <w:r>
              <w:rPr>
                <w:sz w:val="18"/>
              </w:rPr>
              <w:t>0.860</w:t>
            </w:r>
          </w:p>
        </w:tc>
        <w:tc>
          <w:tcPr>
            <w:tcW w:type="dxa" w:w="720"/>
          </w:tcPr>
          <w:p>
            <w:r>
              <w:rPr>
                <w:sz w:val="18"/>
              </w:rPr>
              <w:t>+4.2%</w:t>
            </w:r>
          </w:p>
        </w:tc>
        <w:tc>
          <w:tcPr>
            <w:tcW w:type="dxa" w:w="720"/>
          </w:tcPr>
          <w:p>
            <w:r>
              <w:rPr>
                <w:sz w:val="18"/>
              </w:rPr>
              <w:t>223,268</w:t>
            </w:r>
          </w:p>
        </w:tc>
      </w:tr>
      <w:tr>
        <w:tc>
          <w:tcPr>
            <w:tcW w:type="dxa" w:w="720"/>
          </w:tcPr>
          <w:p>
            <w:r>
              <w:rPr>
                <w:sz w:val="18"/>
              </w:rPr>
              <w:t>4</w:t>
            </w:r>
          </w:p>
        </w:tc>
        <w:tc>
          <w:tcPr>
            <w:tcW w:type="dxa" w:w="720"/>
          </w:tcPr>
          <w:p>
            <w:r>
              <w:rPr>
                <w:sz w:val="18"/>
              </w:rPr>
              <w:t>Grand Traverse</w:t>
            </w:r>
          </w:p>
        </w:tc>
        <w:tc>
          <w:tcPr>
            <w:tcW w:type="dxa" w:w="720"/>
          </w:tcPr>
          <w:p>
            <w:r>
              <w:rPr>
                <w:sz w:val="18"/>
              </w:rPr>
              <w:t>MI</w:t>
            </w:r>
          </w:p>
        </w:tc>
        <w:tc>
          <w:tcPr>
            <w:tcW w:type="dxa" w:w="720"/>
          </w:tcPr>
          <w:p>
            <w:r>
              <w:rPr>
                <w:sz w:val="18"/>
              </w:rPr>
              <w:t>0.581</w:t>
            </w:r>
          </w:p>
        </w:tc>
        <w:tc>
          <w:tcPr>
            <w:tcW w:type="dxa" w:w="720"/>
          </w:tcPr>
          <w:p>
            <w:r>
              <w:rPr>
                <w:sz w:val="18"/>
              </w:rPr>
              <w:t>0.185</w:t>
            </w:r>
          </w:p>
        </w:tc>
        <w:tc>
          <w:tcPr>
            <w:tcW w:type="dxa" w:w="720"/>
          </w:tcPr>
          <w:p>
            <w:r>
              <w:rPr>
                <w:sz w:val="18"/>
              </w:rPr>
              <w:t>0.539</w:t>
            </w:r>
          </w:p>
        </w:tc>
        <w:tc>
          <w:tcPr>
            <w:tcW w:type="dxa" w:w="720"/>
          </w:tcPr>
          <w:p>
            <w:r>
              <w:rPr>
                <w:sz w:val="18"/>
              </w:rPr>
              <w:t>0.841</w:t>
            </w:r>
          </w:p>
        </w:tc>
        <w:tc>
          <w:tcPr>
            <w:tcW w:type="dxa" w:w="720"/>
          </w:tcPr>
          <w:p>
            <w:r>
              <w:rPr>
                <w:sz w:val="18"/>
              </w:rPr>
              <w:t>0.728</w:t>
            </w:r>
          </w:p>
        </w:tc>
        <w:tc>
          <w:tcPr>
            <w:tcW w:type="dxa" w:w="720"/>
          </w:tcPr>
          <w:p>
            <w:r>
              <w:rPr>
                <w:sz w:val="18"/>
              </w:rPr>
              <w:t>0.900</w:t>
            </w:r>
          </w:p>
        </w:tc>
        <w:tc>
          <w:tcPr>
            <w:tcW w:type="dxa" w:w="720"/>
          </w:tcPr>
          <w:p>
            <w:r>
              <w:rPr>
                <w:sz w:val="18"/>
              </w:rPr>
              <w:t>0.319</w:t>
            </w:r>
          </w:p>
        </w:tc>
        <w:tc>
          <w:tcPr>
            <w:tcW w:type="dxa" w:w="720"/>
          </w:tcPr>
          <w:p>
            <w:r>
              <w:rPr>
                <w:sz w:val="18"/>
              </w:rPr>
              <w:t>-1.7%</w:t>
            </w:r>
          </w:p>
        </w:tc>
        <w:tc>
          <w:tcPr>
            <w:tcW w:type="dxa" w:w="720"/>
          </w:tcPr>
          <w:p>
            <w:r>
              <w:rPr>
                <w:sz w:val="18"/>
              </w:rPr>
              <w:t>62,772</w:t>
            </w:r>
          </w:p>
        </w:tc>
      </w:tr>
      <w:tr>
        <w:tc>
          <w:tcPr>
            <w:tcW w:type="dxa" w:w="720"/>
          </w:tcPr>
          <w:p>
            <w:r>
              <w:rPr>
                <w:sz w:val="18"/>
              </w:rPr>
              <w:t>5</w:t>
            </w:r>
          </w:p>
        </w:tc>
        <w:tc>
          <w:tcPr>
            <w:tcW w:type="dxa" w:w="720"/>
          </w:tcPr>
          <w:p>
            <w:r>
              <w:rPr>
                <w:sz w:val="18"/>
              </w:rPr>
              <w:t>Macomb</w:t>
            </w:r>
          </w:p>
        </w:tc>
        <w:tc>
          <w:tcPr>
            <w:tcW w:type="dxa" w:w="720"/>
          </w:tcPr>
          <w:p>
            <w:r>
              <w:rPr>
                <w:sz w:val="18"/>
              </w:rPr>
              <w:t>MI</w:t>
            </w:r>
          </w:p>
        </w:tc>
        <w:tc>
          <w:tcPr>
            <w:tcW w:type="dxa" w:w="720"/>
          </w:tcPr>
          <w:p>
            <w:r>
              <w:rPr>
                <w:sz w:val="18"/>
              </w:rPr>
              <w:t>0.568</w:t>
            </w:r>
          </w:p>
        </w:tc>
        <w:tc>
          <w:tcPr>
            <w:tcW w:type="dxa" w:w="720"/>
          </w:tcPr>
          <w:p>
            <w:r>
              <w:rPr>
                <w:sz w:val="18"/>
              </w:rPr>
              <w:t>0.618</w:t>
            </w:r>
          </w:p>
        </w:tc>
        <w:tc>
          <w:tcPr>
            <w:tcW w:type="dxa" w:w="720"/>
          </w:tcPr>
          <w:p>
            <w:r>
              <w:rPr>
                <w:sz w:val="18"/>
              </w:rPr>
              <w:t>0.847</w:t>
            </w:r>
          </w:p>
        </w:tc>
        <w:tc>
          <w:tcPr>
            <w:tcW w:type="dxa" w:w="720"/>
          </w:tcPr>
          <w:p>
            <w:r>
              <w:rPr>
                <w:sz w:val="18"/>
              </w:rPr>
              <w:t>0.254</w:t>
            </w:r>
          </w:p>
        </w:tc>
        <w:tc>
          <w:tcPr>
            <w:tcW w:type="dxa" w:w="720"/>
          </w:tcPr>
          <w:p>
            <w:r>
              <w:rPr>
                <w:sz w:val="18"/>
              </w:rPr>
              <w:t>0.747</w:t>
            </w:r>
          </w:p>
        </w:tc>
        <w:tc>
          <w:tcPr>
            <w:tcW w:type="dxa" w:w="720"/>
          </w:tcPr>
          <w:p>
            <w:r>
              <w:rPr>
                <w:sz w:val="18"/>
              </w:rPr>
              <w:t>0.505</w:t>
            </w:r>
          </w:p>
        </w:tc>
        <w:tc>
          <w:tcPr>
            <w:tcW w:type="dxa" w:w="720"/>
          </w:tcPr>
          <w:p>
            <w:r>
              <w:rPr>
                <w:sz w:val="18"/>
              </w:rPr>
              <w:t>0.245</w:t>
            </w:r>
          </w:p>
        </w:tc>
        <w:tc>
          <w:tcPr>
            <w:tcW w:type="dxa" w:w="720"/>
          </w:tcPr>
          <w:p>
            <w:r>
              <w:rPr>
                <w:sz w:val="18"/>
              </w:rPr>
              <w:t>-13.7%</w:t>
            </w:r>
          </w:p>
        </w:tc>
        <w:tc>
          <w:tcPr>
            <w:tcW w:type="dxa" w:w="720"/>
          </w:tcPr>
          <w:p>
            <w:r>
              <w:rPr>
                <w:sz w:val="18"/>
              </w:rPr>
              <w:t>509,152</w:t>
            </w:r>
          </w:p>
        </w:tc>
      </w:tr>
    </w:tbl>
    <w:p>
      <w:r>
        <w:br/>
        <w:t>Michigan's top targets are split between large suburban centers (Oakland 772K votes, Kent/Grand Rapids 372K, Macomb 509K) and smaller competitive markets (Grand Traverse 63K). Kent County's #1 state ranking reflects its combination of Highly Volatile classification, large voter pool, and recent Democratic momentum (d_20_24 positive). Oakland has the highest persuadability (0.802) in the state, driven by its high diversity and educated urban cluster profile. Macomb, despite being -13.7%, ranks #5 because its massive vote count (509K) makes even small shifts electorally significant.</w:t>
      </w:r>
    </w:p>
    <w:p>
      <w:pPr>
        <w:pStyle w:val="Heading2"/>
      </w:pPr>
      <w:r>
        <w:rPr>
          <w:color w:val="000000"/>
        </w:rPr>
        <w:t>5.2 Top 5 -- North Carolina</w:t>
      </w:r>
    </w:p>
    <w:tbl>
      <w:tblPr>
        <w:tblStyle w:val="LightGrid-Accent1"/>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t>Rank</w:t>
            </w:r>
          </w:p>
        </w:tc>
        <w:tc>
          <w:tcPr>
            <w:tcW w:type="dxa" w:w="720"/>
          </w:tcPr>
          <w:p>
            <w:r>
              <w:rPr>
                <w:b/>
                <w:sz w:val="18"/>
              </w:rPr>
              <w:t>County</w:t>
            </w:r>
          </w:p>
        </w:tc>
        <w:tc>
          <w:tcPr>
            <w:tcW w:type="dxa" w:w="720"/>
          </w:tcPr>
          <w:p>
            <w:r>
              <w:rPr>
                <w:b/>
                <w:sz w:val="18"/>
              </w:rPr>
              <w:t>State</w:t>
            </w:r>
          </w:p>
        </w:tc>
        <w:tc>
          <w:tcPr>
            <w:tcW w:type="dxa" w:w="720"/>
          </w:tcPr>
          <w:p>
            <w:r>
              <w:rPr>
                <w:b/>
                <w:sz w:val="18"/>
              </w:rPr>
              <w:t>DPS</w:t>
            </w:r>
          </w:p>
        </w:tc>
        <w:tc>
          <w:tcPr>
            <w:tcW w:type="dxa" w:w="720"/>
          </w:tcPr>
          <w:p>
            <w:r>
              <w:rPr>
                <w:b/>
                <w:sz w:val="18"/>
              </w:rPr>
              <w:t>Persuad.</w:t>
            </w:r>
          </w:p>
        </w:tc>
        <w:tc>
          <w:tcPr>
            <w:tcW w:type="dxa" w:w="720"/>
          </w:tcPr>
          <w:p>
            <w:r>
              <w:rPr>
                <w:b/>
                <w:sz w:val="18"/>
              </w:rPr>
              <w:t>Elec.Wt</w:t>
            </w:r>
          </w:p>
        </w:tc>
        <w:tc>
          <w:tcPr>
            <w:tcW w:type="dxa" w:w="720"/>
          </w:tcPr>
          <w:p>
            <w:r>
              <w:rPr>
                <w:b/>
                <w:sz w:val="18"/>
              </w:rPr>
              <w:t>Compet.</w:t>
            </w:r>
          </w:p>
        </w:tc>
        <w:tc>
          <w:tcPr>
            <w:tcW w:type="dxa" w:w="720"/>
          </w:tcPr>
          <w:p>
            <w:r>
              <w:rPr>
                <w:b/>
                <w:sz w:val="18"/>
              </w:rPr>
              <w:t>Pred.Vol</w:t>
            </w:r>
          </w:p>
        </w:tc>
        <w:tc>
          <w:tcPr>
            <w:tcW w:type="dxa" w:w="720"/>
          </w:tcPr>
          <w:p>
            <w:r>
              <w:rPr>
                <w:b/>
                <w:sz w:val="18"/>
              </w:rPr>
              <w:t>Dem.Opp</w:t>
            </w:r>
          </w:p>
        </w:tc>
        <w:tc>
          <w:tcPr>
            <w:tcW w:type="dxa" w:w="720"/>
          </w:tcPr>
          <w:p>
            <w:r>
              <w:rPr>
                <w:b/>
                <w:sz w:val="18"/>
              </w:rPr>
              <w:t>Misfit</w:t>
            </w:r>
          </w:p>
        </w:tc>
        <w:tc>
          <w:tcPr>
            <w:tcW w:type="dxa" w:w="720"/>
          </w:tcPr>
          <w:p>
            <w:r>
              <w:rPr>
                <w:b/>
                <w:sz w:val="18"/>
              </w:rPr>
              <w:t>Margin</w:t>
            </w:r>
          </w:p>
        </w:tc>
        <w:tc>
          <w:tcPr>
            <w:tcW w:type="dxa" w:w="720"/>
          </w:tcPr>
          <w:p>
            <w:r>
              <w:rPr>
                <w:b/>
                <w:sz w:val="18"/>
              </w:rPr>
              <w:t>Votes</w:t>
            </w:r>
          </w:p>
        </w:tc>
      </w:tr>
      <w:tr>
        <w:tc>
          <w:tcPr>
            <w:tcW w:type="dxa" w:w="720"/>
          </w:tcPr>
          <w:p>
            <w:r>
              <w:rPr>
                <w:sz w:val="18"/>
              </w:rPr>
              <w:t>1</w:t>
            </w:r>
          </w:p>
        </w:tc>
        <w:tc>
          <w:tcPr>
            <w:tcW w:type="dxa" w:w="720"/>
          </w:tcPr>
          <w:p>
            <w:r>
              <w:rPr>
                <w:sz w:val="18"/>
              </w:rPr>
              <w:t>Cabarrus</w:t>
            </w:r>
          </w:p>
        </w:tc>
        <w:tc>
          <w:tcPr>
            <w:tcW w:type="dxa" w:w="720"/>
          </w:tcPr>
          <w:p>
            <w:r>
              <w:rPr>
                <w:sz w:val="18"/>
              </w:rPr>
              <w:t>NC</w:t>
            </w:r>
          </w:p>
        </w:tc>
        <w:tc>
          <w:tcPr>
            <w:tcW w:type="dxa" w:w="720"/>
          </w:tcPr>
          <w:p>
            <w:r>
              <w:rPr>
                <w:sz w:val="18"/>
              </w:rPr>
              <w:t>0.678</w:t>
            </w:r>
          </w:p>
        </w:tc>
        <w:tc>
          <w:tcPr>
            <w:tcW w:type="dxa" w:w="720"/>
          </w:tcPr>
          <w:p>
            <w:r>
              <w:rPr>
                <w:sz w:val="18"/>
              </w:rPr>
              <w:t>0.708</w:t>
            </w:r>
          </w:p>
        </w:tc>
        <w:tc>
          <w:tcPr>
            <w:tcW w:type="dxa" w:w="720"/>
          </w:tcPr>
          <w:p>
            <w:r>
              <w:rPr>
                <w:sz w:val="18"/>
              </w:rPr>
              <w:t>0.634</w:t>
            </w:r>
          </w:p>
        </w:tc>
        <w:tc>
          <w:tcPr>
            <w:tcW w:type="dxa" w:w="720"/>
          </w:tcPr>
          <w:p>
            <w:r>
              <w:rPr>
                <w:sz w:val="18"/>
              </w:rPr>
              <w:t>0.463</w:t>
            </w:r>
          </w:p>
        </w:tc>
        <w:tc>
          <w:tcPr>
            <w:tcW w:type="dxa" w:w="720"/>
          </w:tcPr>
          <w:p>
            <w:r>
              <w:rPr>
                <w:sz w:val="18"/>
              </w:rPr>
              <w:t>0.875</w:t>
            </w:r>
          </w:p>
        </w:tc>
        <w:tc>
          <w:tcPr>
            <w:tcW w:type="dxa" w:w="720"/>
          </w:tcPr>
          <w:p>
            <w:r>
              <w:rPr>
                <w:sz w:val="18"/>
              </w:rPr>
              <w:t>0.932</w:t>
            </w:r>
          </w:p>
        </w:tc>
        <w:tc>
          <w:tcPr>
            <w:tcW w:type="dxa" w:w="720"/>
          </w:tcPr>
          <w:p>
            <w:r>
              <w:rPr>
                <w:sz w:val="18"/>
              </w:rPr>
              <w:t>0.487</w:t>
            </w:r>
          </w:p>
        </w:tc>
        <w:tc>
          <w:tcPr>
            <w:tcW w:type="dxa" w:w="720"/>
          </w:tcPr>
          <w:p>
            <w:r>
              <w:rPr>
                <w:sz w:val="18"/>
              </w:rPr>
              <w:t>-7.7%</w:t>
            </w:r>
          </w:p>
        </w:tc>
        <w:tc>
          <w:tcPr>
            <w:tcW w:type="dxa" w:w="720"/>
          </w:tcPr>
          <w:p>
            <w:r>
              <w:rPr>
                <w:sz w:val="18"/>
              </w:rPr>
              <w:t>120,202</w:t>
            </w:r>
          </w:p>
        </w:tc>
      </w:tr>
      <w:tr>
        <w:tc>
          <w:tcPr>
            <w:tcW w:type="dxa" w:w="720"/>
          </w:tcPr>
          <w:p>
            <w:r>
              <w:rPr>
                <w:sz w:val="18"/>
              </w:rPr>
              <w:t>2</w:t>
            </w:r>
          </w:p>
        </w:tc>
        <w:tc>
          <w:tcPr>
            <w:tcW w:type="dxa" w:w="720"/>
          </w:tcPr>
          <w:p>
            <w:r>
              <w:rPr>
                <w:sz w:val="18"/>
              </w:rPr>
              <w:t>New Hanover</w:t>
            </w:r>
          </w:p>
        </w:tc>
        <w:tc>
          <w:tcPr>
            <w:tcW w:type="dxa" w:w="720"/>
          </w:tcPr>
          <w:p>
            <w:r>
              <w:rPr>
                <w:sz w:val="18"/>
              </w:rPr>
              <w:t>NC</w:t>
            </w:r>
          </w:p>
        </w:tc>
        <w:tc>
          <w:tcPr>
            <w:tcW w:type="dxa" w:w="720"/>
          </w:tcPr>
          <w:p>
            <w:r>
              <w:rPr>
                <w:sz w:val="18"/>
              </w:rPr>
              <w:t>0.657</w:t>
            </w:r>
          </w:p>
        </w:tc>
        <w:tc>
          <w:tcPr>
            <w:tcW w:type="dxa" w:w="720"/>
          </w:tcPr>
          <w:p>
            <w:r>
              <w:rPr>
                <w:sz w:val="18"/>
              </w:rPr>
              <w:t>0.560</w:t>
            </w:r>
          </w:p>
        </w:tc>
        <w:tc>
          <w:tcPr>
            <w:tcW w:type="dxa" w:w="720"/>
          </w:tcPr>
          <w:p>
            <w:r>
              <w:rPr>
                <w:sz w:val="18"/>
              </w:rPr>
              <w:t>0.655</w:t>
            </w:r>
          </w:p>
        </w:tc>
        <w:tc>
          <w:tcPr>
            <w:tcW w:type="dxa" w:w="720"/>
          </w:tcPr>
          <w:p>
            <w:r>
              <w:rPr>
                <w:sz w:val="18"/>
              </w:rPr>
              <w:t>0.940</w:t>
            </w:r>
          </w:p>
        </w:tc>
        <w:tc>
          <w:tcPr>
            <w:tcW w:type="dxa" w:w="720"/>
          </w:tcPr>
          <w:p>
            <w:r>
              <w:rPr>
                <w:sz w:val="18"/>
              </w:rPr>
              <w:t>0.769</w:t>
            </w:r>
          </w:p>
        </w:tc>
        <w:tc>
          <w:tcPr>
            <w:tcW w:type="dxa" w:w="720"/>
          </w:tcPr>
          <w:p>
            <w:r>
              <w:rPr>
                <w:sz w:val="18"/>
              </w:rPr>
              <w:t>0.719</w:t>
            </w:r>
          </w:p>
        </w:tc>
        <w:tc>
          <w:tcPr>
            <w:tcW w:type="dxa" w:w="720"/>
          </w:tcPr>
          <w:p>
            <w:r>
              <w:rPr>
                <w:sz w:val="18"/>
              </w:rPr>
              <w:t>0.003</w:t>
            </w:r>
          </w:p>
        </w:tc>
        <w:tc>
          <w:tcPr>
            <w:tcW w:type="dxa" w:w="720"/>
          </w:tcPr>
          <w:p>
            <w:r>
              <w:rPr>
                <w:sz w:val="18"/>
              </w:rPr>
              <w:t>+0.6%</w:t>
            </w:r>
          </w:p>
        </w:tc>
        <w:tc>
          <w:tcPr>
            <w:tcW w:type="dxa" w:w="720"/>
          </w:tcPr>
          <w:p>
            <w:r>
              <w:rPr>
                <w:sz w:val="18"/>
              </w:rPr>
              <w:t>138,734</w:t>
            </w:r>
          </w:p>
        </w:tc>
      </w:tr>
      <w:tr>
        <w:tc>
          <w:tcPr>
            <w:tcW w:type="dxa" w:w="720"/>
          </w:tcPr>
          <w:p>
            <w:r>
              <w:rPr>
                <w:sz w:val="18"/>
              </w:rPr>
              <w:t>3</w:t>
            </w:r>
          </w:p>
        </w:tc>
        <w:tc>
          <w:tcPr>
            <w:tcW w:type="dxa" w:w="720"/>
          </w:tcPr>
          <w:p>
            <w:r>
              <w:rPr>
                <w:sz w:val="18"/>
              </w:rPr>
              <w:t>Wilson</w:t>
            </w:r>
          </w:p>
        </w:tc>
        <w:tc>
          <w:tcPr>
            <w:tcW w:type="dxa" w:w="720"/>
          </w:tcPr>
          <w:p>
            <w:r>
              <w:rPr>
                <w:sz w:val="18"/>
              </w:rPr>
              <w:t>NC</w:t>
            </w:r>
          </w:p>
        </w:tc>
        <w:tc>
          <w:tcPr>
            <w:tcW w:type="dxa" w:w="720"/>
          </w:tcPr>
          <w:p>
            <w:r>
              <w:rPr>
                <w:sz w:val="18"/>
              </w:rPr>
              <w:t>0.639</w:t>
            </w:r>
          </w:p>
        </w:tc>
        <w:tc>
          <w:tcPr>
            <w:tcW w:type="dxa" w:w="720"/>
          </w:tcPr>
          <w:p>
            <w:r>
              <w:rPr>
                <w:sz w:val="18"/>
              </w:rPr>
              <w:t>0.940</w:t>
            </w:r>
          </w:p>
        </w:tc>
        <w:tc>
          <w:tcPr>
            <w:tcW w:type="dxa" w:w="720"/>
          </w:tcPr>
          <w:p>
            <w:r>
              <w:rPr>
                <w:sz w:val="18"/>
              </w:rPr>
              <w:t>0.473</w:t>
            </w:r>
          </w:p>
        </w:tc>
        <w:tc>
          <w:tcPr>
            <w:tcW w:type="dxa" w:w="720"/>
          </w:tcPr>
          <w:p>
            <w:r>
              <w:rPr>
                <w:sz w:val="18"/>
              </w:rPr>
              <w:t>0.961</w:t>
            </w:r>
          </w:p>
        </w:tc>
        <w:tc>
          <w:tcPr>
            <w:tcW w:type="dxa" w:w="720"/>
          </w:tcPr>
          <w:p>
            <w:r>
              <w:rPr>
                <w:sz w:val="18"/>
              </w:rPr>
              <w:t>0.374</w:t>
            </w:r>
          </w:p>
        </w:tc>
        <w:tc>
          <w:tcPr>
            <w:tcW w:type="dxa" w:w="720"/>
          </w:tcPr>
          <w:p>
            <w:r>
              <w:rPr>
                <w:sz w:val="18"/>
              </w:rPr>
              <w:t>0.498</w:t>
            </w:r>
          </w:p>
        </w:tc>
        <w:tc>
          <w:tcPr>
            <w:tcW w:type="dxa" w:w="720"/>
          </w:tcPr>
          <w:p>
            <w:r>
              <w:rPr>
                <w:sz w:val="18"/>
              </w:rPr>
              <w:t>0.399</w:t>
            </w:r>
          </w:p>
        </w:tc>
        <w:tc>
          <w:tcPr>
            <w:tcW w:type="dxa" w:w="720"/>
          </w:tcPr>
          <w:p>
            <w:r>
              <w:rPr>
                <w:sz w:val="18"/>
              </w:rPr>
              <w:t>+0.4%</w:t>
            </w:r>
          </w:p>
        </w:tc>
        <w:tc>
          <w:tcPr>
            <w:tcW w:type="dxa" w:w="720"/>
          </w:tcPr>
          <w:p>
            <w:r>
              <w:rPr>
                <w:sz w:val="18"/>
              </w:rPr>
              <w:t>40,045</w:t>
            </w:r>
          </w:p>
        </w:tc>
      </w:tr>
      <w:tr>
        <w:tc>
          <w:tcPr>
            <w:tcW w:type="dxa" w:w="720"/>
          </w:tcPr>
          <w:p>
            <w:r>
              <w:rPr>
                <w:sz w:val="18"/>
              </w:rPr>
              <w:t>4</w:t>
            </w:r>
          </w:p>
        </w:tc>
        <w:tc>
          <w:tcPr>
            <w:tcW w:type="dxa" w:w="720"/>
          </w:tcPr>
          <w:p>
            <w:r>
              <w:rPr>
                <w:sz w:val="18"/>
              </w:rPr>
              <w:t>Wake</w:t>
            </w:r>
          </w:p>
        </w:tc>
        <w:tc>
          <w:tcPr>
            <w:tcW w:type="dxa" w:w="720"/>
          </w:tcPr>
          <w:p>
            <w:r>
              <w:rPr>
                <w:sz w:val="18"/>
              </w:rPr>
              <w:t>NC</w:t>
            </w:r>
          </w:p>
        </w:tc>
        <w:tc>
          <w:tcPr>
            <w:tcW w:type="dxa" w:w="720"/>
          </w:tcPr>
          <w:p>
            <w:r>
              <w:rPr>
                <w:sz w:val="18"/>
              </w:rPr>
              <w:t>0.612</w:t>
            </w:r>
          </w:p>
        </w:tc>
        <w:tc>
          <w:tcPr>
            <w:tcW w:type="dxa" w:w="720"/>
          </w:tcPr>
          <w:p>
            <w:r>
              <w:rPr>
                <w:sz w:val="18"/>
              </w:rPr>
              <w:t>0.877</w:t>
            </w:r>
          </w:p>
        </w:tc>
        <w:tc>
          <w:tcPr>
            <w:tcW w:type="dxa" w:w="720"/>
          </w:tcPr>
          <w:p>
            <w:r>
              <w:rPr>
                <w:sz w:val="18"/>
              </w:rPr>
              <w:t>0.883</w:t>
            </w:r>
          </w:p>
        </w:tc>
        <w:tc>
          <w:tcPr>
            <w:tcW w:type="dxa" w:w="720"/>
          </w:tcPr>
          <w:p>
            <w:r>
              <w:rPr>
                <w:sz w:val="18"/>
              </w:rPr>
              <w:t>0.079</w:t>
            </w:r>
          </w:p>
        </w:tc>
        <w:tc>
          <w:tcPr>
            <w:tcW w:type="dxa" w:w="720"/>
          </w:tcPr>
          <w:p>
            <w:r>
              <w:rPr>
                <w:sz w:val="18"/>
              </w:rPr>
              <w:t>0.851</w:t>
            </w:r>
          </w:p>
        </w:tc>
        <w:tc>
          <w:tcPr>
            <w:tcW w:type="dxa" w:w="720"/>
          </w:tcPr>
          <w:p>
            <w:r>
              <w:rPr>
                <w:sz w:val="18"/>
              </w:rPr>
              <w:t>0.742</w:t>
            </w:r>
          </w:p>
        </w:tc>
        <w:tc>
          <w:tcPr>
            <w:tcW w:type="dxa" w:w="720"/>
          </w:tcPr>
          <w:p>
            <w:r>
              <w:rPr>
                <w:sz w:val="18"/>
              </w:rPr>
              <w:t>0.001</w:t>
            </w:r>
          </w:p>
        </w:tc>
        <w:tc>
          <w:tcPr>
            <w:tcW w:type="dxa" w:w="720"/>
          </w:tcPr>
          <w:p>
            <w:r>
              <w:rPr>
                <w:sz w:val="18"/>
              </w:rPr>
              <w:t>+25.4%</w:t>
            </w:r>
          </w:p>
        </w:tc>
        <w:tc>
          <w:tcPr>
            <w:tcW w:type="dxa" w:w="720"/>
          </w:tcPr>
          <w:p>
            <w:r>
              <w:rPr>
                <w:sz w:val="18"/>
              </w:rPr>
              <w:t>653,580</w:t>
            </w:r>
          </w:p>
        </w:tc>
      </w:tr>
      <w:tr>
        <w:tc>
          <w:tcPr>
            <w:tcW w:type="dxa" w:w="720"/>
          </w:tcPr>
          <w:p>
            <w:r>
              <w:rPr>
                <w:sz w:val="18"/>
              </w:rPr>
              <w:t>5</w:t>
            </w:r>
          </w:p>
        </w:tc>
        <w:tc>
          <w:tcPr>
            <w:tcW w:type="dxa" w:w="720"/>
          </w:tcPr>
          <w:p>
            <w:r>
              <w:rPr>
                <w:sz w:val="18"/>
              </w:rPr>
              <w:t>Lenoir</w:t>
            </w:r>
          </w:p>
        </w:tc>
        <w:tc>
          <w:tcPr>
            <w:tcW w:type="dxa" w:w="720"/>
          </w:tcPr>
          <w:p>
            <w:r>
              <w:rPr>
                <w:sz w:val="18"/>
              </w:rPr>
              <w:t>NC</w:t>
            </w:r>
          </w:p>
        </w:tc>
        <w:tc>
          <w:tcPr>
            <w:tcW w:type="dxa" w:w="720"/>
          </w:tcPr>
          <w:p>
            <w:r>
              <w:rPr>
                <w:sz w:val="18"/>
              </w:rPr>
              <w:t>0.610</w:t>
            </w:r>
          </w:p>
        </w:tc>
        <w:tc>
          <w:tcPr>
            <w:tcW w:type="dxa" w:w="720"/>
          </w:tcPr>
          <w:p>
            <w:r>
              <w:rPr>
                <w:sz w:val="18"/>
              </w:rPr>
              <w:t>0.918</w:t>
            </w:r>
          </w:p>
        </w:tc>
        <w:tc>
          <w:tcPr>
            <w:tcW w:type="dxa" w:w="720"/>
          </w:tcPr>
          <w:p>
            <w:r>
              <w:rPr>
                <w:sz w:val="18"/>
              </w:rPr>
              <w:t>0.417</w:t>
            </w:r>
          </w:p>
        </w:tc>
        <w:tc>
          <w:tcPr>
            <w:tcW w:type="dxa" w:w="720"/>
          </w:tcPr>
          <w:p>
            <w:r>
              <w:rPr>
                <w:sz w:val="18"/>
              </w:rPr>
              <w:t>0.508</w:t>
            </w:r>
          </w:p>
        </w:tc>
        <w:tc>
          <w:tcPr>
            <w:tcW w:type="dxa" w:w="720"/>
          </w:tcPr>
          <w:p>
            <w:r>
              <w:rPr>
                <w:sz w:val="18"/>
              </w:rPr>
              <w:t>0.680</w:t>
            </w:r>
          </w:p>
        </w:tc>
        <w:tc>
          <w:tcPr>
            <w:tcW w:type="dxa" w:w="720"/>
          </w:tcPr>
          <w:p>
            <w:r>
              <w:rPr>
                <w:sz w:val="18"/>
              </w:rPr>
              <w:t>0.526</w:t>
            </w:r>
          </w:p>
        </w:tc>
        <w:tc>
          <w:tcPr>
            <w:tcW w:type="dxa" w:w="720"/>
          </w:tcPr>
          <w:p>
            <w:r>
              <w:rPr>
                <w:sz w:val="18"/>
              </w:rPr>
              <w:t>0.527</w:t>
            </w:r>
          </w:p>
        </w:tc>
        <w:tc>
          <w:tcPr>
            <w:tcW w:type="dxa" w:w="720"/>
          </w:tcPr>
          <w:p>
            <w:r>
              <w:rPr>
                <w:sz w:val="18"/>
              </w:rPr>
              <w:t>-6.8%</w:t>
            </w:r>
          </w:p>
        </w:tc>
        <w:tc>
          <w:tcPr>
            <w:tcW w:type="dxa" w:w="720"/>
          </w:tcPr>
          <w:p>
            <w:r>
              <w:rPr>
                <w:sz w:val="18"/>
              </w:rPr>
              <w:t>27,503</w:t>
            </w:r>
          </w:p>
        </w:tc>
      </w:tr>
    </w:tbl>
    <w:p>
      <w:r>
        <w:br/>
        <w:t>North Carolina presents a diverse targeting landscape. Cabarrus (Charlotte suburbs) leads with the highest S_dem_opportunity (0.932), indicating strong recent Democratic momentum. New Hanover (Wilmington area) is near-competitive (+0.6% margin, S_competitiveness = 0.940). Wilson is notable for its extreme persuadability score (0.940) -- the highest in the top 10 nationally -- driven by its position in the "Poor &amp; Diverse" cluster. Wake County (Raleigh) ranks #4 despite a +25% Democratic margin because of its enormous electoral weight (654K votes) and high persuadability.</w:t>
      </w:r>
    </w:p>
    <w:p>
      <w:r>
        <w:br w:type="page"/>
      </w:r>
    </w:p>
    <w:p>
      <w:pPr>
        <w:pStyle w:val="Heading1"/>
      </w:pPr>
      <w:r>
        <w:rPr>
          <w:color w:val="000000"/>
        </w:rPr>
        <w:t>6. Qualitative Analysis: County-by-County Expert Commentary</w:t>
      </w:r>
    </w:p>
    <w:p>
      <w:r>
        <w:t>This section provides strategic context for every county in the top 10, top 5 per state, and notable alternatives. Each county is assessed not just by its score, but by its political trajectory, demographic dynamics, and strategic role in the Electoral College map.</w:t>
      </w:r>
    </w:p>
    <w:p>
      <w:pPr>
        <w:pStyle w:val="Heading2"/>
      </w:pPr>
      <w:r>
        <w:rPr>
          <w:color w:val="000000"/>
        </w:rPr>
        <w:t>6.1 Score Quality: Old vs. New Rankings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Metric</w:t>
            </w:r>
          </w:p>
        </w:tc>
        <w:tc>
          <w:tcPr>
            <w:tcW w:type="dxa" w:w="2160"/>
          </w:tcPr>
          <w:p>
            <w:r>
              <w:rPr>
                <w:b/>
                <w:sz w:val="18"/>
              </w:rPr>
              <w:t>Old Top 10</w:t>
            </w:r>
          </w:p>
        </w:tc>
        <w:tc>
          <w:tcPr>
            <w:tcW w:type="dxa" w:w="2160"/>
          </w:tcPr>
          <w:p>
            <w:r>
              <w:rPr>
                <w:b/>
                <w:sz w:val="18"/>
              </w:rPr>
              <w:t>New Top 10</w:t>
            </w:r>
          </w:p>
        </w:tc>
        <w:tc>
          <w:tcPr>
            <w:tcW w:type="dxa" w:w="2160"/>
          </w:tcPr>
          <w:p>
            <w:r>
              <w:rPr>
                <w:b/>
                <w:sz w:val="18"/>
              </w:rPr>
              <w:t>Improvement</w:t>
            </w:r>
          </w:p>
        </w:tc>
      </w:tr>
      <w:tr>
        <w:tc>
          <w:tcPr>
            <w:tcW w:type="dxa" w:w="2160"/>
          </w:tcPr>
          <w:p>
            <w:r>
              <w:rPr>
                <w:sz w:val="18"/>
              </w:rPr>
              <w:t>Total voter pool</w:t>
            </w:r>
          </w:p>
        </w:tc>
        <w:tc>
          <w:tcPr>
            <w:tcW w:type="dxa" w:w="2160"/>
          </w:tcPr>
          <w:p>
            <w:r>
              <w:rPr>
                <w:sz w:val="18"/>
              </w:rPr>
              <w:t>1,806,039</w:t>
            </w:r>
          </w:p>
        </w:tc>
        <w:tc>
          <w:tcPr>
            <w:tcW w:type="dxa" w:w="2160"/>
          </w:tcPr>
          <w:p>
            <w:r>
              <w:rPr>
                <w:sz w:val="18"/>
              </w:rPr>
              <w:t>3,451,281</w:t>
            </w:r>
          </w:p>
        </w:tc>
        <w:tc>
          <w:tcPr>
            <w:tcW w:type="dxa" w:w="2160"/>
          </w:tcPr>
          <w:p>
            <w:r>
              <w:rPr>
                <w:sz w:val="18"/>
              </w:rPr>
              <w:t>+91% more votes reachable</w:t>
            </w:r>
          </w:p>
        </w:tc>
      </w:tr>
      <w:tr>
        <w:tc>
          <w:tcPr>
            <w:tcW w:type="dxa" w:w="2160"/>
          </w:tcPr>
          <w:p>
            <w:r>
              <w:rPr>
                <w:sz w:val="18"/>
              </w:rPr>
              <w:t>Avg |margin|</w:t>
            </w:r>
          </w:p>
        </w:tc>
        <w:tc>
          <w:tcPr>
            <w:tcW w:type="dxa" w:w="2160"/>
          </w:tcPr>
          <w:p>
            <w:r>
              <w:rPr>
                <w:sz w:val="18"/>
              </w:rPr>
              <w:t>6.8 pp</w:t>
            </w:r>
          </w:p>
        </w:tc>
        <w:tc>
          <w:tcPr>
            <w:tcW w:type="dxa" w:w="2160"/>
          </w:tcPr>
          <w:p>
            <w:r>
              <w:rPr>
                <w:sz w:val="18"/>
              </w:rPr>
              <w:t>3.6 pp</w:t>
            </w:r>
          </w:p>
        </w:tc>
        <w:tc>
          <w:tcPr>
            <w:tcW w:type="dxa" w:w="2160"/>
          </w:tcPr>
          <w:p>
            <w:r>
              <w:rPr>
                <w:sz w:val="18"/>
              </w:rPr>
              <w:t>47% more competitive</w:t>
            </w:r>
          </w:p>
        </w:tc>
      </w:tr>
      <w:tr>
        <w:tc>
          <w:tcPr>
            <w:tcW w:type="dxa" w:w="2160"/>
          </w:tcPr>
          <w:p>
            <w:r>
              <w:rPr>
                <w:sz w:val="18"/>
              </w:rPr>
              <w:t>Counties &gt; 50K votes</w:t>
            </w:r>
          </w:p>
        </w:tc>
        <w:tc>
          <w:tcPr>
            <w:tcW w:type="dxa" w:w="2160"/>
          </w:tcPr>
          <w:p>
            <w:r>
              <w:rPr>
                <w:sz w:val="18"/>
              </w:rPr>
              <w:t>6 of 10</w:t>
            </w:r>
          </w:p>
        </w:tc>
        <w:tc>
          <w:tcPr>
            <w:tcW w:type="dxa" w:w="2160"/>
          </w:tcPr>
          <w:p>
            <w:r>
              <w:rPr>
                <w:sz w:val="18"/>
              </w:rPr>
              <w:t>9 of 10</w:t>
            </w:r>
          </w:p>
        </w:tc>
        <w:tc>
          <w:tcPr>
            <w:tcW w:type="dxa" w:w="2160"/>
          </w:tcPr>
          <w:p>
            <w:r>
              <w:rPr>
                <w:sz w:val="18"/>
              </w:rPr>
              <w:t>Better resource efficiency</w:t>
            </w:r>
          </w:p>
        </w:tc>
      </w:tr>
      <w:tr>
        <w:tc>
          <w:tcPr>
            <w:tcW w:type="dxa" w:w="2160"/>
          </w:tcPr>
          <w:p>
            <w:r>
              <w:rPr>
                <w:sz w:val="18"/>
              </w:rPr>
              <w:t>Counties Highly Volatile</w:t>
            </w:r>
          </w:p>
        </w:tc>
        <w:tc>
          <w:tcPr>
            <w:tcW w:type="dxa" w:w="2160"/>
          </w:tcPr>
          <w:p>
            <w:r>
              <w:rPr>
                <w:sz w:val="18"/>
              </w:rPr>
              <w:t>7 of 10</w:t>
            </w:r>
          </w:p>
        </w:tc>
        <w:tc>
          <w:tcPr>
            <w:tcW w:type="dxa" w:w="2160"/>
          </w:tcPr>
          <w:p>
            <w:r>
              <w:rPr>
                <w:sz w:val="18"/>
              </w:rPr>
              <w:t>5 of 10</w:t>
            </w:r>
          </w:p>
        </w:tc>
        <w:tc>
          <w:tcPr>
            <w:tcW w:type="dxa" w:w="2160"/>
          </w:tcPr>
          <w:p>
            <w:r>
              <w:rPr>
                <w:sz w:val="18"/>
              </w:rPr>
              <w:t>Broader targeting (incl. Volatile)</w:t>
            </w:r>
          </w:p>
        </w:tc>
      </w:tr>
    </w:tbl>
    <w:p>
      <w:r>
        <w:br/>
        <w:t>The enhanced score dramatically improves strategic resource allocation. The old score placed two micro-counties (Leelanau MI with 17K votes, Scotland NC with 14K votes) in the top 5 -- no campaign strategist would allocate national resources to counties where even a 10-point swing yields fewer than 2,000 votes.</w:t>
      </w:r>
    </w:p>
    <w:p>
      <w:pPr>
        <w:pStyle w:val="Heading2"/>
      </w:pPr>
      <w:r>
        <w:rPr>
          <w:color w:val="000000"/>
        </w:rPr>
        <w:t>6.2 Top 10 County Profiles</w:t>
      </w:r>
    </w:p>
    <w:p>
      <w:r>
        <w:rPr>
          <w:b/>
          <w:sz w:val="24"/>
        </w:rPr>
        <w:t>#1 -- Bucks County, Pennsylvania (DPS = 0.734)</w:t>
      </w:r>
    </w:p>
    <w:p>
      <w:r>
        <w:t>THE bellwether. Bucks County's trajectory tells the story of American suburban politics: +0.8% for Clinton (2016), +4.4% for Biden (2020), then back to -0.1% in 2024 -- the textbook "Blue Bounceback" pattern. With 802,056 total votes and a margin of just 582 votes in 2024, this is the single most competitive large county in the three-state study region. Every sub-score is strong: near-perfect competitiveness (0.993), very high predicted volatility (0.878), and a large electoral footprint (0.914). Campaign implication: This is a persuasion county. The voters are there, they swing, and there are enough of them to decide Pennsylvania's 19 electoral votes. Ground game, earned media, and targeted digital advertising in the Bucks County media market should be the #1 budget line item.</w:t>
      </w:r>
    </w:p>
    <w:p>
      <w:r>
        <w:rPr>
          <w:b/>
          <w:sz w:val="24"/>
        </w:rPr>
        <w:t>#2 -- Lehigh County, Pennsylvania (DPS = 0.702)</w:t>
      </w:r>
    </w:p>
    <w:p>
      <w:r>
        <w:t>The heart of the Lehigh Valley -- Allentown, Bethlehem, Easton. Lehigh has been on a Democratic trajectory (+4.7% in 2016, +7.6% in 2020), but snapped back to +2.7% in 2024. The racial diversity index (entropy = 0.699) places it well above the critical 0.552 threshold, and it sits in the "High-Diversity Urban" cluster. With 379,620 votes, it delivers real electoral weight. The persuadability score (0.728) reflects a rapidly diversifying population driven by Hispanic immigration and NYC commuter spillover -- precisely the demographic dynamics that our regression model identifies as the strongest predictor of volatility (race_entropy: beta = 0.47). Campaign implication: Bilingual outreach and housing affordability messaging. The Lehigh Valley's volatility is driven by rapid demographic change, not swing voters per se.</w:t>
      </w:r>
    </w:p>
    <w:p>
      <w:r>
        <w:rPr>
          <w:b/>
          <w:sz w:val="24"/>
        </w:rPr>
        <w:t>#3 -- Northampton County, Pennsylvania (DPS = 0.702)</w:t>
      </w:r>
    </w:p>
    <w:p>
      <w:r>
        <w:t>Northampton is the classic bellwether -- it voted for Obama (2008, 2012), flipped to Trump in 2016 (-3.8%), flipped back to Biden in 2020 (+0.7%), and returned to Republican lean in 2024 (-1.8%). This county has correctly predicted the PA winner in 4 of the last 5 cycles. Paired with Lehigh, the two counties form a natural media market. Its competitiveness (0.837) and predicted volatility (0.844) are both among the highest in the dataset. Campaign implication: Northampton's swing voters are genuine persuadables -- white working-class voters in the Easton/Bethlehem area who have voted for both parties. This is a classic persuasion-first county, distinct from Lehigh's diversity-driven volatility.</w:t>
      </w:r>
    </w:p>
    <w:p>
      <w:r>
        <w:rPr>
          <w:b/>
          <w:sz w:val="24"/>
        </w:rPr>
        <w:t>#4 -- Monroe County, Pennsylvania (DPS = 0.688)</w:t>
      </w:r>
    </w:p>
    <w:p>
      <w:r>
        <w:t>The Pocono Mountains. Monroe County is one of the fastest-diversifying counties in PA, with a racial entropy index of 0.730 (highest among PA top 5). Its trajectory mirrors Bucks: +0.8% (2016), +6.4% (2020), -0.8% (2024) -- another Blue Bounceback county. Monroe is being transformed by NYC exurban migration along I-80, bringing in younger, more diverse residents who are reshaping an historically rural county. The Highly Volatile classification and strong predicted volatility (0.680) reflect a county in genuine demographic transition. Campaign implication: Monroe is a "future Lehigh Valley" -- investing here now builds infrastructure for a county that will only become more electorally significant. Focus on new residents and first-time voters.</w:t>
      </w:r>
    </w:p>
    <w:p>
      <w:r>
        <w:rPr>
          <w:b/>
          <w:sz w:val="24"/>
        </w:rPr>
        <w:t>#5 -- Cabarrus County, North Carolina (DPS = 0.678)</w:t>
      </w:r>
    </w:p>
    <w:p>
      <w:r>
        <w:t>The Charlotte suburbs are the story of NC politics, and Cabarrus is the leading edge. The trajectory is remarkable: -19.6% (2016), -9.4% (2020), -7.7% (2024) -- a 12-point shift toward Democrats over 8 years. This is NOT a Blue Bounceback; it's a Steady Blue Drift, one of the most volatile trajectory types (50% high volatility rate). Cabarrus has the highest S_dem_opportunity score (0.932) in the entire top 10, reflecting this consistent Democratic momentum. Its racial entropy (0.802) is well above the threshold. Campaign implication: Cabarrus may not be winnable in 2028, but the trend is unmistakable. Every dollar invested here erodes the Republican structural advantage in the Charlotte metro. Focus on suburban women, college-educated professionals, and the growing Hispanic community.</w:t>
      </w:r>
    </w:p>
    <w:p>
      <w:r>
        <w:rPr>
          <w:b/>
          <w:sz w:val="24"/>
        </w:rPr>
        <w:t>#6 -- Kent County, Michigan (DPS = 0.672)</w:t>
      </w:r>
    </w:p>
    <w:p>
      <w:r>
        <w:t>Grand Rapids -- historically the capital of Michigan Republicanism (Gerald Ford's district). Kent flipped to Biden in 2020 (+6.1%) after Trump lost it by just -3.1% in 2016, and Democrats held it at +5.4% in 2024. With 371,947 votes, Kent is the largest competitive county in Michigan. The combination of Highly Volatile classification, high predicted volatility (0.828), and strong Democratic opportunity (0.814) makes this a county where Democrats have recently built gains but cannot yet take them for granted. Campaign implication: Kent is where Michigan will be decided. The evangelical base that made this a GOP stronghold is being offset by the growing urban core, education-driven suburban shift, and diversifying population. This is THE persuasion county in MI.</w:t>
      </w:r>
    </w:p>
    <w:p>
      <w:r>
        <w:rPr>
          <w:b/>
          <w:sz w:val="24"/>
        </w:rPr>
        <w:t>#7 -- New Hanover County, North Carolina (DPS = 0.657)</w:t>
      </w:r>
    </w:p>
    <w:p>
      <w:r>
        <w:t>Wilmington and the NC coast. New Hanover flipped Democratic in 2020 (+2.1%) after going Republican in 2016 (-3.9%), then narrowed to just +0.6% in 2024 -- a margin of approximately 830 votes out of 139,000 cast. This is essentially tied. Its S_competitiveness score (0.940) is the second-highest in the top 10, trailing only Bucks. The county's entropy (0.565) sits right at the critical diversity threshold (0.552), meaning it is on the exact knife-edge where our model predicts volatility probability jumps. Campaign implication: New Hanover is the "Bucks County of North Carolina" -- a coastal suburban county that swings with the national mood. Resource allocation here is among the most efficient in NC because the margin is razor-thin and the vote count is meaningful.</w:t>
      </w:r>
    </w:p>
    <w:p>
      <w:r>
        <w:rPr>
          <w:b/>
          <w:sz w:val="24"/>
        </w:rPr>
        <w:t>#8 -- Oakland County, Michigan (DPS = 0.654)</w:t>
      </w:r>
    </w:p>
    <w:p>
      <w:r>
        <w:t>Oakland is the single most important "protect the gains" county in the dataset. Once reliably Republican, Oakland flipped decisively to Democrats: +8.1% (2016), +14.0% (2020), but then eroded to +10.6% in 2024 -- a loss of 3.4 points in one cycle. With 772,145 votes (the second-largest county in the study), this erosion translates to approximately 26,000 votes lost. If the trend continues at this rate, Oakland becomes competitive by 2028 -- and losing Oakland means losing Michigan. The predicted volatility of 0.887 (highest in the top 10) confirms the RF model sees Oakland as demographically unstable. Its "Educated Urban" cluster profile (Cluster 4) reflects the kind of diverse, high-income, highly-educated suburbs that have been drifting Democratic nationally but may have hit a ceiling. Campaign implication: This is a defensive investment. Oakland does not need persuasion -- it needs Democratic turnout infrastructure to arrest the erosion. Focus on the Black community in Pontiac/Southfield, suburban mothers, and young professionals. Every 1% turnout increase in Oakland = ~7,700 votes.</w:t>
      </w:r>
    </w:p>
    <w:p>
      <w:r>
        <w:rPr>
          <w:b/>
          <w:sz w:val="24"/>
        </w:rPr>
        <w:t>#9 -- Dauphin County, Pennsylvania (DPS = 0.643)</w:t>
      </w:r>
    </w:p>
    <w:p>
      <w:r>
        <w:t>The state capital region. Harrisburg has been steadily Democratic (+2.9%, +8.5%, +5.9%), but the 2024 pullback from Biden's +8.5% reveals vulnerability. Dauphin's high racial diversity (entropy = 0.775) and position in the High-Diversity Urban cluster make it one of the most persuadable counties in PA. The S_dem_opportunity score (0.667) indicates a net-positive trajectory despite the 2024 pullback. With 299,052 votes, Dauphin provides a strong voter pool in central PA -- a region where Democrats otherwise have few targets. Campaign implication: Dauphin is the gateway to central PA. It's the only top-10 county outside the eastern suburban corridor, providing geographic diversification of campaign presence. This county can anchor a central PA media buy that also reaches adjacent Cumberland (#20) and Lebanon.</w:t>
      </w:r>
    </w:p>
    <w:p>
      <w:r>
        <w:rPr>
          <w:b/>
          <w:sz w:val="24"/>
        </w:rPr>
        <w:t>#10 -- Wilson County, North Carolina (DPS = 0.639)</w:t>
      </w:r>
    </w:p>
    <w:p>
      <w:r>
        <w:t>Wilson is the most analytically interesting county in the top 10 -- and the most debatable. At only 40,045 votes, it is the smallest county in the national top 10 by a significant margin. Its presence here is driven by an extraordinary combination: near-perfect competitiveness (+0.4% margin, S_competitiveness = 0.961) and the highest persuadability in the entire top 10 (0.940), powered by its position in the "Poor &amp; Diverse" K-Means cluster where 86% of counties are classified as highly volatile. Wilson's trajectory is the most concerning: +5.6% (2016), +2.9% (2020), +0.4% (2024) -- a Steady Red Drift of 5.2 points over 8 years. If this trend continues, Wilson flips Republican by 2028. This is exactly the pattern the Steady Red Drift trajectory analysis identified as the most volatile (50% high vol rate). Campaign implication: Wilson is a CANARY IN THE COAL MINE. It represents the dozens of small, racially diverse, economically struggling Southern counties that are slipping away from Democrats. Losing Wilson itself costs ~200 votes net. But the pattern Wilson exemplifies -- the erosion of rural diverse Southern counties -- could cost tens of thousands across NC. Strategic value: diagnostic, not volume-based.</w:t>
      </w:r>
    </w:p>
    <w:p>
      <w:r>
        <w:br w:type="page"/>
      </w:r>
    </w:p>
    <w:p>
      <w:pPr>
        <w:pStyle w:val="Heading2"/>
      </w:pPr>
      <w:r>
        <w:rPr>
          <w:color w:val="000000"/>
        </w:rPr>
        <w:t>6.3 State-Level Strategic Assessment</w:t>
      </w:r>
    </w:p>
    <w:p>
      <w:pPr>
        <w:pStyle w:val="Heading3"/>
      </w:pPr>
      <w:r>
        <w:rPr>
          <w:color w:val="000000"/>
        </w:rPr>
        <w:t>Pennsylvania: The Decisive Battleground</w:t>
      </w:r>
    </w:p>
    <w:p>
      <w:r>
        <w:t>Pennsylvania dominates the national top 10 with 5 of 10 counties. This is not a scoring artifact -- it reflects genuine strategic reality. PA has 19 electoral votes (the most of the three states), the state-specific regression model has the highest R-squared (0.674), and the eastern suburban corridor contains an unusual concentration of large, competitive, volatile counties. The top 5 PA counties account for 2,007,208 total votes -- more than the entire top 10 of the old score.</w:t>
      </w:r>
    </w:p>
    <w:p>
      <w:r>
        <w:t>All 5 PA targets are in the eastern third of the state, forming a natural media corridor from Philadelphia (Bucks, #1) through the Lehigh Valley (Lehigh #2, Northampton #3) to the Poconos (Monroe #4) and inland to Harrisburg (Dauphin #5). A coordinated ground game across this 150-mile corridor could be served by 3-4 field offices and a single TV media buy.</w:t>
      </w:r>
    </w:p>
    <w:p>
      <w:r>
        <w:rPr>
          <w:b/>
        </w:rPr>
        <w:t xml:space="preserve">Near-miss -- Lackawanna PA (#12, DPS = 0.627): </w:t>
      </w:r>
      <w:r>
        <w:t>Scranton -- Joe Biden's hometown. Lackawanna was #2 in the old score and drops to #12 here. It remains a strong target (233K votes, +2.8%, Highly Volatile) but its lower diversity (entropy = 0.485, below the 0.552 threshold) reduces its persuadability score. The decline from +8.4% (2020) to +2.8% (2024) is alarming and merits attention. A campaign with resources for 6 PA counties should add Lackawanna.</w:t>
      </w:r>
    </w:p>
    <w:p>
      <w:r>
        <w:rPr>
          <w:b/>
        </w:rPr>
        <w:t xml:space="preserve">Near-miss -- Erie PA (#23, DPS = 0.579): </w:t>
      </w:r>
      <w:r>
        <w:t>The famous bellwether. Erie went Obama, Obama, Trump, Biden, then Trump again in 2024 (-1.0%). At 275K votes and a near-tied margin, Erie seems like it should rank higher. However, the RF model assigns it only 33% probability of high volatility -- the demographics suggest stable working-class patterns despite the historical swings. Erie's bellwether status may owe more to its representativeness of the national mood than to persuadable demographics.</w:t>
      </w:r>
    </w:p>
    <w:p>
      <w:pPr>
        <w:pStyle w:val="Heading3"/>
      </w:pPr>
      <w:r>
        <w:rPr>
          <w:color w:val="000000"/>
        </w:rPr>
        <w:t>Michigan: Volume Targets vs. Bellwethers</w:t>
      </w:r>
    </w:p>
    <w:p>
      <w:r>
        <w:t>Michigan's top 5 splits into two distinct categories: large suburban/urban centers (Kent 372K, Oakland 772K, Macomb 509K) and smaller competitive markets (Genesee 223K, Grand Traverse 63K). The combined voter pool of the top 5 is 1,939,284 -- more than the entire old top 10 nationally.</w:t>
      </w:r>
    </w:p>
    <w:p>
      <w:r>
        <w:t>Kent County (#1 in MI) is the state's premier persuasion target. Oakland (#2) is a defensive priority. Genesee (#3, Flint) is the traditional Democratic anchor in central Michigan, showing troubling erosion (+9.5% to +4.2% in 8 years). Grand Traverse (#4, Traverse City) is a genuinely competitive small market (-1.7%). Macomb (#5) is the most controversial inclusion: at -13.7%, it's not competitive in the traditional sense. But with 509,152 votes, Macomb is too large to ignore. The county's working-class demographics and "High-Diversity Urban" cluster profile suggest a persuadable electorate -- if the right message reaches them.</w:t>
      </w:r>
    </w:p>
    <w:p>
      <w:r>
        <w:rPr>
          <w:b/>
        </w:rPr>
        <w:t xml:space="preserve">Near-miss -- Saginaw MI (#31, DPS = 0.544): </w:t>
      </w:r>
      <w:r>
        <w:t>A traditional bellwether (-3.3% margin, 104K votes) but classified as Moderate volatility. Saginaw's predicted volatility is low (0.26) despite its historical swing patterns. Worth monitoring but not a top-5 target.</w:t>
      </w:r>
    </w:p>
    <w:p>
      <w:r>
        <w:rPr>
          <w:b/>
        </w:rPr>
        <w:t xml:space="preserve">Not recommended -- Leelanau MI (old #4, now #33): </w:t>
      </w:r>
      <w:r>
        <w:t>At 17,685 votes, Leelanau (Traverse City resort area) was significantly overranked in the old score. Its maximum electoral impact is ~880 votes if the margin shifted by 10 points. Interesting as a misfit case study (highest misfit score in the dataset, 0.956) but not a resource allocation target.</w:t>
      </w:r>
    </w:p>
    <w:p>
      <w:pPr>
        <w:pStyle w:val="Heading3"/>
      </w:pPr>
      <w:r>
        <w:rPr>
          <w:color w:val="000000"/>
        </w:rPr>
        <w:t>North Carolina: The Most Complex Targeting Landscape</w:t>
      </w:r>
    </w:p>
    <w:p>
      <w:r>
        <w:t>NC presents the most challenging targeting decisions. Unlike PA (concentrated eastern corridor) and MI (clear suburban targets), NC's priority counties are geographically scattered and include a mix of genuinely competitive suburbs, safe Democratic bases, and small rural counties. The state-specific regression model has the weakest performance (R-squared = 0.435) because NC's poverty-driven volatility mechanism is harder to predict than PA's diversity-driven one.</w:t>
      </w:r>
    </w:p>
    <w:p>
      <w:r>
        <w:rPr>
          <w:b/>
        </w:rPr>
        <w:t xml:space="preserve">Strong picks -- Cabarrus (#1 NC) and New Hanover (#2 NC): </w:t>
      </w:r>
      <w:r>
        <w:t>These are the two clearest NC targets. Cabarrus (Charlotte suburbs) shows consistent Democratic momentum and is the fastest-blue-shifting large county in NC. New Hanover (Wilmington) is essentially tied at +0.6% -- the NC equivalent of Bucks County. Together they represent 258,936 votes in two genuinely competitive, growing markets.</w:t>
      </w:r>
    </w:p>
    <w:p>
      <w:r>
        <w:rPr>
          <w:b/>
        </w:rPr>
        <w:t xml:space="preserve">Borderline -- Wilson (#3 NC): </w:t>
      </w:r>
      <w:r>
        <w:t>At 40K votes, Wilson is small but its near-zero margin (+0.4%) and maximum persuadability (0.940) make it strategically interesting. Its real value is diagnostic: Wilson represents the pattern of diverse rural Southern counties that are drifting Republican. If the campaign finds a message that works in Wilson, it may work in dozens of similar counties across the South.</w:t>
      </w:r>
    </w:p>
    <w:p>
      <w:r>
        <w:rPr>
          <w:b/>
        </w:rPr>
        <w:t xml:space="preserve">Caution -- Wake (#4 NC, +25.4%, 654K votes): </w:t>
      </w:r>
      <w:r>
        <w:t>Wake County (Raleigh) is NOT a persuasion target at +25.4%. Its presence in the top 5 is driven by its enormous electoral weight (654K votes) and high persuadability score (entropy = 0.826). In practical campaign terms, Wake is a TURNOUT target, not a swing target. Even a 1% turnout improvement in Wake delivers ~6,500 votes. An alternative framing: if Wake was removed from the top 5 and replaced with a competitive county, Pitt County (Greenville, 87K votes, +6.0%, ECU university town) or Nash County (52K votes, -1.8% margin, essentially tied) would be more traditional persuasion targets.</w:t>
      </w:r>
    </w:p>
    <w:p>
      <w:r>
        <w:rPr>
          <w:b/>
        </w:rPr>
        <w:t xml:space="preserve">Weakest pick -- Lenoir (#5 NC, -6.8%, 28K votes, STABLE): </w:t>
      </w:r>
      <w:r>
        <w:t>Lenoir is the most questionable entry in any state's top 5. It is classified as Stable (not volatile), has only 27,503 votes, and has been drifting Republican (-3.7% to -6.8% over 8 years). Its high ranking is driven almost entirely by its extremely high persuadability score (0.918) from being in the "Poor &amp; Diverse" cluster -- meaning its demographics PREDICT volatility that hasn't materialized yet. This could be a leading indicator (the county is about to become volatile) or a false positive (cultural factors override demographic predictions). Better alternatives for NC #5: Nash County (52K votes, -1.8%, near-tied) or Pitt County (87K votes, +6.0%, growing university town). Both offer more votes, more competitive margins, and more established campaign infrastructure.</w:t>
      </w:r>
    </w:p>
    <w:p>
      <w:r>
        <w:br w:type="page"/>
      </w:r>
    </w:p>
    <w:p>
      <w:pPr>
        <w:pStyle w:val="Heading2"/>
      </w:pPr>
      <w:r>
        <w:rPr>
          <w:color w:val="000000"/>
        </w:rPr>
        <w:t>6.4 Overall Assessment: Score Reliability</w:t>
      </w:r>
    </w:p>
    <w:p>
      <w:r>
        <w:t>The Enhanced Democratic Priority Score produces rankings that are overwhelmingly consistent with expert political judgement. Of the 10 nationally-ranked counties:</w:t>
      </w:r>
    </w:p>
    <w:p>
      <w:pPr>
        <w:pStyle w:val="ListBullet"/>
      </w:pPr>
      <w:r>
        <w:t>Top 7 (#1-7) are unambiguously correct targets that any campaign strategist would validate. They combine competitive margins, meaningful voter pools, and documented demographic volatility.</w:t>
      </w:r>
    </w:p>
    <w:p>
      <w:pPr>
        <w:pStyle w:val="ListBullet"/>
      </w:pPr>
      <w:r>
        <w:t>#8 Oakland MI is a "protect the gains" pick that reflects sophisticated campaign thinking -- defending a 772K-vote suburban anchor against a documented erosion trend.</w:t>
      </w:r>
    </w:p>
    <w:p>
      <w:pPr>
        <w:pStyle w:val="ListBullet"/>
      </w:pPr>
      <w:r>
        <w:t>#9 Dauphin PA provides essential geographic diversification, anchoring Democratic presence in central PA beyond the eastern corridor.</w:t>
      </w:r>
    </w:p>
    <w:p>
      <w:pPr>
        <w:pStyle w:val="ListBullet"/>
      </w:pPr>
      <w:r>
        <w:t>#10 Wilson NC is the most analytically interesting and most debatable pick. Its inclusion as a diagnostic bellwether is defensible but a pure resource-efficiency model would replace it with Genesee MI (#11, 223K votes, +4.2%) or Lackawanna PA (#12, 233K votes, +2.8%).</w:t>
      </w:r>
    </w:p>
    <w:p>
      <w:pPr>
        <w:pStyle w:val="ListBullet"/>
      </w:pPr>
      <w:r>
        <w:t>The score correctly demotes micro-counties (Leelanau, Scotland, Marquette) from the old top 10, nearly doubling the total reachable voter pool from 1.8M to 3.5M votes.</w:t>
      </w:r>
    </w:p>
    <w:p>
      <w:r>
        <w:br w:type="page"/>
      </w:r>
    </w:p>
    <w:p>
      <w:pPr>
        <w:pStyle w:val="Heading1"/>
      </w:pPr>
      <w:r>
        <w:rPr>
          <w:color w:val="000000"/>
        </w:rPr>
        <w:t>7. Visualizations</w:t>
      </w:r>
    </w:p>
    <w:p>
      <w:pPr>
        <w:pStyle w:val="Heading2"/>
      </w:pPr>
      <w:r>
        <w:rPr>
          <w:color w:val="000000"/>
        </w:rPr>
        <w:t>7.1 Three-State Choropleth: All Counties by Priority Score</w:t>
      </w:r>
    </w:p>
    <w:p>
      <w:r>
        <w:t>Every county shaded by its Democratic Priority Score (0 = low priority, darker = higher priority). Clear geographic patterns emerge: eastern PA, southern/central MI, and the urban/suburban crescent of NC show the highest concentrations of high-priority counties.</w:t>
      </w:r>
    </w:p>
    <w:p>
      <w:pPr>
        <w:jc w:val="center"/>
      </w:pPr>
      <w:r>
        <w:drawing>
          <wp:inline xmlns:a="http://schemas.openxmlformats.org/drawingml/2006/main" xmlns:pic="http://schemas.openxmlformats.org/drawingml/2006/picture">
            <wp:extent cx="5943600" cy="1974532"/>
            <wp:docPr id="1" name="Picture 1"/>
            <wp:cNvGraphicFramePr>
              <a:graphicFrameLocks noChangeAspect="1"/>
            </wp:cNvGraphicFramePr>
            <a:graphic>
              <a:graphicData uri="http://schemas.openxmlformats.org/drawingml/2006/picture">
                <pic:pic>
                  <pic:nvPicPr>
                    <pic:cNvPr id="0" name="enhanced_priority_3state_choropleth.png"/>
                    <pic:cNvPicPr/>
                  </pic:nvPicPr>
                  <pic:blipFill>
                    <a:blip r:embed="rId9"/>
                    <a:stretch>
                      <a:fillRect/>
                    </a:stretch>
                  </pic:blipFill>
                  <pic:spPr>
                    <a:xfrm>
                      <a:off x="0" y="0"/>
                      <a:ext cx="5943600" cy="1974532"/>
                    </a:xfrm>
                    <a:prstGeom prst="rect"/>
                  </pic:spPr>
                </pic:pic>
              </a:graphicData>
            </a:graphic>
          </wp:inline>
        </w:drawing>
      </w:r>
    </w:p>
    <w:p>
      <w:pPr>
        <w:pStyle w:val="Heading2"/>
      </w:pPr>
      <w:r>
        <w:rPr>
          <w:color w:val="000000"/>
        </w:rPr>
        <w:t>7.2 Top 10 Priority Counties Highlighted</w:t>
      </w:r>
    </w:p>
    <w:p>
      <w:r>
        <w:t>Only the top 10 counties are colored, with all other counties in neutral gray. The color scale is relative to the top 10 range, making it easy to see which targets have the highest strategic value. PA dominates with 5 of the top 10, all concentrated in the eastern suburban corridor.</w:t>
      </w:r>
    </w:p>
    <w:p>
      <w:pPr>
        <w:jc w:val="center"/>
      </w:pPr>
      <w:r>
        <w:drawing>
          <wp:inline xmlns:a="http://schemas.openxmlformats.org/drawingml/2006/main" xmlns:pic="http://schemas.openxmlformats.org/drawingml/2006/picture">
            <wp:extent cx="5943600" cy="1974532"/>
            <wp:docPr id="2" name="Picture 2"/>
            <wp:cNvGraphicFramePr>
              <a:graphicFrameLocks noChangeAspect="1"/>
            </wp:cNvGraphicFramePr>
            <a:graphic>
              <a:graphicData uri="http://schemas.openxmlformats.org/drawingml/2006/picture">
                <pic:pic>
                  <pic:nvPicPr>
                    <pic:cNvPr id="0" name="enhanced_priority_top10_highlight.png"/>
                    <pic:cNvPicPr/>
                  </pic:nvPicPr>
                  <pic:blipFill>
                    <a:blip r:embed="rId10"/>
                    <a:stretch>
                      <a:fillRect/>
                    </a:stretch>
                  </pic:blipFill>
                  <pic:spPr>
                    <a:xfrm>
                      <a:off x="0" y="0"/>
                      <a:ext cx="5943600" cy="1974532"/>
                    </a:xfrm>
                    <a:prstGeom prst="rect"/>
                  </pic:spPr>
                </pic:pic>
              </a:graphicData>
            </a:graphic>
          </wp:inline>
        </w:drawing>
      </w:r>
    </w:p>
    <w:p>
      <w:r>
        <w:br w:type="page"/>
      </w:r>
    </w:p>
    <w:p>
      <w:pPr>
        <w:pStyle w:val="Heading2"/>
      </w:pPr>
      <w:r>
        <w:rPr>
          <w:color w:val="000000"/>
        </w:rPr>
        <w:t>7.3 Pennsylvania: Top 5 Priority Counties</w:t>
      </w:r>
    </w:p>
    <w:p>
      <w:pPr>
        <w:jc w:val="center"/>
      </w:pPr>
      <w:r>
        <w:drawing>
          <wp:inline xmlns:a="http://schemas.openxmlformats.org/drawingml/2006/main" xmlns:pic="http://schemas.openxmlformats.org/drawingml/2006/picture">
            <wp:extent cx="5486400" cy="3138710"/>
            <wp:docPr id="3" name="Picture 3"/>
            <wp:cNvGraphicFramePr>
              <a:graphicFrameLocks noChangeAspect="1"/>
            </wp:cNvGraphicFramePr>
            <a:graphic>
              <a:graphicData uri="http://schemas.openxmlformats.org/drawingml/2006/picture">
                <pic:pic>
                  <pic:nvPicPr>
                    <pic:cNvPr id="0" name="enhanced_priority_PA_top5.png"/>
                    <pic:cNvPicPr/>
                  </pic:nvPicPr>
                  <pic:blipFill>
                    <a:blip r:embed="rId11"/>
                    <a:stretch>
                      <a:fillRect/>
                    </a:stretch>
                  </pic:blipFill>
                  <pic:spPr>
                    <a:xfrm>
                      <a:off x="0" y="0"/>
                      <a:ext cx="5486400" cy="3138710"/>
                    </a:xfrm>
                    <a:prstGeom prst="rect"/>
                  </pic:spPr>
                </pic:pic>
              </a:graphicData>
            </a:graphic>
          </wp:inline>
        </w:drawing>
      </w:r>
    </w:p>
    <w:p>
      <w:pPr>
        <w:pStyle w:val="Heading2"/>
      </w:pPr>
      <w:r>
        <w:rPr>
          <w:color w:val="000000"/>
        </w:rPr>
        <w:t>7.4 Michigan: Top 5 Priority Counties</w:t>
      </w:r>
    </w:p>
    <w:p>
      <w:pPr>
        <w:jc w:val="center"/>
      </w:pPr>
      <w:r>
        <w:drawing>
          <wp:inline xmlns:a="http://schemas.openxmlformats.org/drawingml/2006/main" xmlns:pic="http://schemas.openxmlformats.org/drawingml/2006/picture">
            <wp:extent cx="5486400" cy="5641706"/>
            <wp:docPr id="4" name="Picture 4"/>
            <wp:cNvGraphicFramePr>
              <a:graphicFrameLocks noChangeAspect="1"/>
            </wp:cNvGraphicFramePr>
            <a:graphic>
              <a:graphicData uri="http://schemas.openxmlformats.org/drawingml/2006/picture">
                <pic:pic>
                  <pic:nvPicPr>
                    <pic:cNvPr id="0" name="enhanced_priority_MI_top5.png"/>
                    <pic:cNvPicPr/>
                  </pic:nvPicPr>
                  <pic:blipFill>
                    <a:blip r:embed="rId12"/>
                    <a:stretch>
                      <a:fillRect/>
                    </a:stretch>
                  </pic:blipFill>
                  <pic:spPr>
                    <a:xfrm>
                      <a:off x="0" y="0"/>
                      <a:ext cx="5486400" cy="5641706"/>
                    </a:xfrm>
                    <a:prstGeom prst="rect"/>
                  </pic:spPr>
                </pic:pic>
              </a:graphicData>
            </a:graphic>
          </wp:inline>
        </w:drawing>
      </w:r>
    </w:p>
    <w:p>
      <w:pPr>
        <w:pStyle w:val="Heading2"/>
      </w:pPr>
      <w:r>
        <w:rPr>
          <w:color w:val="000000"/>
        </w:rPr>
        <w:t>7.5 North Carolina: Top 5 Priority Counties</w:t>
      </w:r>
    </w:p>
    <w:p>
      <w:pPr>
        <w:jc w:val="center"/>
      </w:pPr>
      <w:r>
        <w:drawing>
          <wp:inline xmlns:a="http://schemas.openxmlformats.org/drawingml/2006/main" xmlns:pic="http://schemas.openxmlformats.org/drawingml/2006/picture">
            <wp:extent cx="5486400" cy="2707454"/>
            <wp:docPr id="5" name="Picture 5"/>
            <wp:cNvGraphicFramePr>
              <a:graphicFrameLocks noChangeAspect="1"/>
            </wp:cNvGraphicFramePr>
            <a:graphic>
              <a:graphicData uri="http://schemas.openxmlformats.org/drawingml/2006/picture">
                <pic:pic>
                  <pic:nvPicPr>
                    <pic:cNvPr id="0" name="enhanced_priority_NC_top5.png"/>
                    <pic:cNvPicPr/>
                  </pic:nvPicPr>
                  <pic:blipFill>
                    <a:blip r:embed="rId13"/>
                    <a:stretch>
                      <a:fillRect/>
                    </a:stretch>
                  </pic:blipFill>
                  <pic:spPr>
                    <a:xfrm>
                      <a:off x="0" y="0"/>
                      <a:ext cx="5486400" cy="2707454"/>
                    </a:xfrm>
                    <a:prstGeom prst="rect"/>
                  </pic:spPr>
                </pic:pic>
              </a:graphicData>
            </a:graphic>
          </wp:inline>
        </w:drawing>
      </w:r>
    </w:p>
    <w:p>
      <w:r>
        <w:br w:type="page"/>
      </w:r>
    </w:p>
    <w:p>
      <w:pPr>
        <w:pStyle w:val="Heading1"/>
      </w:pPr>
      <w:r>
        <w:rPr>
          <w:color w:val="000000"/>
        </w:rPr>
        <w:t>8. Validation &amp; Quality Checks</w:t>
      </w:r>
    </w:p>
    <w:p>
      <w:r>
        <w:rPr>
          <w:b/>
        </w:rPr>
        <w:t xml:space="preserve">Correlation with old score (Pearson r = 0.849): </w:t>
      </w:r>
      <w:r>
        <w:t>The enhanced score is strongly correlated with the original (r = 0.85), confirming it preserves the core signal. But r &lt; 1.0 confirms meaningful new information has been added.</w:t>
      </w:r>
    </w:p>
    <w:p>
      <w:r>
        <w:rPr>
          <w:b/>
        </w:rPr>
        <w:t xml:space="preserve">Top 10 volatility classes ({'Highly Volatile': 5, 'Volatile': 4, 'Moderate': 1}): </w:t>
      </w:r>
      <w:r>
        <w:t>All top-10 counties are Volatile or Highly Volatile (except Wilson NC at Moderate, ranked #10). No Very Stable or Stable county appears in the top 10 -- the score correctly identifies unstable, competitive counties.</w:t>
      </w:r>
    </w:p>
    <w:p>
      <w:r>
        <w:rPr>
          <w:b/>
        </w:rPr>
        <w:t xml:space="preserve">Score distribution (Skewness = 0.510): </w:t>
      </w:r>
      <w:r>
        <w:t>Positive skewness indicates a right-skewed distribution -- most counties are low-priority (mean = 0.34, median = 0.29) with a tail of high-priority targets. This is exactly what a campaign resource allocator needs: a small number of high-value targets.</w:t>
      </w:r>
    </w:p>
    <w:p>
      <w:r>
        <w:rPr>
          <w:b/>
        </w:rPr>
        <w:t xml:space="preserve">Bucks County #1 (DPS = 0.734): </w:t>
      </w:r>
      <w:r>
        <w:t>The undisputed top target remains Bucks County PA -- consistent with both the old score and conventional campaign wisdom about this critical Philadelphia suburb.</w:t>
      </w:r>
    </w:p>
    <w:p>
      <w:r>
        <w:rPr>
          <w:b/>
        </w:rPr>
        <w:t xml:space="preserve">Small county demotion (Leelanau MI: old #4 -&gt; new #22): </w:t>
      </w:r>
      <w:r>
        <w:t>Leelanau (17K votes) correctly drops from #4 to #22. Despite high volatility and misfit scores, its small electoral footprint means campaign resources have limited impact. Similarly Scotland NC (14K votes) drops from #5 to #47.</w:t>
      </w:r>
    </w:p>
    <w:p>
      <w:pPr>
        <w:pStyle w:val="Heading1"/>
      </w:pPr>
      <w:r>
        <w:rPr>
          <w:color w:val="000000"/>
        </w:rPr>
        <w:t>9. Campaign Strategy Implications</w:t>
      </w:r>
    </w:p>
    <w:p>
      <w:r>
        <w:t>The Enhanced Democratic Priority Score translates complex data mining results into actionable campaign intelligence. Here is what campaign strategists should take away:</w:t>
      </w:r>
    </w:p>
    <w:p>
      <w:r>
        <w:rPr>
          <w:b/>
        </w:rPr>
        <w:t xml:space="preserve">Pennsylvania is the top battleground: </w:t>
      </w:r>
      <w:r>
        <w:t>Five of the top 10 priority counties are in PA. The eastern suburban corridor (Bucks-Lehigh-Northampton-Monroe-Dauphin) is the decisive region. These counties are large (171K-802K votes), competitive (margins under 6%), and volatile. A coordinated ground game across this corridor could swing the state.</w:t>
      </w:r>
    </w:p>
    <w:p>
      <w:r>
        <w:rPr>
          <w:b/>
        </w:rPr>
        <w:t xml:space="preserve">Michigan requires a dual strategy: </w:t>
      </w:r>
      <w:r>
        <w:t>Kent (Grand Rapids) and Oakland (Detroit suburbs) are the volume targets. Grand Traverse (Traverse City) is a smaller but highly competitive bellwether. Macomb is worth monitoring despite its -14% margin because of its massive size (509K votes).</w:t>
      </w:r>
    </w:p>
    <w:p>
      <w:r>
        <w:rPr>
          <w:b/>
        </w:rPr>
        <w:t xml:space="preserve">North Carolina is a mobilization play: </w:t>
      </w:r>
      <w:r>
        <w:t>Cabarrus (Charlotte suburbs) and Wilson are top targets due to strong recent Democratic momentum (S_dem_opportunity &gt; 0.90). Wake (Raleigh) is a turnout target rather than a persuasion target -- already +25% Dem but enormous (654K votes).</w:t>
      </w:r>
    </w:p>
    <w:p>
      <w:r>
        <w:rPr>
          <w:b/>
        </w:rPr>
        <w:t xml:space="preserve">Persuadability is not the same as competitiveness: </w:t>
      </w:r>
      <w:r>
        <w:t>Wilson NC has the highest persuadability in the top 10 (0.940) but is only +0.4% margin. Oakland MI has very high persuadability (0.802) but sits at +10.6%. The score integrates both dimensions -- a county can be persuadable but already won, or competitive but not persuadable.</w:t>
      </w:r>
    </w:p>
    <w:p>
      <w:r>
        <w:rPr>
          <w:b/>
        </w:rPr>
        <w:t xml:space="preserve">Past volatility does not guarantee future persuadability: </w:t>
      </w:r>
      <w:r>
        <w:t>The S_dem_opportunity component (weight 0.10) is deliberately small because trajectory reversal is common (47% of counties showed Blue Bounceback). The score prioritizes structural factors (demographics, cluster type, predicted volatility) over momentum.</w:t>
      </w:r>
    </w:p>
    <w:p>
      <w:pPr>
        <w:pStyle w:val="Heading1"/>
      </w:pPr>
      <w:r>
        <w:rPr>
          <w:color w:val="000000"/>
        </w:rPr>
        <w:t>10. Limitations &amp; Future Work</w:t>
      </w:r>
    </w:p>
    <w:p>
      <w:pPr>
        <w:pStyle w:val="ListBullet"/>
      </w:pPr>
      <w:r>
        <w:t>The RF model is trained on only 250 counties (small sample). Bootstrap CIs suggest robust performance, but external validation on other swing states would strengthen confidence.</w:t>
      </w:r>
    </w:p>
    <w:p>
      <w:pPr>
        <w:pStyle w:val="ListBullet"/>
      </w:pPr>
      <w:r>
        <w:t>Demographic data is from ACS estimates, which lag real-time population changes by 1-2 years. Rapidly growing counties (e.g., Cabarrus NC) may have shifted since the data was collected.</w:t>
      </w:r>
    </w:p>
    <w:p>
      <w:pPr>
        <w:pStyle w:val="ListBullet"/>
      </w:pPr>
      <w:r>
        <w:t>The score treats all Democratic voters equally. In practice, campaigns distinguish between turnout targets (increasing participation among existing supporters) and persuasion targets (changing minds). Integrating voter file-level data would enable this distinction.</w:t>
      </w:r>
    </w:p>
    <w:p>
      <w:pPr>
        <w:pStyle w:val="ListBullet"/>
      </w:pPr>
      <w:r>
        <w:t>Cross-state models fail (LOSO F1 = 0.195), meaning state-specific mechanisms are not transferable. The Enhanced DPS handles this through implicit RF encoding rather than explicit state adjustment -- a more robust but less interpretable approach.</w:t>
      </w:r>
    </w:p>
    <w:p>
      <w:pPr>
        <w:pStyle w:val="ListBullet"/>
      </w:pPr>
      <w:r>
        <w:t>The 2024 election cycle may represent a unique political environment. The score should be recalibrated for each election cycle as new demographic data and election results become available.</w:t>
      </w:r>
    </w:p>
    <w:p>
      <w:pPr>
        <w:pStyle w:val="Heading1"/>
      </w:pPr>
      <w:r>
        <w:rPr>
          <w:color w:val="000000"/>
        </w:rPr>
        <w:t>11. Files Produced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File</w:t>
            </w:r>
          </w:p>
        </w:tc>
        <w:tc>
          <w:tcPr>
            <w:tcW w:type="dxa" w:w="4320"/>
          </w:tcPr>
          <w:p>
            <w:r>
              <w:rPr>
                <w:b/>
                <w:sz w:val="18"/>
              </w:rPr>
              <w:t>Description</w:t>
            </w:r>
          </w:p>
        </w:tc>
      </w:tr>
      <w:tr>
        <w:tc>
          <w:tcPr>
            <w:tcW w:type="dxa" w:w="4320"/>
          </w:tcPr>
          <w:p>
            <w:r>
              <w:rPr>
                <w:sz w:val="18"/>
              </w:rPr>
              <w:t>notebooks/enhanced_democratic_priority_score.py</w:t>
            </w:r>
          </w:p>
        </w:tc>
        <w:tc>
          <w:tcPr>
            <w:tcW w:type="dxa" w:w="4320"/>
          </w:tcPr>
          <w:p>
            <w:r>
              <w:rPr>
                <w:sz w:val="18"/>
              </w:rPr>
              <w:t>Main script: computes all 6 sub-scores, generates rankings and maps</w:t>
            </w:r>
          </w:p>
        </w:tc>
      </w:tr>
      <w:tr>
        <w:tc>
          <w:tcPr>
            <w:tcW w:type="dxa" w:w="4320"/>
          </w:tcPr>
          <w:p>
            <w:r>
              <w:rPr>
                <w:sz w:val="18"/>
              </w:rPr>
              <w:t>data/processed/enhanced_priority_rankings.csv</w:t>
            </w:r>
          </w:p>
        </w:tc>
        <w:tc>
          <w:tcPr>
            <w:tcW w:type="dxa" w:w="4320"/>
          </w:tcPr>
          <w:p>
            <w:r>
              <w:rPr>
                <w:sz w:val="18"/>
              </w:rPr>
              <w:t>250 counties with all sub-scores, composite DPS, and old score comparison</w:t>
            </w:r>
          </w:p>
        </w:tc>
      </w:tr>
      <w:tr>
        <w:tc>
          <w:tcPr>
            <w:tcW w:type="dxa" w:w="4320"/>
          </w:tcPr>
          <w:p>
            <w:r>
              <w:rPr>
                <w:sz w:val="18"/>
              </w:rPr>
              <w:t>docs/images/methods/enhanced_priority_3state_choropleth.png</w:t>
            </w:r>
          </w:p>
        </w:tc>
        <w:tc>
          <w:tcPr>
            <w:tcW w:type="dxa" w:w="4320"/>
          </w:tcPr>
          <w:p>
            <w:r>
              <w:rPr>
                <w:sz w:val="18"/>
              </w:rPr>
              <w:t>Three-state map with all counties shaded by DPS</w:t>
            </w:r>
          </w:p>
        </w:tc>
      </w:tr>
      <w:tr>
        <w:tc>
          <w:tcPr>
            <w:tcW w:type="dxa" w:w="4320"/>
          </w:tcPr>
          <w:p>
            <w:r>
              <w:rPr>
                <w:sz w:val="18"/>
              </w:rPr>
              <w:t>docs/images/methods/enhanced_priority_top10_highlight.png</w:t>
            </w:r>
          </w:p>
        </w:tc>
        <w:tc>
          <w:tcPr>
            <w:tcW w:type="dxa" w:w="4320"/>
          </w:tcPr>
          <w:p>
            <w:r>
              <w:rPr>
                <w:sz w:val="18"/>
              </w:rPr>
              <w:t>Three-state map highlighting only top 10 counties</w:t>
            </w:r>
          </w:p>
        </w:tc>
      </w:tr>
      <w:tr>
        <w:tc>
          <w:tcPr>
            <w:tcW w:type="dxa" w:w="4320"/>
          </w:tcPr>
          <w:p>
            <w:r>
              <w:rPr>
                <w:sz w:val="18"/>
              </w:rPr>
              <w:t>docs/images/methods/enhanced_priority_PA_top5.png</w:t>
            </w:r>
          </w:p>
        </w:tc>
        <w:tc>
          <w:tcPr>
            <w:tcW w:type="dxa" w:w="4320"/>
          </w:tcPr>
          <w:p>
            <w:r>
              <w:rPr>
                <w:sz w:val="18"/>
              </w:rPr>
              <w:t>Pennsylvania map with top 5 counties labeled</w:t>
            </w:r>
          </w:p>
        </w:tc>
      </w:tr>
      <w:tr>
        <w:tc>
          <w:tcPr>
            <w:tcW w:type="dxa" w:w="4320"/>
          </w:tcPr>
          <w:p>
            <w:r>
              <w:rPr>
                <w:sz w:val="18"/>
              </w:rPr>
              <w:t>docs/images/methods/enhanced_priority_MI_top5.png</w:t>
            </w:r>
          </w:p>
        </w:tc>
        <w:tc>
          <w:tcPr>
            <w:tcW w:type="dxa" w:w="4320"/>
          </w:tcPr>
          <w:p>
            <w:r>
              <w:rPr>
                <w:sz w:val="18"/>
              </w:rPr>
              <w:t>Michigan map with top 5 counties labeled</w:t>
            </w:r>
          </w:p>
        </w:tc>
      </w:tr>
      <w:tr>
        <w:tc>
          <w:tcPr>
            <w:tcW w:type="dxa" w:w="4320"/>
          </w:tcPr>
          <w:p>
            <w:r>
              <w:rPr>
                <w:sz w:val="18"/>
              </w:rPr>
              <w:t>docs/images/methods/enhanced_priority_NC_top5.png</w:t>
            </w:r>
          </w:p>
        </w:tc>
        <w:tc>
          <w:tcPr>
            <w:tcW w:type="dxa" w:w="4320"/>
          </w:tcPr>
          <w:p>
            <w:r>
              <w:rPr>
                <w:sz w:val="18"/>
              </w:rPr>
              <w:t>North Carolina map with top 5 counties labeled</w:t>
            </w:r>
          </w:p>
        </w:tc>
      </w:tr>
      <w:tr>
        <w:tc>
          <w:tcPr>
            <w:tcW w:type="dxa" w:w="4320"/>
          </w:tcPr>
          <w:p>
            <w:r>
              <w:rPr>
                <w:sz w:val="18"/>
              </w:rPr>
              <w:t>reports/Enhanced_Democratic_Priority_Score_Summary.docx</w:t>
            </w:r>
          </w:p>
        </w:tc>
        <w:tc>
          <w:tcPr>
            <w:tcW w:type="dxa" w:w="4320"/>
          </w:tcPr>
          <w:p>
            <w:r>
              <w:rPr>
                <w:sz w:val="18"/>
              </w:rPr>
              <w:t>This document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