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Democratic Priority Score</w:t>
      </w:r>
    </w:p>
    <w:p>
      <w:pPr>
        <w:jc w:val="center"/>
      </w:pPr>
      <w:r>
        <w:rPr>
          <w:color w:val="505050"/>
          <w:sz w:val="26"/>
        </w:rPr>
        <w:t>A Data-Driven Composite Index for Campaign Resource Allocation</w:t>
        <w:br/>
        <w:t>Swing State Election Analysis: Pennsylvania, Michigan, North Carolina</w:t>
      </w:r>
    </w:p>
    <w:p>
      <w:pPr>
        <w:jc w:val="center"/>
      </w:pPr>
      <w:r>
        <w:rPr>
          <w:color w:val="646464"/>
          <w:sz w:val="22"/>
        </w:rPr>
        <w:br/>
        <w:t>Antoni Czolgowski | Data Lead</w:t>
        <w:br/>
        <w:t>CSCI 5502 Data Mining | Spring 2026 | University of Colorado Boulder</w:t>
      </w:r>
    </w:p>
    <w:p>
      <w:r>
        <w:br w:type="page"/>
      </w:r>
    </w:p>
    <w:p>
      <w:pPr>
        <w:pStyle w:val="Heading1"/>
      </w:pPr>
      <w:r>
        <w:rPr>
          <w:color w:val="000000"/>
        </w:rPr>
        <w:t>1. Executive Summary</w:t>
      </w:r>
    </w:p>
    <w:p>
      <w:r>
        <w:t>The Democratic Priority Score (DPS) is a composite 0-1 index that ranks 250 counties across three critical swing states -- Pennsylvania, Michigan, and North Carolina -- by their strategic value for Democratic campaign resource allocation. The score integrates six data-driven components derived from Random Forest classification, linear regression, K-Means clustering, and temporal electoral trajectory analysis.</w:t>
      </w:r>
    </w:p>
    <w:p>
      <w:r>
        <w:t>The #1 priority county is Bucks County, PA (DPS = 0.734): 802,000 votes, a margin of just 582 votes (-0.1%), and classified as Highly Volatile. The top 10 includes 5 PA counties (the Philadelphia suburban corridor), 2 MI counties (Kent/Grand Rapids and Oakland/Detroit suburbs), and 3 NC counties (Cabarrus/Charlotte suburbs, New Hanover/Wilmington, and Wilson). The top 10 counties collectively represent 3.45 million votes with an average margin of just 3.6 percentage points.</w:t>
      </w:r>
    </w:p>
    <w:p>
      <w:pPr>
        <w:pStyle w:val="Heading1"/>
      </w:pPr>
      <w:r>
        <w:rPr>
          <w:color w:val="000000"/>
        </w:rPr>
        <w:t>2. Methodology</w:t>
      </w:r>
    </w:p>
    <w:p>
      <w:r>
        <w:t>The DPS decomposes into six sub-scores, each normalized to [0, 1], combined with data-driven weights:</w:t>
      </w:r>
    </w:p>
    <w:p>
      <w:r>
        <w:t>DPS = 0.20 * Persuadability + 0.20 * Electoral Weight + 0.20 * Competitiveness + 0.20 * Predicted Volatility + 0.10 * Dem. Opportunity + 0.10 * Misfit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Component</w:t>
            </w:r>
          </w:p>
        </w:tc>
        <w:tc>
          <w:tcPr>
            <w:tcW w:type="dxa" w:w="2160"/>
          </w:tcPr>
          <w:p>
            <w:r>
              <w:rPr>
                <w:b/>
                <w:sz w:val="17"/>
              </w:rPr>
              <w:t>Wt</w:t>
            </w:r>
          </w:p>
        </w:tc>
        <w:tc>
          <w:tcPr>
            <w:tcW w:type="dxa" w:w="2160"/>
          </w:tcPr>
          <w:p>
            <w:r>
              <w:rPr>
                <w:b/>
                <w:sz w:val="17"/>
              </w:rPr>
              <w:t>Formula</w:t>
            </w:r>
          </w:p>
        </w:tc>
        <w:tc>
          <w:tcPr>
            <w:tcW w:type="dxa" w:w="2160"/>
          </w:tcPr>
          <w:p>
            <w:r>
              <w:rPr>
                <w:b/>
                <w:sz w:val="17"/>
              </w:rPr>
              <w:t>Source</w:t>
            </w:r>
          </w:p>
        </w:tc>
      </w:tr>
      <w:tr>
        <w:tc>
          <w:tcPr>
            <w:tcW w:type="dxa" w:w="2160"/>
          </w:tcPr>
          <w:p>
            <w:r>
              <w:rPr>
                <w:sz w:val="17"/>
              </w:rPr>
              <w:t>S1: Persuadability</w:t>
            </w:r>
          </w:p>
        </w:tc>
        <w:tc>
          <w:tcPr>
            <w:tcW w:type="dxa" w:w="2160"/>
          </w:tcPr>
          <w:p>
            <w:r>
              <w:rPr>
                <w:sz w:val="17"/>
              </w:rPr>
              <w:t>.20</w:t>
            </w:r>
          </w:p>
        </w:tc>
        <w:tc>
          <w:tcPr>
            <w:tcW w:type="dxa" w:w="2160"/>
          </w:tcPr>
          <w:p>
            <w:r>
              <w:rPr>
                <w:sz w:val="17"/>
              </w:rPr>
              <w:t>0.6*sigmoid(entropy-0.552) + 0.4*cluster_vol_rate</w:t>
            </w:r>
          </w:p>
        </w:tc>
        <w:tc>
          <w:tcPr>
            <w:tcW w:type="dxa" w:w="2160"/>
          </w:tcPr>
          <w:p>
            <w:r>
              <w:rPr>
                <w:sz w:val="17"/>
              </w:rPr>
              <w:t>Diversity threshold (OR=7.15) + K-Means clusters</w:t>
            </w:r>
          </w:p>
        </w:tc>
      </w:tr>
      <w:tr>
        <w:tc>
          <w:tcPr>
            <w:tcW w:type="dxa" w:w="2160"/>
          </w:tcPr>
          <w:p>
            <w:r>
              <w:rPr>
                <w:sz w:val="17"/>
              </w:rPr>
              <w:t>S2: Electoral Weight</w:t>
            </w:r>
          </w:p>
        </w:tc>
        <w:tc>
          <w:tcPr>
            <w:tcW w:type="dxa" w:w="2160"/>
          </w:tcPr>
          <w:p>
            <w:r>
              <w:rPr>
                <w:sz w:val="17"/>
              </w:rPr>
              <w:t>.20</w:t>
            </w:r>
          </w:p>
        </w:tc>
        <w:tc>
          <w:tcPr>
            <w:tcW w:type="dxa" w:w="2160"/>
          </w:tcPr>
          <w:p>
            <w:r>
              <w:rPr>
                <w:sz w:val="17"/>
              </w:rPr>
              <w:t>MinMax(log(1 + votes_2024))</w:t>
            </w:r>
          </w:p>
        </w:tc>
        <w:tc>
          <w:tcPr>
            <w:tcW w:type="dxa" w:w="2160"/>
          </w:tcPr>
          <w:p>
            <w:r>
              <w:rPr>
                <w:sz w:val="17"/>
              </w:rPr>
              <w:t>Academic campaign theory: vote volume</w:t>
            </w:r>
          </w:p>
        </w:tc>
      </w:tr>
      <w:tr>
        <w:tc>
          <w:tcPr>
            <w:tcW w:type="dxa" w:w="2160"/>
          </w:tcPr>
          <w:p>
            <w:r>
              <w:rPr>
                <w:sz w:val="17"/>
              </w:rPr>
              <w:t>S3: Competitiveness</w:t>
            </w:r>
          </w:p>
        </w:tc>
        <w:tc>
          <w:tcPr>
            <w:tcW w:type="dxa" w:w="2160"/>
          </w:tcPr>
          <w:p>
            <w:r>
              <w:rPr>
                <w:sz w:val="17"/>
              </w:rPr>
              <w:t>.20</w:t>
            </w:r>
          </w:p>
        </w:tc>
        <w:tc>
          <w:tcPr>
            <w:tcW w:type="dxa" w:w="2160"/>
          </w:tcPr>
          <w:p>
            <w:r>
              <w:rPr>
                <w:sz w:val="17"/>
              </w:rPr>
              <w:t>exp(-|margin| / 10)</w:t>
            </w:r>
          </w:p>
        </w:tc>
        <w:tc>
          <w:tcPr>
            <w:tcW w:type="dxa" w:w="2160"/>
          </w:tcPr>
          <w:p>
            <w:r>
              <w:rPr>
                <w:sz w:val="17"/>
              </w:rPr>
              <w:t>Exponential decay; 10pp margin = 0.37</w:t>
            </w:r>
          </w:p>
        </w:tc>
      </w:tr>
      <w:tr>
        <w:tc>
          <w:tcPr>
            <w:tcW w:type="dxa" w:w="2160"/>
          </w:tcPr>
          <w:p>
            <w:r>
              <w:rPr>
                <w:sz w:val="17"/>
              </w:rPr>
              <w:t>S4: Predicted Volatility</w:t>
            </w:r>
          </w:p>
        </w:tc>
        <w:tc>
          <w:tcPr>
            <w:tcW w:type="dxa" w:w="2160"/>
          </w:tcPr>
          <w:p>
            <w:r>
              <w:rPr>
                <w:sz w:val="17"/>
              </w:rPr>
              <w:t>.20</w:t>
            </w:r>
          </w:p>
        </w:tc>
        <w:tc>
          <w:tcPr>
            <w:tcW w:type="dxa" w:w="2160"/>
          </w:tcPr>
          <w:p>
            <w:r>
              <w:rPr>
                <w:sz w:val="17"/>
              </w:rPr>
              <w:t>RF.predict_proba[:, 1]</w:t>
            </w:r>
          </w:p>
        </w:tc>
        <w:tc>
          <w:tcPr>
            <w:tcW w:type="dxa" w:w="2160"/>
          </w:tcPr>
          <w:p>
            <w:r>
              <w:rPr>
                <w:sz w:val="17"/>
              </w:rPr>
              <w:t>Random Forest (AUC=0.828), 28 features</w:t>
            </w:r>
          </w:p>
        </w:tc>
      </w:tr>
      <w:tr>
        <w:tc>
          <w:tcPr>
            <w:tcW w:type="dxa" w:w="2160"/>
          </w:tcPr>
          <w:p>
            <w:r>
              <w:rPr>
                <w:sz w:val="17"/>
              </w:rPr>
              <w:t>S5: Dem. Opportunity</w:t>
            </w:r>
          </w:p>
        </w:tc>
        <w:tc>
          <w:tcPr>
            <w:tcW w:type="dxa" w:w="2160"/>
          </w:tcPr>
          <w:p>
            <w:r>
              <w:rPr>
                <w:sz w:val="17"/>
              </w:rPr>
              <w:t>.10</w:t>
            </w:r>
          </w:p>
        </w:tc>
        <w:tc>
          <w:tcPr>
            <w:tcW w:type="dxa" w:w="2160"/>
          </w:tcPr>
          <w:p>
            <w:r>
              <w:rPr>
                <w:sz w:val="17"/>
              </w:rPr>
              <w:t>MinMax(0.65*d_20_24 + 0.35*d_16_20)</w:t>
            </w:r>
          </w:p>
        </w:tc>
        <w:tc>
          <w:tcPr>
            <w:tcW w:type="dxa" w:w="2160"/>
          </w:tcPr>
          <w:p>
            <w:r>
              <w:rPr>
                <w:sz w:val="17"/>
              </w:rPr>
              <w:t>Directional swing; recency-weighted</w:t>
            </w:r>
          </w:p>
        </w:tc>
      </w:tr>
      <w:tr>
        <w:tc>
          <w:tcPr>
            <w:tcW w:type="dxa" w:w="2160"/>
          </w:tcPr>
          <w:p>
            <w:r>
              <w:rPr>
                <w:sz w:val="17"/>
              </w:rPr>
              <w:t>S6: Misfit</w:t>
            </w:r>
          </w:p>
        </w:tc>
        <w:tc>
          <w:tcPr>
            <w:tcW w:type="dxa" w:w="2160"/>
          </w:tcPr>
          <w:p>
            <w:r>
              <w:rPr>
                <w:sz w:val="17"/>
              </w:rPr>
              <w:t>.10</w:t>
            </w:r>
          </w:p>
        </w:tc>
        <w:tc>
          <w:tcPr>
            <w:tcW w:type="dxa" w:w="2160"/>
          </w:tcPr>
          <w:p>
            <w:r>
              <w:rPr>
                <w:sz w:val="17"/>
              </w:rPr>
              <w:t>MinMax(direction_adj_misfit)</w:t>
            </w:r>
          </w:p>
        </w:tc>
        <w:tc>
          <w:tcPr>
            <w:tcW w:type="dxa" w:w="2160"/>
          </w:tcPr>
          <w:p>
            <w:r>
              <w:rPr>
                <w:sz w:val="17"/>
              </w:rPr>
              <w:t>Surprise-Dem 1.3x, Surprise-Rep 0.7x</w:t>
            </w:r>
          </w:p>
        </w:tc>
      </w:tr>
    </w:tbl>
    <w:p>
      <w:r>
        <w:br/>
        <w:t>The core four components receive equal weight (0.20), reflecting both academic campaign theory (resource allocation = competitiveness x electoral weight) and our data mining results (persuadability and predicted volatility are the strongest empirical signals). The two supplementary signals receive 0.10 each: directional opportunity is backward-looking (Blue Bounceback is the most common trajectory at 47%), and misfit partially overlaps with predicted volatility.</w:t>
      </w:r>
    </w:p>
    <w:p>
      <w:r>
        <w:t>Key methodological choices: (1) S3 uses exponential decay rather than linear scaling, so a +20pp county scores 14% of a tied county -- reflecting campaign resource reality. (2) S4 integrates all 28 demographic features through a nonlinear Random Forest model, capturing interactions (diversity x density, education x urbanization) invisible to linear formulas. (3) S1 implements the diversity threshold at race_entropy_norm = 0.552 as a soft sigmoid, reflecting the step-function relationship where P(high volatility) jumps from 20% to 80%. (4) S2 uses log-transformed vote counts to prevent mega-counties from dominating while preserving the signal that larger counties deserve more resources.</w:t>
      </w:r>
    </w:p>
    <w:p>
      <w:r>
        <w:br w:type="page"/>
      </w:r>
    </w:p>
    <w:p>
      <w:pPr>
        <w:pStyle w:val="Heading1"/>
      </w:pPr>
      <w:r>
        <w:rPr>
          <w:color w:val="000000"/>
        </w:rPr>
        <w:t>3. Results</w:t>
      </w:r>
    </w:p>
    <w:p>
      <w:pPr>
        <w:pStyle w:val="Heading2"/>
      </w:pPr>
      <w:r>
        <w:rPr>
          <w:color w:val="000000"/>
        </w:rPr>
        <w:t>3.1 Top 10 Democratic Priority Counties</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w:t>
            </w:r>
          </w:p>
        </w:tc>
        <w:tc>
          <w:tcPr>
            <w:tcW w:type="dxa" w:w="720"/>
          </w:tcPr>
          <w:p>
            <w:r>
              <w:rPr>
                <w:b/>
                <w:sz w:val="17"/>
              </w:rPr>
              <w:t>County</w:t>
            </w:r>
          </w:p>
        </w:tc>
        <w:tc>
          <w:tcPr>
            <w:tcW w:type="dxa" w:w="720"/>
          </w:tcPr>
          <w:p>
            <w:r>
              <w:rPr>
                <w:b/>
                <w:sz w:val="17"/>
              </w:rPr>
              <w:t>ST</w:t>
            </w:r>
          </w:p>
        </w:tc>
        <w:tc>
          <w:tcPr>
            <w:tcW w:type="dxa" w:w="720"/>
          </w:tcPr>
          <w:p>
            <w:r>
              <w:rPr>
                <w:b/>
                <w:sz w:val="17"/>
              </w:rPr>
              <w:t>DPS</w:t>
            </w:r>
          </w:p>
        </w:tc>
        <w:tc>
          <w:tcPr>
            <w:tcW w:type="dxa" w:w="720"/>
          </w:tcPr>
          <w:p>
            <w:r>
              <w:rPr>
                <w:b/>
                <w:sz w:val="17"/>
              </w:rPr>
              <w:t>Pers.</w:t>
            </w:r>
          </w:p>
        </w:tc>
        <w:tc>
          <w:tcPr>
            <w:tcW w:type="dxa" w:w="720"/>
          </w:tcPr>
          <w:p>
            <w:r>
              <w:rPr>
                <w:b/>
                <w:sz w:val="17"/>
              </w:rPr>
              <w:t>ElWt</w:t>
            </w:r>
          </w:p>
        </w:tc>
        <w:tc>
          <w:tcPr>
            <w:tcW w:type="dxa" w:w="720"/>
          </w:tcPr>
          <w:p>
            <w:r>
              <w:rPr>
                <w:b/>
                <w:sz w:val="17"/>
              </w:rPr>
              <w:t>Comp.</w:t>
            </w:r>
          </w:p>
        </w:tc>
        <w:tc>
          <w:tcPr>
            <w:tcW w:type="dxa" w:w="720"/>
          </w:tcPr>
          <w:p>
            <w:r>
              <w:rPr>
                <w:b/>
                <w:sz w:val="17"/>
              </w:rPr>
              <w:t>PVol</w:t>
            </w:r>
          </w:p>
        </w:tc>
        <w:tc>
          <w:tcPr>
            <w:tcW w:type="dxa" w:w="720"/>
          </w:tcPr>
          <w:p>
            <w:r>
              <w:rPr>
                <w:b/>
                <w:sz w:val="17"/>
              </w:rPr>
              <w:t>DOpp</w:t>
            </w:r>
          </w:p>
        </w:tc>
        <w:tc>
          <w:tcPr>
            <w:tcW w:type="dxa" w:w="720"/>
          </w:tcPr>
          <w:p>
            <w:r>
              <w:rPr>
                <w:b/>
                <w:sz w:val="17"/>
              </w:rPr>
              <w:t>Misf</w:t>
            </w:r>
          </w:p>
        </w:tc>
        <w:tc>
          <w:tcPr>
            <w:tcW w:type="dxa" w:w="720"/>
          </w:tcPr>
          <w:p>
            <w:r>
              <w:rPr>
                <w:b/>
                <w:sz w:val="17"/>
              </w:rPr>
              <w:t>Margin</w:t>
            </w:r>
          </w:p>
        </w:tc>
        <w:tc>
          <w:tcPr>
            <w:tcW w:type="dxa" w:w="720"/>
          </w:tcPr>
          <w:p>
            <w:r>
              <w:rPr>
                <w:b/>
                <w:sz w:val="17"/>
              </w:rPr>
              <w:t>Votes</w:t>
            </w:r>
          </w:p>
        </w:tc>
      </w:tr>
      <w:tr>
        <w:tc>
          <w:tcPr>
            <w:tcW w:type="dxa" w:w="720"/>
          </w:tcPr>
          <w:p>
            <w:r>
              <w:rPr>
                <w:sz w:val="17"/>
              </w:rPr>
              <w:t>1</w:t>
            </w:r>
          </w:p>
        </w:tc>
        <w:tc>
          <w:tcPr>
            <w:tcW w:type="dxa" w:w="720"/>
          </w:tcPr>
          <w:p>
            <w:r>
              <w:rPr>
                <w:sz w:val="17"/>
              </w:rPr>
              <w:t>Bucks</w:t>
            </w:r>
          </w:p>
        </w:tc>
        <w:tc>
          <w:tcPr>
            <w:tcW w:type="dxa" w:w="720"/>
          </w:tcPr>
          <w:p>
            <w:r>
              <w:rPr>
                <w:sz w:val="17"/>
              </w:rPr>
              <w:t>PA</w:t>
            </w:r>
          </w:p>
        </w:tc>
        <w:tc>
          <w:tcPr>
            <w:tcW w:type="dxa" w:w="720"/>
          </w:tcPr>
          <w:p>
            <w:r>
              <w:rPr>
                <w:sz w:val="17"/>
              </w:rPr>
              <w:t>0.734</w:t>
            </w:r>
          </w:p>
        </w:tc>
        <w:tc>
          <w:tcPr>
            <w:tcW w:type="dxa" w:w="720"/>
          </w:tcPr>
          <w:p>
            <w:r>
              <w:rPr>
                <w:sz w:val="17"/>
              </w:rPr>
              <w:t>0.38</w:t>
            </w:r>
          </w:p>
        </w:tc>
        <w:tc>
          <w:tcPr>
            <w:tcW w:type="dxa" w:w="720"/>
          </w:tcPr>
          <w:p>
            <w:r>
              <w:rPr>
                <w:sz w:val="17"/>
              </w:rPr>
              <w:t>0.91</w:t>
            </w:r>
          </w:p>
        </w:tc>
        <w:tc>
          <w:tcPr>
            <w:tcW w:type="dxa" w:w="720"/>
          </w:tcPr>
          <w:p>
            <w:r>
              <w:rPr>
                <w:sz w:val="17"/>
              </w:rPr>
              <w:t>0.99</w:t>
            </w:r>
          </w:p>
        </w:tc>
        <w:tc>
          <w:tcPr>
            <w:tcW w:type="dxa" w:w="720"/>
          </w:tcPr>
          <w:p>
            <w:r>
              <w:rPr>
                <w:sz w:val="17"/>
              </w:rPr>
              <w:t>0.88</w:t>
            </w:r>
          </w:p>
        </w:tc>
        <w:tc>
          <w:tcPr>
            <w:tcW w:type="dxa" w:w="720"/>
          </w:tcPr>
          <w:p>
            <w:r>
              <w:rPr>
                <w:sz w:val="17"/>
              </w:rPr>
              <w:t>0.55</w:t>
            </w:r>
          </w:p>
        </w:tc>
        <w:tc>
          <w:tcPr>
            <w:tcW w:type="dxa" w:w="720"/>
          </w:tcPr>
          <w:p>
            <w:r>
              <w:rPr>
                <w:sz w:val="17"/>
              </w:rPr>
              <w:t>0.45</w:t>
            </w:r>
          </w:p>
        </w:tc>
        <w:tc>
          <w:tcPr>
            <w:tcW w:type="dxa" w:w="720"/>
          </w:tcPr>
          <w:p>
            <w:r>
              <w:rPr>
                <w:sz w:val="17"/>
              </w:rPr>
              <w:t>-0.1%</w:t>
            </w:r>
          </w:p>
        </w:tc>
        <w:tc>
          <w:tcPr>
            <w:tcW w:type="dxa" w:w="720"/>
          </w:tcPr>
          <w:p>
            <w:r>
              <w:rPr>
                <w:sz w:val="17"/>
              </w:rPr>
              <w:t>802,056</w:t>
            </w:r>
          </w:p>
        </w:tc>
      </w:tr>
      <w:tr>
        <w:tc>
          <w:tcPr>
            <w:tcW w:type="dxa" w:w="720"/>
          </w:tcPr>
          <w:p>
            <w:r>
              <w:rPr>
                <w:sz w:val="17"/>
              </w:rPr>
              <w:t>2</w:t>
            </w:r>
          </w:p>
        </w:tc>
        <w:tc>
          <w:tcPr>
            <w:tcW w:type="dxa" w:w="720"/>
          </w:tcPr>
          <w:p>
            <w:r>
              <w:rPr>
                <w:sz w:val="17"/>
              </w:rPr>
              <w:t>Lehigh</w:t>
            </w:r>
          </w:p>
        </w:tc>
        <w:tc>
          <w:tcPr>
            <w:tcW w:type="dxa" w:w="720"/>
          </w:tcPr>
          <w:p>
            <w:r>
              <w:rPr>
                <w:sz w:val="17"/>
              </w:rPr>
              <w:t>PA</w:t>
            </w:r>
          </w:p>
        </w:tc>
        <w:tc>
          <w:tcPr>
            <w:tcW w:type="dxa" w:w="720"/>
          </w:tcPr>
          <w:p>
            <w:r>
              <w:rPr>
                <w:sz w:val="17"/>
              </w:rPr>
              <w:t>0.702</w:t>
            </w:r>
          </w:p>
        </w:tc>
        <w:tc>
          <w:tcPr>
            <w:tcW w:type="dxa" w:w="720"/>
          </w:tcPr>
          <w:p>
            <w:r>
              <w:rPr>
                <w:sz w:val="17"/>
              </w:rPr>
              <w:t>0.73</w:t>
            </w:r>
          </w:p>
        </w:tc>
        <w:tc>
          <w:tcPr>
            <w:tcW w:type="dxa" w:w="720"/>
          </w:tcPr>
          <w:p>
            <w:r>
              <w:rPr>
                <w:sz w:val="17"/>
              </w:rPr>
              <w:t>0.80</w:t>
            </w:r>
          </w:p>
        </w:tc>
        <w:tc>
          <w:tcPr>
            <w:tcW w:type="dxa" w:w="720"/>
          </w:tcPr>
          <w:p>
            <w:r>
              <w:rPr>
                <w:sz w:val="17"/>
              </w:rPr>
              <w:t>0.76</w:t>
            </w:r>
          </w:p>
        </w:tc>
        <w:tc>
          <w:tcPr>
            <w:tcW w:type="dxa" w:w="720"/>
          </w:tcPr>
          <w:p>
            <w:r>
              <w:rPr>
                <w:sz w:val="17"/>
              </w:rPr>
              <w:t>0.85</w:t>
            </w:r>
          </w:p>
        </w:tc>
        <w:tc>
          <w:tcPr>
            <w:tcW w:type="dxa" w:w="720"/>
          </w:tcPr>
          <w:p>
            <w:r>
              <w:rPr>
                <w:sz w:val="17"/>
              </w:rPr>
              <w:t>0.52</w:t>
            </w:r>
          </w:p>
        </w:tc>
        <w:tc>
          <w:tcPr>
            <w:tcW w:type="dxa" w:w="720"/>
          </w:tcPr>
          <w:p>
            <w:r>
              <w:rPr>
                <w:sz w:val="17"/>
              </w:rPr>
              <w:t>0.21</w:t>
            </w:r>
          </w:p>
        </w:tc>
        <w:tc>
          <w:tcPr>
            <w:tcW w:type="dxa" w:w="720"/>
          </w:tcPr>
          <w:p>
            <w:r>
              <w:rPr>
                <w:sz w:val="17"/>
              </w:rPr>
              <w:t>+2.7%</w:t>
            </w:r>
          </w:p>
        </w:tc>
        <w:tc>
          <w:tcPr>
            <w:tcW w:type="dxa" w:w="720"/>
          </w:tcPr>
          <w:p>
            <w:r>
              <w:rPr>
                <w:sz w:val="17"/>
              </w:rPr>
              <w:t>379,620</w:t>
            </w:r>
          </w:p>
        </w:tc>
      </w:tr>
      <w:tr>
        <w:tc>
          <w:tcPr>
            <w:tcW w:type="dxa" w:w="720"/>
          </w:tcPr>
          <w:p>
            <w:r>
              <w:rPr>
                <w:sz w:val="17"/>
              </w:rPr>
              <w:t>3</w:t>
            </w:r>
          </w:p>
        </w:tc>
        <w:tc>
          <w:tcPr>
            <w:tcW w:type="dxa" w:w="720"/>
          </w:tcPr>
          <w:p>
            <w:r>
              <w:rPr>
                <w:sz w:val="17"/>
              </w:rPr>
              <w:t>Northampton</w:t>
            </w:r>
          </w:p>
        </w:tc>
        <w:tc>
          <w:tcPr>
            <w:tcW w:type="dxa" w:w="720"/>
          </w:tcPr>
          <w:p>
            <w:r>
              <w:rPr>
                <w:sz w:val="17"/>
              </w:rPr>
              <w:t>PA</w:t>
            </w:r>
          </w:p>
        </w:tc>
        <w:tc>
          <w:tcPr>
            <w:tcW w:type="dxa" w:w="720"/>
          </w:tcPr>
          <w:p>
            <w:r>
              <w:rPr>
                <w:sz w:val="17"/>
              </w:rPr>
              <w:t>0.702</w:t>
            </w:r>
          </w:p>
        </w:tc>
        <w:tc>
          <w:tcPr>
            <w:tcW w:type="dxa" w:w="720"/>
          </w:tcPr>
          <w:p>
            <w:r>
              <w:rPr>
                <w:sz w:val="17"/>
              </w:rPr>
              <w:t>0.52</w:t>
            </w:r>
          </w:p>
        </w:tc>
        <w:tc>
          <w:tcPr>
            <w:tcW w:type="dxa" w:w="720"/>
          </w:tcPr>
          <w:p>
            <w:r>
              <w:rPr>
                <w:sz w:val="17"/>
              </w:rPr>
              <w:t>0.79</w:t>
            </w:r>
          </w:p>
        </w:tc>
        <w:tc>
          <w:tcPr>
            <w:tcW w:type="dxa" w:w="720"/>
          </w:tcPr>
          <w:p>
            <w:r>
              <w:rPr>
                <w:sz w:val="17"/>
              </w:rPr>
              <w:t>0.84</w:t>
            </w:r>
          </w:p>
        </w:tc>
        <w:tc>
          <w:tcPr>
            <w:tcW w:type="dxa" w:w="720"/>
          </w:tcPr>
          <w:p>
            <w:r>
              <w:rPr>
                <w:sz w:val="17"/>
              </w:rPr>
              <w:t>0.84</w:t>
            </w:r>
          </w:p>
        </w:tc>
        <w:tc>
          <w:tcPr>
            <w:tcW w:type="dxa" w:w="720"/>
          </w:tcPr>
          <w:p>
            <w:r>
              <w:rPr>
                <w:sz w:val="17"/>
              </w:rPr>
              <w:t>0.65</w:t>
            </w:r>
          </w:p>
        </w:tc>
        <w:tc>
          <w:tcPr>
            <w:tcW w:type="dxa" w:w="720"/>
          </w:tcPr>
          <w:p>
            <w:r>
              <w:rPr>
                <w:sz w:val="17"/>
              </w:rPr>
              <w:t>0.37</w:t>
            </w:r>
          </w:p>
        </w:tc>
        <w:tc>
          <w:tcPr>
            <w:tcW w:type="dxa" w:w="720"/>
          </w:tcPr>
          <w:p>
            <w:r>
              <w:rPr>
                <w:sz w:val="17"/>
              </w:rPr>
              <w:t>-1.8%</w:t>
            </w:r>
          </w:p>
        </w:tc>
        <w:tc>
          <w:tcPr>
            <w:tcW w:type="dxa" w:w="720"/>
          </w:tcPr>
          <w:p>
            <w:r>
              <w:rPr>
                <w:sz w:val="17"/>
              </w:rPr>
              <w:t>356,430</w:t>
            </w:r>
          </w:p>
        </w:tc>
      </w:tr>
      <w:tr>
        <w:tc>
          <w:tcPr>
            <w:tcW w:type="dxa" w:w="720"/>
          </w:tcPr>
          <w:p>
            <w:r>
              <w:rPr>
                <w:sz w:val="17"/>
              </w:rPr>
              <w:t>4</w:t>
            </w:r>
          </w:p>
        </w:tc>
        <w:tc>
          <w:tcPr>
            <w:tcW w:type="dxa" w:w="720"/>
          </w:tcPr>
          <w:p>
            <w:r>
              <w:rPr>
                <w:sz w:val="17"/>
              </w:rPr>
              <w:t>Monroe</w:t>
            </w:r>
          </w:p>
        </w:tc>
        <w:tc>
          <w:tcPr>
            <w:tcW w:type="dxa" w:w="720"/>
          </w:tcPr>
          <w:p>
            <w:r>
              <w:rPr>
                <w:sz w:val="17"/>
              </w:rPr>
              <w:t>PA</w:t>
            </w:r>
          </w:p>
        </w:tc>
        <w:tc>
          <w:tcPr>
            <w:tcW w:type="dxa" w:w="720"/>
          </w:tcPr>
          <w:p>
            <w:r>
              <w:rPr>
                <w:sz w:val="17"/>
              </w:rPr>
              <w:t>0.688</w:t>
            </w:r>
          </w:p>
        </w:tc>
        <w:tc>
          <w:tcPr>
            <w:tcW w:type="dxa" w:w="720"/>
          </w:tcPr>
          <w:p>
            <w:r>
              <w:rPr>
                <w:sz w:val="17"/>
              </w:rPr>
              <w:t>0.75</w:t>
            </w:r>
          </w:p>
        </w:tc>
        <w:tc>
          <w:tcPr>
            <w:tcW w:type="dxa" w:w="720"/>
          </w:tcPr>
          <w:p>
            <w:r>
              <w:rPr>
                <w:sz w:val="17"/>
              </w:rPr>
              <w:t>0.69</w:t>
            </w:r>
          </w:p>
        </w:tc>
        <w:tc>
          <w:tcPr>
            <w:tcW w:type="dxa" w:w="720"/>
          </w:tcPr>
          <w:p>
            <w:r>
              <w:rPr>
                <w:sz w:val="17"/>
              </w:rPr>
              <w:t>0.92</w:t>
            </w:r>
          </w:p>
        </w:tc>
        <w:tc>
          <w:tcPr>
            <w:tcW w:type="dxa" w:w="720"/>
          </w:tcPr>
          <w:p>
            <w:r>
              <w:rPr>
                <w:sz w:val="17"/>
              </w:rPr>
              <w:t>0.68</w:t>
            </w:r>
          </w:p>
        </w:tc>
        <w:tc>
          <w:tcPr>
            <w:tcW w:type="dxa" w:w="720"/>
          </w:tcPr>
          <w:p>
            <w:r>
              <w:rPr>
                <w:sz w:val="17"/>
              </w:rPr>
              <w:t>0.49</w:t>
            </w:r>
          </w:p>
        </w:tc>
        <w:tc>
          <w:tcPr>
            <w:tcW w:type="dxa" w:w="720"/>
          </w:tcPr>
          <w:p>
            <w:r>
              <w:rPr>
                <w:sz w:val="17"/>
              </w:rPr>
              <w:t>0.30</w:t>
            </w:r>
          </w:p>
        </w:tc>
        <w:tc>
          <w:tcPr>
            <w:tcW w:type="dxa" w:w="720"/>
          </w:tcPr>
          <w:p>
            <w:r>
              <w:rPr>
                <w:sz w:val="17"/>
              </w:rPr>
              <w:t>-0.8%</w:t>
            </w:r>
          </w:p>
        </w:tc>
        <w:tc>
          <w:tcPr>
            <w:tcW w:type="dxa" w:w="720"/>
          </w:tcPr>
          <w:p>
            <w:r>
              <w:rPr>
                <w:sz w:val="17"/>
              </w:rPr>
              <w:t>171,050</w:t>
            </w:r>
          </w:p>
        </w:tc>
      </w:tr>
      <w:tr>
        <w:tc>
          <w:tcPr>
            <w:tcW w:type="dxa" w:w="720"/>
          </w:tcPr>
          <w:p>
            <w:r>
              <w:rPr>
                <w:sz w:val="17"/>
              </w:rPr>
              <w:t>5</w:t>
            </w:r>
          </w:p>
        </w:tc>
        <w:tc>
          <w:tcPr>
            <w:tcW w:type="dxa" w:w="720"/>
          </w:tcPr>
          <w:p>
            <w:r>
              <w:rPr>
                <w:sz w:val="17"/>
              </w:rPr>
              <w:t>Cabarrus</w:t>
            </w:r>
          </w:p>
        </w:tc>
        <w:tc>
          <w:tcPr>
            <w:tcW w:type="dxa" w:w="720"/>
          </w:tcPr>
          <w:p>
            <w:r>
              <w:rPr>
                <w:sz w:val="17"/>
              </w:rPr>
              <w:t>NC</w:t>
            </w:r>
          </w:p>
        </w:tc>
        <w:tc>
          <w:tcPr>
            <w:tcW w:type="dxa" w:w="720"/>
          </w:tcPr>
          <w:p>
            <w:r>
              <w:rPr>
                <w:sz w:val="17"/>
              </w:rPr>
              <w:t>0.678</w:t>
            </w:r>
          </w:p>
        </w:tc>
        <w:tc>
          <w:tcPr>
            <w:tcW w:type="dxa" w:w="720"/>
          </w:tcPr>
          <w:p>
            <w:r>
              <w:rPr>
                <w:sz w:val="17"/>
              </w:rPr>
              <w:t>0.71</w:t>
            </w:r>
          </w:p>
        </w:tc>
        <w:tc>
          <w:tcPr>
            <w:tcW w:type="dxa" w:w="720"/>
          </w:tcPr>
          <w:p>
            <w:r>
              <w:rPr>
                <w:sz w:val="17"/>
              </w:rPr>
              <w:t>0.63</w:t>
            </w:r>
          </w:p>
        </w:tc>
        <w:tc>
          <w:tcPr>
            <w:tcW w:type="dxa" w:w="720"/>
          </w:tcPr>
          <w:p>
            <w:r>
              <w:rPr>
                <w:sz w:val="17"/>
              </w:rPr>
              <w:t>0.46</w:t>
            </w:r>
          </w:p>
        </w:tc>
        <w:tc>
          <w:tcPr>
            <w:tcW w:type="dxa" w:w="720"/>
          </w:tcPr>
          <w:p>
            <w:r>
              <w:rPr>
                <w:sz w:val="17"/>
              </w:rPr>
              <w:t>0.87</w:t>
            </w:r>
          </w:p>
        </w:tc>
        <w:tc>
          <w:tcPr>
            <w:tcW w:type="dxa" w:w="720"/>
          </w:tcPr>
          <w:p>
            <w:r>
              <w:rPr>
                <w:sz w:val="17"/>
              </w:rPr>
              <w:t>0.93</w:t>
            </w:r>
          </w:p>
        </w:tc>
        <w:tc>
          <w:tcPr>
            <w:tcW w:type="dxa" w:w="720"/>
          </w:tcPr>
          <w:p>
            <w:r>
              <w:rPr>
                <w:sz w:val="17"/>
              </w:rPr>
              <w:t>0.49</w:t>
            </w:r>
          </w:p>
        </w:tc>
        <w:tc>
          <w:tcPr>
            <w:tcW w:type="dxa" w:w="720"/>
          </w:tcPr>
          <w:p>
            <w:r>
              <w:rPr>
                <w:sz w:val="17"/>
              </w:rPr>
              <w:t>-7.7%</w:t>
            </w:r>
          </w:p>
        </w:tc>
        <w:tc>
          <w:tcPr>
            <w:tcW w:type="dxa" w:w="720"/>
          </w:tcPr>
          <w:p>
            <w:r>
              <w:rPr>
                <w:sz w:val="17"/>
              </w:rPr>
              <w:t>120,202</w:t>
            </w:r>
          </w:p>
        </w:tc>
      </w:tr>
      <w:tr>
        <w:tc>
          <w:tcPr>
            <w:tcW w:type="dxa" w:w="720"/>
          </w:tcPr>
          <w:p>
            <w:r>
              <w:rPr>
                <w:sz w:val="17"/>
              </w:rPr>
              <w:t>6</w:t>
            </w:r>
          </w:p>
        </w:tc>
        <w:tc>
          <w:tcPr>
            <w:tcW w:type="dxa" w:w="720"/>
          </w:tcPr>
          <w:p>
            <w:r>
              <w:rPr>
                <w:sz w:val="17"/>
              </w:rPr>
              <w:t>Kent</w:t>
            </w:r>
          </w:p>
        </w:tc>
        <w:tc>
          <w:tcPr>
            <w:tcW w:type="dxa" w:w="720"/>
          </w:tcPr>
          <w:p>
            <w:r>
              <w:rPr>
                <w:sz w:val="17"/>
              </w:rPr>
              <w:t>MI</w:t>
            </w:r>
          </w:p>
        </w:tc>
        <w:tc>
          <w:tcPr>
            <w:tcW w:type="dxa" w:w="720"/>
          </w:tcPr>
          <w:p>
            <w:r>
              <w:rPr>
                <w:sz w:val="17"/>
              </w:rPr>
              <w:t>0.672</w:t>
            </w:r>
          </w:p>
        </w:tc>
        <w:tc>
          <w:tcPr>
            <w:tcW w:type="dxa" w:w="720"/>
          </w:tcPr>
          <w:p>
            <w:r>
              <w:rPr>
                <w:sz w:val="17"/>
              </w:rPr>
              <w:t>0.66</w:t>
            </w:r>
          </w:p>
        </w:tc>
        <w:tc>
          <w:tcPr>
            <w:tcW w:type="dxa" w:w="720"/>
          </w:tcPr>
          <w:p>
            <w:r>
              <w:rPr>
                <w:sz w:val="17"/>
              </w:rPr>
              <w:t>0.80</w:t>
            </w:r>
          </w:p>
        </w:tc>
        <w:tc>
          <w:tcPr>
            <w:tcW w:type="dxa" w:w="720"/>
          </w:tcPr>
          <w:p>
            <w:r>
              <w:rPr>
                <w:sz w:val="17"/>
              </w:rPr>
              <w:t>0.58</w:t>
            </w:r>
          </w:p>
        </w:tc>
        <w:tc>
          <w:tcPr>
            <w:tcW w:type="dxa" w:w="720"/>
          </w:tcPr>
          <w:p>
            <w:r>
              <w:rPr>
                <w:sz w:val="17"/>
              </w:rPr>
              <w:t>0.83</w:t>
            </w:r>
          </w:p>
        </w:tc>
        <w:tc>
          <w:tcPr>
            <w:tcW w:type="dxa" w:w="720"/>
          </w:tcPr>
          <w:p>
            <w:r>
              <w:rPr>
                <w:sz w:val="17"/>
              </w:rPr>
              <w:t>0.81</w:t>
            </w:r>
          </w:p>
        </w:tc>
        <w:tc>
          <w:tcPr>
            <w:tcW w:type="dxa" w:w="720"/>
          </w:tcPr>
          <w:p>
            <w:r>
              <w:rPr>
                <w:sz w:val="17"/>
              </w:rPr>
              <w:t>0.16</w:t>
            </w:r>
          </w:p>
        </w:tc>
        <w:tc>
          <w:tcPr>
            <w:tcW w:type="dxa" w:w="720"/>
          </w:tcPr>
          <w:p>
            <w:r>
              <w:rPr>
                <w:sz w:val="17"/>
              </w:rPr>
              <w:t>+5.4%</w:t>
            </w:r>
          </w:p>
        </w:tc>
        <w:tc>
          <w:tcPr>
            <w:tcW w:type="dxa" w:w="720"/>
          </w:tcPr>
          <w:p>
            <w:r>
              <w:rPr>
                <w:sz w:val="17"/>
              </w:rPr>
              <w:t>371,947</w:t>
            </w:r>
          </w:p>
        </w:tc>
      </w:tr>
      <w:tr>
        <w:tc>
          <w:tcPr>
            <w:tcW w:type="dxa" w:w="720"/>
          </w:tcPr>
          <w:p>
            <w:r>
              <w:rPr>
                <w:sz w:val="17"/>
              </w:rPr>
              <w:t>7</w:t>
            </w:r>
          </w:p>
        </w:tc>
        <w:tc>
          <w:tcPr>
            <w:tcW w:type="dxa" w:w="720"/>
          </w:tcPr>
          <w:p>
            <w:r>
              <w:rPr>
                <w:sz w:val="17"/>
              </w:rPr>
              <w:t>New Hanover</w:t>
            </w:r>
          </w:p>
        </w:tc>
        <w:tc>
          <w:tcPr>
            <w:tcW w:type="dxa" w:w="720"/>
          </w:tcPr>
          <w:p>
            <w:r>
              <w:rPr>
                <w:sz w:val="17"/>
              </w:rPr>
              <w:t>NC</w:t>
            </w:r>
          </w:p>
        </w:tc>
        <w:tc>
          <w:tcPr>
            <w:tcW w:type="dxa" w:w="720"/>
          </w:tcPr>
          <w:p>
            <w:r>
              <w:rPr>
                <w:sz w:val="17"/>
              </w:rPr>
              <w:t>0.657</w:t>
            </w:r>
          </w:p>
        </w:tc>
        <w:tc>
          <w:tcPr>
            <w:tcW w:type="dxa" w:w="720"/>
          </w:tcPr>
          <w:p>
            <w:r>
              <w:rPr>
                <w:sz w:val="17"/>
              </w:rPr>
              <w:t>0.56</w:t>
            </w:r>
          </w:p>
        </w:tc>
        <w:tc>
          <w:tcPr>
            <w:tcW w:type="dxa" w:w="720"/>
          </w:tcPr>
          <w:p>
            <w:r>
              <w:rPr>
                <w:sz w:val="17"/>
              </w:rPr>
              <w:t>0.66</w:t>
            </w:r>
          </w:p>
        </w:tc>
        <w:tc>
          <w:tcPr>
            <w:tcW w:type="dxa" w:w="720"/>
          </w:tcPr>
          <w:p>
            <w:r>
              <w:rPr>
                <w:sz w:val="17"/>
              </w:rPr>
              <w:t>0.94</w:t>
            </w:r>
          </w:p>
        </w:tc>
        <w:tc>
          <w:tcPr>
            <w:tcW w:type="dxa" w:w="720"/>
          </w:tcPr>
          <w:p>
            <w:r>
              <w:rPr>
                <w:sz w:val="17"/>
              </w:rPr>
              <w:t>0.77</w:t>
            </w:r>
          </w:p>
        </w:tc>
        <w:tc>
          <w:tcPr>
            <w:tcW w:type="dxa" w:w="720"/>
          </w:tcPr>
          <w:p>
            <w:r>
              <w:rPr>
                <w:sz w:val="17"/>
              </w:rPr>
              <w:t>0.72</w:t>
            </w:r>
          </w:p>
        </w:tc>
        <w:tc>
          <w:tcPr>
            <w:tcW w:type="dxa" w:w="720"/>
          </w:tcPr>
          <w:p>
            <w:r>
              <w:rPr>
                <w:sz w:val="17"/>
              </w:rPr>
              <w:t>0.00</w:t>
            </w:r>
          </w:p>
        </w:tc>
        <w:tc>
          <w:tcPr>
            <w:tcW w:type="dxa" w:w="720"/>
          </w:tcPr>
          <w:p>
            <w:r>
              <w:rPr>
                <w:sz w:val="17"/>
              </w:rPr>
              <w:t>+0.6%</w:t>
            </w:r>
          </w:p>
        </w:tc>
        <w:tc>
          <w:tcPr>
            <w:tcW w:type="dxa" w:w="720"/>
          </w:tcPr>
          <w:p>
            <w:r>
              <w:rPr>
                <w:sz w:val="17"/>
              </w:rPr>
              <w:t>138,734</w:t>
            </w:r>
          </w:p>
        </w:tc>
      </w:tr>
      <w:tr>
        <w:tc>
          <w:tcPr>
            <w:tcW w:type="dxa" w:w="720"/>
          </w:tcPr>
          <w:p>
            <w:r>
              <w:rPr>
                <w:sz w:val="17"/>
              </w:rPr>
              <w:t>8</w:t>
            </w:r>
          </w:p>
        </w:tc>
        <w:tc>
          <w:tcPr>
            <w:tcW w:type="dxa" w:w="720"/>
          </w:tcPr>
          <w:p>
            <w:r>
              <w:rPr>
                <w:sz w:val="17"/>
              </w:rPr>
              <w:t>Oakland</w:t>
            </w:r>
          </w:p>
        </w:tc>
        <w:tc>
          <w:tcPr>
            <w:tcW w:type="dxa" w:w="720"/>
          </w:tcPr>
          <w:p>
            <w:r>
              <w:rPr>
                <w:sz w:val="17"/>
              </w:rPr>
              <w:t>MI</w:t>
            </w:r>
          </w:p>
        </w:tc>
        <w:tc>
          <w:tcPr>
            <w:tcW w:type="dxa" w:w="720"/>
          </w:tcPr>
          <w:p>
            <w:r>
              <w:rPr>
                <w:sz w:val="17"/>
              </w:rPr>
              <w:t>0.654</w:t>
            </w:r>
          </w:p>
        </w:tc>
        <w:tc>
          <w:tcPr>
            <w:tcW w:type="dxa" w:w="720"/>
          </w:tcPr>
          <w:p>
            <w:r>
              <w:rPr>
                <w:sz w:val="17"/>
              </w:rPr>
              <w:t>0.80</w:t>
            </w:r>
          </w:p>
        </w:tc>
        <w:tc>
          <w:tcPr>
            <w:tcW w:type="dxa" w:w="720"/>
          </w:tcPr>
          <w:p>
            <w:r>
              <w:rPr>
                <w:sz w:val="17"/>
              </w:rPr>
              <w:t>0.91</w:t>
            </w:r>
          </w:p>
        </w:tc>
        <w:tc>
          <w:tcPr>
            <w:tcW w:type="dxa" w:w="720"/>
          </w:tcPr>
          <w:p>
            <w:r>
              <w:rPr>
                <w:sz w:val="17"/>
              </w:rPr>
              <w:t>0.35</w:t>
            </w:r>
          </w:p>
        </w:tc>
        <w:tc>
          <w:tcPr>
            <w:tcW w:type="dxa" w:w="720"/>
          </w:tcPr>
          <w:p>
            <w:r>
              <w:rPr>
                <w:sz w:val="17"/>
              </w:rPr>
              <w:t>0.89</w:t>
            </w:r>
          </w:p>
        </w:tc>
        <w:tc>
          <w:tcPr>
            <w:tcW w:type="dxa" w:w="720"/>
          </w:tcPr>
          <w:p>
            <w:r>
              <w:rPr>
                <w:sz w:val="17"/>
              </w:rPr>
              <w:t>0.64</w:t>
            </w:r>
          </w:p>
        </w:tc>
        <w:tc>
          <w:tcPr>
            <w:tcW w:type="dxa" w:w="720"/>
          </w:tcPr>
          <w:p>
            <w:r>
              <w:rPr>
                <w:sz w:val="17"/>
              </w:rPr>
              <w:t>0.02</w:t>
            </w:r>
          </w:p>
        </w:tc>
        <w:tc>
          <w:tcPr>
            <w:tcW w:type="dxa" w:w="720"/>
          </w:tcPr>
          <w:p>
            <w:r>
              <w:rPr>
                <w:sz w:val="17"/>
              </w:rPr>
              <w:t>+10.6%</w:t>
            </w:r>
          </w:p>
        </w:tc>
        <w:tc>
          <w:tcPr>
            <w:tcW w:type="dxa" w:w="720"/>
          </w:tcPr>
          <w:p>
            <w:r>
              <w:rPr>
                <w:sz w:val="17"/>
              </w:rPr>
              <w:t>772,145</w:t>
            </w:r>
          </w:p>
        </w:tc>
      </w:tr>
      <w:tr>
        <w:tc>
          <w:tcPr>
            <w:tcW w:type="dxa" w:w="720"/>
          </w:tcPr>
          <w:p>
            <w:r>
              <w:rPr>
                <w:sz w:val="17"/>
              </w:rPr>
              <w:t>9</w:t>
            </w:r>
          </w:p>
        </w:tc>
        <w:tc>
          <w:tcPr>
            <w:tcW w:type="dxa" w:w="720"/>
          </w:tcPr>
          <w:p>
            <w:r>
              <w:rPr>
                <w:sz w:val="17"/>
              </w:rPr>
              <w:t>Dauphin</w:t>
            </w:r>
          </w:p>
        </w:tc>
        <w:tc>
          <w:tcPr>
            <w:tcW w:type="dxa" w:w="720"/>
          </w:tcPr>
          <w:p>
            <w:r>
              <w:rPr>
                <w:sz w:val="17"/>
              </w:rPr>
              <w:t>PA</w:t>
            </w:r>
          </w:p>
        </w:tc>
        <w:tc>
          <w:tcPr>
            <w:tcW w:type="dxa" w:w="720"/>
          </w:tcPr>
          <w:p>
            <w:r>
              <w:rPr>
                <w:sz w:val="17"/>
              </w:rPr>
              <w:t>0.643</w:t>
            </w:r>
          </w:p>
        </w:tc>
        <w:tc>
          <w:tcPr>
            <w:tcW w:type="dxa" w:w="720"/>
          </w:tcPr>
          <w:p>
            <w:r>
              <w:rPr>
                <w:sz w:val="17"/>
              </w:rPr>
              <w:t>0.78</w:t>
            </w:r>
          </w:p>
        </w:tc>
        <w:tc>
          <w:tcPr>
            <w:tcW w:type="dxa" w:w="720"/>
          </w:tcPr>
          <w:p>
            <w:r>
              <w:rPr>
                <w:sz w:val="17"/>
              </w:rPr>
              <w:t>0.77</w:t>
            </w:r>
          </w:p>
        </w:tc>
        <w:tc>
          <w:tcPr>
            <w:tcW w:type="dxa" w:w="720"/>
          </w:tcPr>
          <w:p>
            <w:r>
              <w:rPr>
                <w:sz w:val="17"/>
              </w:rPr>
              <w:t>0.55</w:t>
            </w:r>
          </w:p>
        </w:tc>
        <w:tc>
          <w:tcPr>
            <w:tcW w:type="dxa" w:w="720"/>
          </w:tcPr>
          <w:p>
            <w:r>
              <w:rPr>
                <w:sz w:val="17"/>
              </w:rPr>
              <w:t>0.70</w:t>
            </w:r>
          </w:p>
        </w:tc>
        <w:tc>
          <w:tcPr>
            <w:tcW w:type="dxa" w:w="720"/>
          </w:tcPr>
          <w:p>
            <w:r>
              <w:rPr>
                <w:sz w:val="17"/>
              </w:rPr>
              <w:t>0.67</w:t>
            </w:r>
          </w:p>
        </w:tc>
        <w:tc>
          <w:tcPr>
            <w:tcW w:type="dxa" w:w="720"/>
          </w:tcPr>
          <w:p>
            <w:r>
              <w:rPr>
                <w:sz w:val="17"/>
              </w:rPr>
              <w:t>0.15</w:t>
            </w:r>
          </w:p>
        </w:tc>
        <w:tc>
          <w:tcPr>
            <w:tcW w:type="dxa" w:w="720"/>
          </w:tcPr>
          <w:p>
            <w:r>
              <w:rPr>
                <w:sz w:val="17"/>
              </w:rPr>
              <w:t>+5.9%</w:t>
            </w:r>
          </w:p>
        </w:tc>
        <w:tc>
          <w:tcPr>
            <w:tcW w:type="dxa" w:w="720"/>
          </w:tcPr>
          <w:p>
            <w:r>
              <w:rPr>
                <w:sz w:val="17"/>
              </w:rPr>
              <w:t>299,052</w:t>
            </w:r>
          </w:p>
        </w:tc>
      </w:tr>
      <w:tr>
        <w:tc>
          <w:tcPr>
            <w:tcW w:type="dxa" w:w="720"/>
          </w:tcPr>
          <w:p>
            <w:r>
              <w:rPr>
                <w:sz w:val="17"/>
              </w:rPr>
              <w:t>10</w:t>
            </w:r>
          </w:p>
        </w:tc>
        <w:tc>
          <w:tcPr>
            <w:tcW w:type="dxa" w:w="720"/>
          </w:tcPr>
          <w:p>
            <w:r>
              <w:rPr>
                <w:sz w:val="17"/>
              </w:rPr>
              <w:t>Wilson</w:t>
            </w:r>
          </w:p>
        </w:tc>
        <w:tc>
          <w:tcPr>
            <w:tcW w:type="dxa" w:w="720"/>
          </w:tcPr>
          <w:p>
            <w:r>
              <w:rPr>
                <w:sz w:val="17"/>
              </w:rPr>
              <w:t>NC</w:t>
            </w:r>
          </w:p>
        </w:tc>
        <w:tc>
          <w:tcPr>
            <w:tcW w:type="dxa" w:w="720"/>
          </w:tcPr>
          <w:p>
            <w:r>
              <w:rPr>
                <w:sz w:val="17"/>
              </w:rPr>
              <w:t>0.639</w:t>
            </w:r>
          </w:p>
        </w:tc>
        <w:tc>
          <w:tcPr>
            <w:tcW w:type="dxa" w:w="720"/>
          </w:tcPr>
          <w:p>
            <w:r>
              <w:rPr>
                <w:sz w:val="17"/>
              </w:rPr>
              <w:t>0.94</w:t>
            </w:r>
          </w:p>
        </w:tc>
        <w:tc>
          <w:tcPr>
            <w:tcW w:type="dxa" w:w="720"/>
          </w:tcPr>
          <w:p>
            <w:r>
              <w:rPr>
                <w:sz w:val="17"/>
              </w:rPr>
              <w:t>0.47</w:t>
            </w:r>
          </w:p>
        </w:tc>
        <w:tc>
          <w:tcPr>
            <w:tcW w:type="dxa" w:w="720"/>
          </w:tcPr>
          <w:p>
            <w:r>
              <w:rPr>
                <w:sz w:val="17"/>
              </w:rPr>
              <w:t>0.96</w:t>
            </w:r>
          </w:p>
        </w:tc>
        <w:tc>
          <w:tcPr>
            <w:tcW w:type="dxa" w:w="720"/>
          </w:tcPr>
          <w:p>
            <w:r>
              <w:rPr>
                <w:sz w:val="17"/>
              </w:rPr>
              <w:t>0.37</w:t>
            </w:r>
          </w:p>
        </w:tc>
        <w:tc>
          <w:tcPr>
            <w:tcW w:type="dxa" w:w="720"/>
          </w:tcPr>
          <w:p>
            <w:r>
              <w:rPr>
                <w:sz w:val="17"/>
              </w:rPr>
              <w:t>0.50</w:t>
            </w:r>
          </w:p>
        </w:tc>
        <w:tc>
          <w:tcPr>
            <w:tcW w:type="dxa" w:w="720"/>
          </w:tcPr>
          <w:p>
            <w:r>
              <w:rPr>
                <w:sz w:val="17"/>
              </w:rPr>
              <w:t>0.40</w:t>
            </w:r>
          </w:p>
        </w:tc>
        <w:tc>
          <w:tcPr>
            <w:tcW w:type="dxa" w:w="720"/>
          </w:tcPr>
          <w:p>
            <w:r>
              <w:rPr>
                <w:sz w:val="17"/>
              </w:rPr>
              <w:t>+0.4%</w:t>
            </w:r>
          </w:p>
        </w:tc>
        <w:tc>
          <w:tcPr>
            <w:tcW w:type="dxa" w:w="720"/>
          </w:tcPr>
          <w:p>
            <w:r>
              <w:rPr>
                <w:sz w:val="17"/>
              </w:rPr>
              <w:t>40,045</w:t>
            </w:r>
          </w:p>
        </w:tc>
      </w:tr>
    </w:tbl>
    <w:p>
      <w:pPr>
        <w:pStyle w:val="Heading2"/>
      </w:pPr>
      <w:r>
        <w:rPr>
          <w:color w:val="000000"/>
        </w:rPr>
        <w:t>3.2 Top 5 -- Pennsylvania</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w:t>
            </w:r>
          </w:p>
        </w:tc>
        <w:tc>
          <w:tcPr>
            <w:tcW w:type="dxa" w:w="720"/>
          </w:tcPr>
          <w:p>
            <w:r>
              <w:rPr>
                <w:b/>
                <w:sz w:val="17"/>
              </w:rPr>
              <w:t>County</w:t>
            </w:r>
          </w:p>
        </w:tc>
        <w:tc>
          <w:tcPr>
            <w:tcW w:type="dxa" w:w="720"/>
          </w:tcPr>
          <w:p>
            <w:r>
              <w:rPr>
                <w:b/>
                <w:sz w:val="17"/>
              </w:rPr>
              <w:t>ST</w:t>
            </w:r>
          </w:p>
        </w:tc>
        <w:tc>
          <w:tcPr>
            <w:tcW w:type="dxa" w:w="720"/>
          </w:tcPr>
          <w:p>
            <w:r>
              <w:rPr>
                <w:b/>
                <w:sz w:val="17"/>
              </w:rPr>
              <w:t>DPS</w:t>
            </w:r>
          </w:p>
        </w:tc>
        <w:tc>
          <w:tcPr>
            <w:tcW w:type="dxa" w:w="720"/>
          </w:tcPr>
          <w:p>
            <w:r>
              <w:rPr>
                <w:b/>
                <w:sz w:val="17"/>
              </w:rPr>
              <w:t>Pers.</w:t>
            </w:r>
          </w:p>
        </w:tc>
        <w:tc>
          <w:tcPr>
            <w:tcW w:type="dxa" w:w="720"/>
          </w:tcPr>
          <w:p>
            <w:r>
              <w:rPr>
                <w:b/>
                <w:sz w:val="17"/>
              </w:rPr>
              <w:t>ElWt</w:t>
            </w:r>
          </w:p>
        </w:tc>
        <w:tc>
          <w:tcPr>
            <w:tcW w:type="dxa" w:w="720"/>
          </w:tcPr>
          <w:p>
            <w:r>
              <w:rPr>
                <w:b/>
                <w:sz w:val="17"/>
              </w:rPr>
              <w:t>Comp.</w:t>
            </w:r>
          </w:p>
        </w:tc>
        <w:tc>
          <w:tcPr>
            <w:tcW w:type="dxa" w:w="720"/>
          </w:tcPr>
          <w:p>
            <w:r>
              <w:rPr>
                <w:b/>
                <w:sz w:val="17"/>
              </w:rPr>
              <w:t>PVol</w:t>
            </w:r>
          </w:p>
        </w:tc>
        <w:tc>
          <w:tcPr>
            <w:tcW w:type="dxa" w:w="720"/>
          </w:tcPr>
          <w:p>
            <w:r>
              <w:rPr>
                <w:b/>
                <w:sz w:val="17"/>
              </w:rPr>
              <w:t>DOpp</w:t>
            </w:r>
          </w:p>
        </w:tc>
        <w:tc>
          <w:tcPr>
            <w:tcW w:type="dxa" w:w="720"/>
          </w:tcPr>
          <w:p>
            <w:r>
              <w:rPr>
                <w:b/>
                <w:sz w:val="17"/>
              </w:rPr>
              <w:t>Misf</w:t>
            </w:r>
          </w:p>
        </w:tc>
        <w:tc>
          <w:tcPr>
            <w:tcW w:type="dxa" w:w="720"/>
          </w:tcPr>
          <w:p>
            <w:r>
              <w:rPr>
                <w:b/>
                <w:sz w:val="17"/>
              </w:rPr>
              <w:t>Margin</w:t>
            </w:r>
          </w:p>
        </w:tc>
        <w:tc>
          <w:tcPr>
            <w:tcW w:type="dxa" w:w="720"/>
          </w:tcPr>
          <w:p>
            <w:r>
              <w:rPr>
                <w:b/>
                <w:sz w:val="17"/>
              </w:rPr>
              <w:t>Votes</w:t>
            </w:r>
          </w:p>
        </w:tc>
      </w:tr>
      <w:tr>
        <w:tc>
          <w:tcPr>
            <w:tcW w:type="dxa" w:w="720"/>
          </w:tcPr>
          <w:p>
            <w:r>
              <w:rPr>
                <w:sz w:val="17"/>
              </w:rPr>
              <w:t>1</w:t>
            </w:r>
          </w:p>
        </w:tc>
        <w:tc>
          <w:tcPr>
            <w:tcW w:type="dxa" w:w="720"/>
          </w:tcPr>
          <w:p>
            <w:r>
              <w:rPr>
                <w:sz w:val="17"/>
              </w:rPr>
              <w:t>Bucks</w:t>
            </w:r>
          </w:p>
        </w:tc>
        <w:tc>
          <w:tcPr>
            <w:tcW w:type="dxa" w:w="720"/>
          </w:tcPr>
          <w:p>
            <w:r>
              <w:rPr>
                <w:sz w:val="17"/>
              </w:rPr>
              <w:t>PA</w:t>
            </w:r>
          </w:p>
        </w:tc>
        <w:tc>
          <w:tcPr>
            <w:tcW w:type="dxa" w:w="720"/>
          </w:tcPr>
          <w:p>
            <w:r>
              <w:rPr>
                <w:sz w:val="17"/>
              </w:rPr>
              <w:t>0.734</w:t>
            </w:r>
          </w:p>
        </w:tc>
        <w:tc>
          <w:tcPr>
            <w:tcW w:type="dxa" w:w="720"/>
          </w:tcPr>
          <w:p>
            <w:r>
              <w:rPr>
                <w:sz w:val="17"/>
              </w:rPr>
              <w:t>0.38</w:t>
            </w:r>
          </w:p>
        </w:tc>
        <w:tc>
          <w:tcPr>
            <w:tcW w:type="dxa" w:w="720"/>
          </w:tcPr>
          <w:p>
            <w:r>
              <w:rPr>
                <w:sz w:val="17"/>
              </w:rPr>
              <w:t>0.91</w:t>
            </w:r>
          </w:p>
        </w:tc>
        <w:tc>
          <w:tcPr>
            <w:tcW w:type="dxa" w:w="720"/>
          </w:tcPr>
          <w:p>
            <w:r>
              <w:rPr>
                <w:sz w:val="17"/>
              </w:rPr>
              <w:t>0.99</w:t>
            </w:r>
          </w:p>
        </w:tc>
        <w:tc>
          <w:tcPr>
            <w:tcW w:type="dxa" w:w="720"/>
          </w:tcPr>
          <w:p>
            <w:r>
              <w:rPr>
                <w:sz w:val="17"/>
              </w:rPr>
              <w:t>0.88</w:t>
            </w:r>
          </w:p>
        </w:tc>
        <w:tc>
          <w:tcPr>
            <w:tcW w:type="dxa" w:w="720"/>
          </w:tcPr>
          <w:p>
            <w:r>
              <w:rPr>
                <w:sz w:val="17"/>
              </w:rPr>
              <w:t>0.55</w:t>
            </w:r>
          </w:p>
        </w:tc>
        <w:tc>
          <w:tcPr>
            <w:tcW w:type="dxa" w:w="720"/>
          </w:tcPr>
          <w:p>
            <w:r>
              <w:rPr>
                <w:sz w:val="17"/>
              </w:rPr>
              <w:t>0.45</w:t>
            </w:r>
          </w:p>
        </w:tc>
        <w:tc>
          <w:tcPr>
            <w:tcW w:type="dxa" w:w="720"/>
          </w:tcPr>
          <w:p>
            <w:r>
              <w:rPr>
                <w:sz w:val="17"/>
              </w:rPr>
              <w:t>-0.1%</w:t>
            </w:r>
          </w:p>
        </w:tc>
        <w:tc>
          <w:tcPr>
            <w:tcW w:type="dxa" w:w="720"/>
          </w:tcPr>
          <w:p>
            <w:r>
              <w:rPr>
                <w:sz w:val="17"/>
              </w:rPr>
              <w:t>802,056</w:t>
            </w:r>
          </w:p>
        </w:tc>
      </w:tr>
      <w:tr>
        <w:tc>
          <w:tcPr>
            <w:tcW w:type="dxa" w:w="720"/>
          </w:tcPr>
          <w:p>
            <w:r>
              <w:rPr>
                <w:sz w:val="17"/>
              </w:rPr>
              <w:t>2</w:t>
            </w:r>
          </w:p>
        </w:tc>
        <w:tc>
          <w:tcPr>
            <w:tcW w:type="dxa" w:w="720"/>
          </w:tcPr>
          <w:p>
            <w:r>
              <w:rPr>
                <w:sz w:val="17"/>
              </w:rPr>
              <w:t>Lehigh</w:t>
            </w:r>
          </w:p>
        </w:tc>
        <w:tc>
          <w:tcPr>
            <w:tcW w:type="dxa" w:w="720"/>
          </w:tcPr>
          <w:p>
            <w:r>
              <w:rPr>
                <w:sz w:val="17"/>
              </w:rPr>
              <w:t>PA</w:t>
            </w:r>
          </w:p>
        </w:tc>
        <w:tc>
          <w:tcPr>
            <w:tcW w:type="dxa" w:w="720"/>
          </w:tcPr>
          <w:p>
            <w:r>
              <w:rPr>
                <w:sz w:val="17"/>
              </w:rPr>
              <w:t>0.702</w:t>
            </w:r>
          </w:p>
        </w:tc>
        <w:tc>
          <w:tcPr>
            <w:tcW w:type="dxa" w:w="720"/>
          </w:tcPr>
          <w:p>
            <w:r>
              <w:rPr>
                <w:sz w:val="17"/>
              </w:rPr>
              <w:t>0.73</w:t>
            </w:r>
          </w:p>
        </w:tc>
        <w:tc>
          <w:tcPr>
            <w:tcW w:type="dxa" w:w="720"/>
          </w:tcPr>
          <w:p>
            <w:r>
              <w:rPr>
                <w:sz w:val="17"/>
              </w:rPr>
              <w:t>0.80</w:t>
            </w:r>
          </w:p>
        </w:tc>
        <w:tc>
          <w:tcPr>
            <w:tcW w:type="dxa" w:w="720"/>
          </w:tcPr>
          <w:p>
            <w:r>
              <w:rPr>
                <w:sz w:val="17"/>
              </w:rPr>
              <w:t>0.76</w:t>
            </w:r>
          </w:p>
        </w:tc>
        <w:tc>
          <w:tcPr>
            <w:tcW w:type="dxa" w:w="720"/>
          </w:tcPr>
          <w:p>
            <w:r>
              <w:rPr>
                <w:sz w:val="17"/>
              </w:rPr>
              <w:t>0.85</w:t>
            </w:r>
          </w:p>
        </w:tc>
        <w:tc>
          <w:tcPr>
            <w:tcW w:type="dxa" w:w="720"/>
          </w:tcPr>
          <w:p>
            <w:r>
              <w:rPr>
                <w:sz w:val="17"/>
              </w:rPr>
              <w:t>0.52</w:t>
            </w:r>
          </w:p>
        </w:tc>
        <w:tc>
          <w:tcPr>
            <w:tcW w:type="dxa" w:w="720"/>
          </w:tcPr>
          <w:p>
            <w:r>
              <w:rPr>
                <w:sz w:val="17"/>
              </w:rPr>
              <w:t>0.21</w:t>
            </w:r>
          </w:p>
        </w:tc>
        <w:tc>
          <w:tcPr>
            <w:tcW w:type="dxa" w:w="720"/>
          </w:tcPr>
          <w:p>
            <w:r>
              <w:rPr>
                <w:sz w:val="17"/>
              </w:rPr>
              <w:t>+2.7%</w:t>
            </w:r>
          </w:p>
        </w:tc>
        <w:tc>
          <w:tcPr>
            <w:tcW w:type="dxa" w:w="720"/>
          </w:tcPr>
          <w:p>
            <w:r>
              <w:rPr>
                <w:sz w:val="17"/>
              </w:rPr>
              <w:t>379,620</w:t>
            </w:r>
          </w:p>
        </w:tc>
      </w:tr>
      <w:tr>
        <w:tc>
          <w:tcPr>
            <w:tcW w:type="dxa" w:w="720"/>
          </w:tcPr>
          <w:p>
            <w:r>
              <w:rPr>
                <w:sz w:val="17"/>
              </w:rPr>
              <w:t>3</w:t>
            </w:r>
          </w:p>
        </w:tc>
        <w:tc>
          <w:tcPr>
            <w:tcW w:type="dxa" w:w="720"/>
          </w:tcPr>
          <w:p>
            <w:r>
              <w:rPr>
                <w:sz w:val="17"/>
              </w:rPr>
              <w:t>Northampton</w:t>
            </w:r>
          </w:p>
        </w:tc>
        <w:tc>
          <w:tcPr>
            <w:tcW w:type="dxa" w:w="720"/>
          </w:tcPr>
          <w:p>
            <w:r>
              <w:rPr>
                <w:sz w:val="17"/>
              </w:rPr>
              <w:t>PA</w:t>
            </w:r>
          </w:p>
        </w:tc>
        <w:tc>
          <w:tcPr>
            <w:tcW w:type="dxa" w:w="720"/>
          </w:tcPr>
          <w:p>
            <w:r>
              <w:rPr>
                <w:sz w:val="17"/>
              </w:rPr>
              <w:t>0.702</w:t>
            </w:r>
          </w:p>
        </w:tc>
        <w:tc>
          <w:tcPr>
            <w:tcW w:type="dxa" w:w="720"/>
          </w:tcPr>
          <w:p>
            <w:r>
              <w:rPr>
                <w:sz w:val="17"/>
              </w:rPr>
              <w:t>0.52</w:t>
            </w:r>
          </w:p>
        </w:tc>
        <w:tc>
          <w:tcPr>
            <w:tcW w:type="dxa" w:w="720"/>
          </w:tcPr>
          <w:p>
            <w:r>
              <w:rPr>
                <w:sz w:val="17"/>
              </w:rPr>
              <w:t>0.79</w:t>
            </w:r>
          </w:p>
        </w:tc>
        <w:tc>
          <w:tcPr>
            <w:tcW w:type="dxa" w:w="720"/>
          </w:tcPr>
          <w:p>
            <w:r>
              <w:rPr>
                <w:sz w:val="17"/>
              </w:rPr>
              <w:t>0.84</w:t>
            </w:r>
          </w:p>
        </w:tc>
        <w:tc>
          <w:tcPr>
            <w:tcW w:type="dxa" w:w="720"/>
          </w:tcPr>
          <w:p>
            <w:r>
              <w:rPr>
                <w:sz w:val="17"/>
              </w:rPr>
              <w:t>0.84</w:t>
            </w:r>
          </w:p>
        </w:tc>
        <w:tc>
          <w:tcPr>
            <w:tcW w:type="dxa" w:w="720"/>
          </w:tcPr>
          <w:p>
            <w:r>
              <w:rPr>
                <w:sz w:val="17"/>
              </w:rPr>
              <w:t>0.65</w:t>
            </w:r>
          </w:p>
        </w:tc>
        <w:tc>
          <w:tcPr>
            <w:tcW w:type="dxa" w:w="720"/>
          </w:tcPr>
          <w:p>
            <w:r>
              <w:rPr>
                <w:sz w:val="17"/>
              </w:rPr>
              <w:t>0.37</w:t>
            </w:r>
          </w:p>
        </w:tc>
        <w:tc>
          <w:tcPr>
            <w:tcW w:type="dxa" w:w="720"/>
          </w:tcPr>
          <w:p>
            <w:r>
              <w:rPr>
                <w:sz w:val="17"/>
              </w:rPr>
              <w:t>-1.8%</w:t>
            </w:r>
          </w:p>
        </w:tc>
        <w:tc>
          <w:tcPr>
            <w:tcW w:type="dxa" w:w="720"/>
          </w:tcPr>
          <w:p>
            <w:r>
              <w:rPr>
                <w:sz w:val="17"/>
              </w:rPr>
              <w:t>356,430</w:t>
            </w:r>
          </w:p>
        </w:tc>
      </w:tr>
      <w:tr>
        <w:tc>
          <w:tcPr>
            <w:tcW w:type="dxa" w:w="720"/>
          </w:tcPr>
          <w:p>
            <w:r>
              <w:rPr>
                <w:sz w:val="17"/>
              </w:rPr>
              <w:t>4</w:t>
            </w:r>
          </w:p>
        </w:tc>
        <w:tc>
          <w:tcPr>
            <w:tcW w:type="dxa" w:w="720"/>
          </w:tcPr>
          <w:p>
            <w:r>
              <w:rPr>
                <w:sz w:val="17"/>
              </w:rPr>
              <w:t>Monroe</w:t>
            </w:r>
          </w:p>
        </w:tc>
        <w:tc>
          <w:tcPr>
            <w:tcW w:type="dxa" w:w="720"/>
          </w:tcPr>
          <w:p>
            <w:r>
              <w:rPr>
                <w:sz w:val="17"/>
              </w:rPr>
              <w:t>PA</w:t>
            </w:r>
          </w:p>
        </w:tc>
        <w:tc>
          <w:tcPr>
            <w:tcW w:type="dxa" w:w="720"/>
          </w:tcPr>
          <w:p>
            <w:r>
              <w:rPr>
                <w:sz w:val="17"/>
              </w:rPr>
              <w:t>0.688</w:t>
            </w:r>
          </w:p>
        </w:tc>
        <w:tc>
          <w:tcPr>
            <w:tcW w:type="dxa" w:w="720"/>
          </w:tcPr>
          <w:p>
            <w:r>
              <w:rPr>
                <w:sz w:val="17"/>
              </w:rPr>
              <w:t>0.75</w:t>
            </w:r>
          </w:p>
        </w:tc>
        <w:tc>
          <w:tcPr>
            <w:tcW w:type="dxa" w:w="720"/>
          </w:tcPr>
          <w:p>
            <w:r>
              <w:rPr>
                <w:sz w:val="17"/>
              </w:rPr>
              <w:t>0.69</w:t>
            </w:r>
          </w:p>
        </w:tc>
        <w:tc>
          <w:tcPr>
            <w:tcW w:type="dxa" w:w="720"/>
          </w:tcPr>
          <w:p>
            <w:r>
              <w:rPr>
                <w:sz w:val="17"/>
              </w:rPr>
              <w:t>0.92</w:t>
            </w:r>
          </w:p>
        </w:tc>
        <w:tc>
          <w:tcPr>
            <w:tcW w:type="dxa" w:w="720"/>
          </w:tcPr>
          <w:p>
            <w:r>
              <w:rPr>
                <w:sz w:val="17"/>
              </w:rPr>
              <w:t>0.68</w:t>
            </w:r>
          </w:p>
        </w:tc>
        <w:tc>
          <w:tcPr>
            <w:tcW w:type="dxa" w:w="720"/>
          </w:tcPr>
          <w:p>
            <w:r>
              <w:rPr>
                <w:sz w:val="17"/>
              </w:rPr>
              <w:t>0.49</w:t>
            </w:r>
          </w:p>
        </w:tc>
        <w:tc>
          <w:tcPr>
            <w:tcW w:type="dxa" w:w="720"/>
          </w:tcPr>
          <w:p>
            <w:r>
              <w:rPr>
                <w:sz w:val="17"/>
              </w:rPr>
              <w:t>0.30</w:t>
            </w:r>
          </w:p>
        </w:tc>
        <w:tc>
          <w:tcPr>
            <w:tcW w:type="dxa" w:w="720"/>
          </w:tcPr>
          <w:p>
            <w:r>
              <w:rPr>
                <w:sz w:val="17"/>
              </w:rPr>
              <w:t>-0.8%</w:t>
            </w:r>
          </w:p>
        </w:tc>
        <w:tc>
          <w:tcPr>
            <w:tcW w:type="dxa" w:w="720"/>
          </w:tcPr>
          <w:p>
            <w:r>
              <w:rPr>
                <w:sz w:val="17"/>
              </w:rPr>
              <w:t>171,050</w:t>
            </w:r>
          </w:p>
        </w:tc>
      </w:tr>
      <w:tr>
        <w:tc>
          <w:tcPr>
            <w:tcW w:type="dxa" w:w="720"/>
          </w:tcPr>
          <w:p>
            <w:r>
              <w:rPr>
                <w:sz w:val="17"/>
              </w:rPr>
              <w:t>5</w:t>
            </w:r>
          </w:p>
        </w:tc>
        <w:tc>
          <w:tcPr>
            <w:tcW w:type="dxa" w:w="720"/>
          </w:tcPr>
          <w:p>
            <w:r>
              <w:rPr>
                <w:sz w:val="17"/>
              </w:rPr>
              <w:t>Dauphin</w:t>
            </w:r>
          </w:p>
        </w:tc>
        <w:tc>
          <w:tcPr>
            <w:tcW w:type="dxa" w:w="720"/>
          </w:tcPr>
          <w:p>
            <w:r>
              <w:rPr>
                <w:sz w:val="17"/>
              </w:rPr>
              <w:t>PA</w:t>
            </w:r>
          </w:p>
        </w:tc>
        <w:tc>
          <w:tcPr>
            <w:tcW w:type="dxa" w:w="720"/>
          </w:tcPr>
          <w:p>
            <w:r>
              <w:rPr>
                <w:sz w:val="17"/>
              </w:rPr>
              <w:t>0.643</w:t>
            </w:r>
          </w:p>
        </w:tc>
        <w:tc>
          <w:tcPr>
            <w:tcW w:type="dxa" w:w="720"/>
          </w:tcPr>
          <w:p>
            <w:r>
              <w:rPr>
                <w:sz w:val="17"/>
              </w:rPr>
              <w:t>0.78</w:t>
            </w:r>
          </w:p>
        </w:tc>
        <w:tc>
          <w:tcPr>
            <w:tcW w:type="dxa" w:w="720"/>
          </w:tcPr>
          <w:p>
            <w:r>
              <w:rPr>
                <w:sz w:val="17"/>
              </w:rPr>
              <w:t>0.77</w:t>
            </w:r>
          </w:p>
        </w:tc>
        <w:tc>
          <w:tcPr>
            <w:tcW w:type="dxa" w:w="720"/>
          </w:tcPr>
          <w:p>
            <w:r>
              <w:rPr>
                <w:sz w:val="17"/>
              </w:rPr>
              <w:t>0.55</w:t>
            </w:r>
          </w:p>
        </w:tc>
        <w:tc>
          <w:tcPr>
            <w:tcW w:type="dxa" w:w="720"/>
          </w:tcPr>
          <w:p>
            <w:r>
              <w:rPr>
                <w:sz w:val="17"/>
              </w:rPr>
              <w:t>0.70</w:t>
            </w:r>
          </w:p>
        </w:tc>
        <w:tc>
          <w:tcPr>
            <w:tcW w:type="dxa" w:w="720"/>
          </w:tcPr>
          <w:p>
            <w:r>
              <w:rPr>
                <w:sz w:val="17"/>
              </w:rPr>
              <w:t>0.67</w:t>
            </w:r>
          </w:p>
        </w:tc>
        <w:tc>
          <w:tcPr>
            <w:tcW w:type="dxa" w:w="720"/>
          </w:tcPr>
          <w:p>
            <w:r>
              <w:rPr>
                <w:sz w:val="17"/>
              </w:rPr>
              <w:t>0.15</w:t>
            </w:r>
          </w:p>
        </w:tc>
        <w:tc>
          <w:tcPr>
            <w:tcW w:type="dxa" w:w="720"/>
          </w:tcPr>
          <w:p>
            <w:r>
              <w:rPr>
                <w:sz w:val="17"/>
              </w:rPr>
              <w:t>+5.9%</w:t>
            </w:r>
          </w:p>
        </w:tc>
        <w:tc>
          <w:tcPr>
            <w:tcW w:type="dxa" w:w="720"/>
          </w:tcPr>
          <w:p>
            <w:r>
              <w:rPr>
                <w:sz w:val="17"/>
              </w:rPr>
              <w:t>299,052</w:t>
            </w:r>
          </w:p>
        </w:tc>
      </w:tr>
    </w:tbl>
    <w:p>
      <w:pPr>
        <w:pStyle w:val="Heading2"/>
      </w:pPr>
      <w:r>
        <w:rPr>
          <w:color w:val="000000"/>
        </w:rPr>
        <w:t>3.2 Top 5 -- Michigan</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w:t>
            </w:r>
          </w:p>
        </w:tc>
        <w:tc>
          <w:tcPr>
            <w:tcW w:type="dxa" w:w="720"/>
          </w:tcPr>
          <w:p>
            <w:r>
              <w:rPr>
                <w:b/>
                <w:sz w:val="17"/>
              </w:rPr>
              <w:t>County</w:t>
            </w:r>
          </w:p>
        </w:tc>
        <w:tc>
          <w:tcPr>
            <w:tcW w:type="dxa" w:w="720"/>
          </w:tcPr>
          <w:p>
            <w:r>
              <w:rPr>
                <w:b/>
                <w:sz w:val="17"/>
              </w:rPr>
              <w:t>ST</w:t>
            </w:r>
          </w:p>
        </w:tc>
        <w:tc>
          <w:tcPr>
            <w:tcW w:type="dxa" w:w="720"/>
          </w:tcPr>
          <w:p>
            <w:r>
              <w:rPr>
                <w:b/>
                <w:sz w:val="17"/>
              </w:rPr>
              <w:t>DPS</w:t>
            </w:r>
          </w:p>
        </w:tc>
        <w:tc>
          <w:tcPr>
            <w:tcW w:type="dxa" w:w="720"/>
          </w:tcPr>
          <w:p>
            <w:r>
              <w:rPr>
                <w:b/>
                <w:sz w:val="17"/>
              </w:rPr>
              <w:t>Pers.</w:t>
            </w:r>
          </w:p>
        </w:tc>
        <w:tc>
          <w:tcPr>
            <w:tcW w:type="dxa" w:w="720"/>
          </w:tcPr>
          <w:p>
            <w:r>
              <w:rPr>
                <w:b/>
                <w:sz w:val="17"/>
              </w:rPr>
              <w:t>ElWt</w:t>
            </w:r>
          </w:p>
        </w:tc>
        <w:tc>
          <w:tcPr>
            <w:tcW w:type="dxa" w:w="720"/>
          </w:tcPr>
          <w:p>
            <w:r>
              <w:rPr>
                <w:b/>
                <w:sz w:val="17"/>
              </w:rPr>
              <w:t>Comp.</w:t>
            </w:r>
          </w:p>
        </w:tc>
        <w:tc>
          <w:tcPr>
            <w:tcW w:type="dxa" w:w="720"/>
          </w:tcPr>
          <w:p>
            <w:r>
              <w:rPr>
                <w:b/>
                <w:sz w:val="17"/>
              </w:rPr>
              <w:t>PVol</w:t>
            </w:r>
          </w:p>
        </w:tc>
        <w:tc>
          <w:tcPr>
            <w:tcW w:type="dxa" w:w="720"/>
          </w:tcPr>
          <w:p>
            <w:r>
              <w:rPr>
                <w:b/>
                <w:sz w:val="17"/>
              </w:rPr>
              <w:t>DOpp</w:t>
            </w:r>
          </w:p>
        </w:tc>
        <w:tc>
          <w:tcPr>
            <w:tcW w:type="dxa" w:w="720"/>
          </w:tcPr>
          <w:p>
            <w:r>
              <w:rPr>
                <w:b/>
                <w:sz w:val="17"/>
              </w:rPr>
              <w:t>Misf</w:t>
            </w:r>
          </w:p>
        </w:tc>
        <w:tc>
          <w:tcPr>
            <w:tcW w:type="dxa" w:w="720"/>
          </w:tcPr>
          <w:p>
            <w:r>
              <w:rPr>
                <w:b/>
                <w:sz w:val="17"/>
              </w:rPr>
              <w:t>Margin</w:t>
            </w:r>
          </w:p>
        </w:tc>
        <w:tc>
          <w:tcPr>
            <w:tcW w:type="dxa" w:w="720"/>
          </w:tcPr>
          <w:p>
            <w:r>
              <w:rPr>
                <w:b/>
                <w:sz w:val="17"/>
              </w:rPr>
              <w:t>Votes</w:t>
            </w:r>
          </w:p>
        </w:tc>
      </w:tr>
      <w:tr>
        <w:tc>
          <w:tcPr>
            <w:tcW w:type="dxa" w:w="720"/>
          </w:tcPr>
          <w:p>
            <w:r>
              <w:rPr>
                <w:sz w:val="17"/>
              </w:rPr>
              <w:t>1</w:t>
            </w:r>
          </w:p>
        </w:tc>
        <w:tc>
          <w:tcPr>
            <w:tcW w:type="dxa" w:w="720"/>
          </w:tcPr>
          <w:p>
            <w:r>
              <w:rPr>
                <w:sz w:val="17"/>
              </w:rPr>
              <w:t>Kent</w:t>
            </w:r>
          </w:p>
        </w:tc>
        <w:tc>
          <w:tcPr>
            <w:tcW w:type="dxa" w:w="720"/>
          </w:tcPr>
          <w:p>
            <w:r>
              <w:rPr>
                <w:sz w:val="17"/>
              </w:rPr>
              <w:t>MI</w:t>
            </w:r>
          </w:p>
        </w:tc>
        <w:tc>
          <w:tcPr>
            <w:tcW w:type="dxa" w:w="720"/>
          </w:tcPr>
          <w:p>
            <w:r>
              <w:rPr>
                <w:sz w:val="17"/>
              </w:rPr>
              <w:t>0.672</w:t>
            </w:r>
          </w:p>
        </w:tc>
        <w:tc>
          <w:tcPr>
            <w:tcW w:type="dxa" w:w="720"/>
          </w:tcPr>
          <w:p>
            <w:r>
              <w:rPr>
                <w:sz w:val="17"/>
              </w:rPr>
              <w:t>0.66</w:t>
            </w:r>
          </w:p>
        </w:tc>
        <w:tc>
          <w:tcPr>
            <w:tcW w:type="dxa" w:w="720"/>
          </w:tcPr>
          <w:p>
            <w:r>
              <w:rPr>
                <w:sz w:val="17"/>
              </w:rPr>
              <w:t>0.80</w:t>
            </w:r>
          </w:p>
        </w:tc>
        <w:tc>
          <w:tcPr>
            <w:tcW w:type="dxa" w:w="720"/>
          </w:tcPr>
          <w:p>
            <w:r>
              <w:rPr>
                <w:sz w:val="17"/>
              </w:rPr>
              <w:t>0.58</w:t>
            </w:r>
          </w:p>
        </w:tc>
        <w:tc>
          <w:tcPr>
            <w:tcW w:type="dxa" w:w="720"/>
          </w:tcPr>
          <w:p>
            <w:r>
              <w:rPr>
                <w:sz w:val="17"/>
              </w:rPr>
              <w:t>0.83</w:t>
            </w:r>
          </w:p>
        </w:tc>
        <w:tc>
          <w:tcPr>
            <w:tcW w:type="dxa" w:w="720"/>
          </w:tcPr>
          <w:p>
            <w:r>
              <w:rPr>
                <w:sz w:val="17"/>
              </w:rPr>
              <w:t>0.81</w:t>
            </w:r>
          </w:p>
        </w:tc>
        <w:tc>
          <w:tcPr>
            <w:tcW w:type="dxa" w:w="720"/>
          </w:tcPr>
          <w:p>
            <w:r>
              <w:rPr>
                <w:sz w:val="17"/>
              </w:rPr>
              <w:t>0.16</w:t>
            </w:r>
          </w:p>
        </w:tc>
        <w:tc>
          <w:tcPr>
            <w:tcW w:type="dxa" w:w="720"/>
          </w:tcPr>
          <w:p>
            <w:r>
              <w:rPr>
                <w:sz w:val="17"/>
              </w:rPr>
              <w:t>+5.4%</w:t>
            </w:r>
          </w:p>
        </w:tc>
        <w:tc>
          <w:tcPr>
            <w:tcW w:type="dxa" w:w="720"/>
          </w:tcPr>
          <w:p>
            <w:r>
              <w:rPr>
                <w:sz w:val="17"/>
              </w:rPr>
              <w:t>371,947</w:t>
            </w:r>
          </w:p>
        </w:tc>
      </w:tr>
      <w:tr>
        <w:tc>
          <w:tcPr>
            <w:tcW w:type="dxa" w:w="720"/>
          </w:tcPr>
          <w:p>
            <w:r>
              <w:rPr>
                <w:sz w:val="17"/>
              </w:rPr>
              <w:t>2</w:t>
            </w:r>
          </w:p>
        </w:tc>
        <w:tc>
          <w:tcPr>
            <w:tcW w:type="dxa" w:w="720"/>
          </w:tcPr>
          <w:p>
            <w:r>
              <w:rPr>
                <w:sz w:val="17"/>
              </w:rPr>
              <w:t>Oakland</w:t>
            </w:r>
          </w:p>
        </w:tc>
        <w:tc>
          <w:tcPr>
            <w:tcW w:type="dxa" w:w="720"/>
          </w:tcPr>
          <w:p>
            <w:r>
              <w:rPr>
                <w:sz w:val="17"/>
              </w:rPr>
              <w:t>MI</w:t>
            </w:r>
          </w:p>
        </w:tc>
        <w:tc>
          <w:tcPr>
            <w:tcW w:type="dxa" w:w="720"/>
          </w:tcPr>
          <w:p>
            <w:r>
              <w:rPr>
                <w:sz w:val="17"/>
              </w:rPr>
              <w:t>0.654</w:t>
            </w:r>
          </w:p>
        </w:tc>
        <w:tc>
          <w:tcPr>
            <w:tcW w:type="dxa" w:w="720"/>
          </w:tcPr>
          <w:p>
            <w:r>
              <w:rPr>
                <w:sz w:val="17"/>
              </w:rPr>
              <w:t>0.80</w:t>
            </w:r>
          </w:p>
        </w:tc>
        <w:tc>
          <w:tcPr>
            <w:tcW w:type="dxa" w:w="720"/>
          </w:tcPr>
          <w:p>
            <w:r>
              <w:rPr>
                <w:sz w:val="17"/>
              </w:rPr>
              <w:t>0.91</w:t>
            </w:r>
          </w:p>
        </w:tc>
        <w:tc>
          <w:tcPr>
            <w:tcW w:type="dxa" w:w="720"/>
          </w:tcPr>
          <w:p>
            <w:r>
              <w:rPr>
                <w:sz w:val="17"/>
              </w:rPr>
              <w:t>0.35</w:t>
            </w:r>
          </w:p>
        </w:tc>
        <w:tc>
          <w:tcPr>
            <w:tcW w:type="dxa" w:w="720"/>
          </w:tcPr>
          <w:p>
            <w:r>
              <w:rPr>
                <w:sz w:val="17"/>
              </w:rPr>
              <w:t>0.89</w:t>
            </w:r>
          </w:p>
        </w:tc>
        <w:tc>
          <w:tcPr>
            <w:tcW w:type="dxa" w:w="720"/>
          </w:tcPr>
          <w:p>
            <w:r>
              <w:rPr>
                <w:sz w:val="17"/>
              </w:rPr>
              <w:t>0.64</w:t>
            </w:r>
          </w:p>
        </w:tc>
        <w:tc>
          <w:tcPr>
            <w:tcW w:type="dxa" w:w="720"/>
          </w:tcPr>
          <w:p>
            <w:r>
              <w:rPr>
                <w:sz w:val="17"/>
              </w:rPr>
              <w:t>0.02</w:t>
            </w:r>
          </w:p>
        </w:tc>
        <w:tc>
          <w:tcPr>
            <w:tcW w:type="dxa" w:w="720"/>
          </w:tcPr>
          <w:p>
            <w:r>
              <w:rPr>
                <w:sz w:val="17"/>
              </w:rPr>
              <w:t>+10.6%</w:t>
            </w:r>
          </w:p>
        </w:tc>
        <w:tc>
          <w:tcPr>
            <w:tcW w:type="dxa" w:w="720"/>
          </w:tcPr>
          <w:p>
            <w:r>
              <w:rPr>
                <w:sz w:val="17"/>
              </w:rPr>
              <w:t>772,145</w:t>
            </w:r>
          </w:p>
        </w:tc>
      </w:tr>
      <w:tr>
        <w:tc>
          <w:tcPr>
            <w:tcW w:type="dxa" w:w="720"/>
          </w:tcPr>
          <w:p>
            <w:r>
              <w:rPr>
                <w:sz w:val="17"/>
              </w:rPr>
              <w:t>3</w:t>
            </w:r>
          </w:p>
        </w:tc>
        <w:tc>
          <w:tcPr>
            <w:tcW w:type="dxa" w:w="720"/>
          </w:tcPr>
          <w:p>
            <w:r>
              <w:rPr>
                <w:sz w:val="17"/>
              </w:rPr>
              <w:t>Genesee</w:t>
            </w:r>
          </w:p>
        </w:tc>
        <w:tc>
          <w:tcPr>
            <w:tcW w:type="dxa" w:w="720"/>
          </w:tcPr>
          <w:p>
            <w:r>
              <w:rPr>
                <w:sz w:val="17"/>
              </w:rPr>
              <w:t>MI</w:t>
            </w:r>
          </w:p>
        </w:tc>
        <w:tc>
          <w:tcPr>
            <w:tcW w:type="dxa" w:w="720"/>
          </w:tcPr>
          <w:p>
            <w:r>
              <w:rPr>
                <w:sz w:val="17"/>
              </w:rPr>
              <w:t>0.638</w:t>
            </w:r>
          </w:p>
        </w:tc>
        <w:tc>
          <w:tcPr>
            <w:tcW w:type="dxa" w:w="720"/>
          </w:tcPr>
          <w:p>
            <w:r>
              <w:rPr>
                <w:sz w:val="17"/>
              </w:rPr>
              <w:t>0.62</w:t>
            </w:r>
          </w:p>
        </w:tc>
        <w:tc>
          <w:tcPr>
            <w:tcW w:type="dxa" w:w="720"/>
          </w:tcPr>
          <w:p>
            <w:r>
              <w:rPr>
                <w:sz w:val="17"/>
              </w:rPr>
              <w:t>0.73</w:t>
            </w:r>
          </w:p>
        </w:tc>
        <w:tc>
          <w:tcPr>
            <w:tcW w:type="dxa" w:w="720"/>
          </w:tcPr>
          <w:p>
            <w:r>
              <w:rPr>
                <w:sz w:val="17"/>
              </w:rPr>
              <w:t>0.66</w:t>
            </w:r>
          </w:p>
        </w:tc>
        <w:tc>
          <w:tcPr>
            <w:tcW w:type="dxa" w:w="720"/>
          </w:tcPr>
          <w:p>
            <w:r>
              <w:rPr>
                <w:sz w:val="17"/>
              </w:rPr>
              <w:t>0.54</w:t>
            </w:r>
          </w:p>
        </w:tc>
        <w:tc>
          <w:tcPr>
            <w:tcW w:type="dxa" w:w="720"/>
          </w:tcPr>
          <w:p>
            <w:r>
              <w:rPr>
                <w:sz w:val="17"/>
              </w:rPr>
              <w:t>0.45</w:t>
            </w:r>
          </w:p>
        </w:tc>
        <w:tc>
          <w:tcPr>
            <w:tcW w:type="dxa" w:w="720"/>
          </w:tcPr>
          <w:p>
            <w:r>
              <w:rPr>
                <w:sz w:val="17"/>
              </w:rPr>
              <w:t>0.86</w:t>
            </w:r>
          </w:p>
        </w:tc>
        <w:tc>
          <w:tcPr>
            <w:tcW w:type="dxa" w:w="720"/>
          </w:tcPr>
          <w:p>
            <w:r>
              <w:rPr>
                <w:sz w:val="17"/>
              </w:rPr>
              <w:t>+4.2%</w:t>
            </w:r>
          </w:p>
        </w:tc>
        <w:tc>
          <w:tcPr>
            <w:tcW w:type="dxa" w:w="720"/>
          </w:tcPr>
          <w:p>
            <w:r>
              <w:rPr>
                <w:sz w:val="17"/>
              </w:rPr>
              <w:t>223,268</w:t>
            </w:r>
          </w:p>
        </w:tc>
      </w:tr>
      <w:tr>
        <w:tc>
          <w:tcPr>
            <w:tcW w:type="dxa" w:w="720"/>
          </w:tcPr>
          <w:p>
            <w:r>
              <w:rPr>
                <w:sz w:val="17"/>
              </w:rPr>
              <w:t>4</w:t>
            </w:r>
          </w:p>
        </w:tc>
        <w:tc>
          <w:tcPr>
            <w:tcW w:type="dxa" w:w="720"/>
          </w:tcPr>
          <w:p>
            <w:r>
              <w:rPr>
                <w:sz w:val="17"/>
              </w:rPr>
              <w:t>Grand Traverse</w:t>
            </w:r>
          </w:p>
        </w:tc>
        <w:tc>
          <w:tcPr>
            <w:tcW w:type="dxa" w:w="720"/>
          </w:tcPr>
          <w:p>
            <w:r>
              <w:rPr>
                <w:sz w:val="17"/>
              </w:rPr>
              <w:t>MI</w:t>
            </w:r>
          </w:p>
        </w:tc>
        <w:tc>
          <w:tcPr>
            <w:tcW w:type="dxa" w:w="720"/>
          </w:tcPr>
          <w:p>
            <w:r>
              <w:rPr>
                <w:sz w:val="17"/>
              </w:rPr>
              <w:t>0.581</w:t>
            </w:r>
          </w:p>
        </w:tc>
        <w:tc>
          <w:tcPr>
            <w:tcW w:type="dxa" w:w="720"/>
          </w:tcPr>
          <w:p>
            <w:r>
              <w:rPr>
                <w:sz w:val="17"/>
              </w:rPr>
              <w:t>0.19</w:t>
            </w:r>
          </w:p>
        </w:tc>
        <w:tc>
          <w:tcPr>
            <w:tcW w:type="dxa" w:w="720"/>
          </w:tcPr>
          <w:p>
            <w:r>
              <w:rPr>
                <w:sz w:val="17"/>
              </w:rPr>
              <w:t>0.54</w:t>
            </w:r>
          </w:p>
        </w:tc>
        <w:tc>
          <w:tcPr>
            <w:tcW w:type="dxa" w:w="720"/>
          </w:tcPr>
          <w:p>
            <w:r>
              <w:rPr>
                <w:sz w:val="17"/>
              </w:rPr>
              <w:t>0.84</w:t>
            </w:r>
          </w:p>
        </w:tc>
        <w:tc>
          <w:tcPr>
            <w:tcW w:type="dxa" w:w="720"/>
          </w:tcPr>
          <w:p>
            <w:r>
              <w:rPr>
                <w:sz w:val="17"/>
              </w:rPr>
              <w:t>0.73</w:t>
            </w:r>
          </w:p>
        </w:tc>
        <w:tc>
          <w:tcPr>
            <w:tcW w:type="dxa" w:w="720"/>
          </w:tcPr>
          <w:p>
            <w:r>
              <w:rPr>
                <w:sz w:val="17"/>
              </w:rPr>
              <w:t>0.90</w:t>
            </w:r>
          </w:p>
        </w:tc>
        <w:tc>
          <w:tcPr>
            <w:tcW w:type="dxa" w:w="720"/>
          </w:tcPr>
          <w:p>
            <w:r>
              <w:rPr>
                <w:sz w:val="17"/>
              </w:rPr>
              <w:t>0.32</w:t>
            </w:r>
          </w:p>
        </w:tc>
        <w:tc>
          <w:tcPr>
            <w:tcW w:type="dxa" w:w="720"/>
          </w:tcPr>
          <w:p>
            <w:r>
              <w:rPr>
                <w:sz w:val="17"/>
              </w:rPr>
              <w:t>-1.7%</w:t>
            </w:r>
          </w:p>
        </w:tc>
        <w:tc>
          <w:tcPr>
            <w:tcW w:type="dxa" w:w="720"/>
          </w:tcPr>
          <w:p>
            <w:r>
              <w:rPr>
                <w:sz w:val="17"/>
              </w:rPr>
              <w:t>62,772</w:t>
            </w:r>
          </w:p>
        </w:tc>
      </w:tr>
      <w:tr>
        <w:tc>
          <w:tcPr>
            <w:tcW w:type="dxa" w:w="720"/>
          </w:tcPr>
          <w:p>
            <w:r>
              <w:rPr>
                <w:sz w:val="17"/>
              </w:rPr>
              <w:t>5</w:t>
            </w:r>
          </w:p>
        </w:tc>
        <w:tc>
          <w:tcPr>
            <w:tcW w:type="dxa" w:w="720"/>
          </w:tcPr>
          <w:p>
            <w:r>
              <w:rPr>
                <w:sz w:val="17"/>
              </w:rPr>
              <w:t>Macomb</w:t>
            </w:r>
          </w:p>
        </w:tc>
        <w:tc>
          <w:tcPr>
            <w:tcW w:type="dxa" w:w="720"/>
          </w:tcPr>
          <w:p>
            <w:r>
              <w:rPr>
                <w:sz w:val="17"/>
              </w:rPr>
              <w:t>MI</w:t>
            </w:r>
          </w:p>
        </w:tc>
        <w:tc>
          <w:tcPr>
            <w:tcW w:type="dxa" w:w="720"/>
          </w:tcPr>
          <w:p>
            <w:r>
              <w:rPr>
                <w:sz w:val="17"/>
              </w:rPr>
              <w:t>0.568</w:t>
            </w:r>
          </w:p>
        </w:tc>
        <w:tc>
          <w:tcPr>
            <w:tcW w:type="dxa" w:w="720"/>
          </w:tcPr>
          <w:p>
            <w:r>
              <w:rPr>
                <w:sz w:val="17"/>
              </w:rPr>
              <w:t>0.62</w:t>
            </w:r>
          </w:p>
        </w:tc>
        <w:tc>
          <w:tcPr>
            <w:tcW w:type="dxa" w:w="720"/>
          </w:tcPr>
          <w:p>
            <w:r>
              <w:rPr>
                <w:sz w:val="17"/>
              </w:rPr>
              <w:t>0.85</w:t>
            </w:r>
          </w:p>
        </w:tc>
        <w:tc>
          <w:tcPr>
            <w:tcW w:type="dxa" w:w="720"/>
          </w:tcPr>
          <w:p>
            <w:r>
              <w:rPr>
                <w:sz w:val="17"/>
              </w:rPr>
              <w:t>0.25</w:t>
            </w:r>
          </w:p>
        </w:tc>
        <w:tc>
          <w:tcPr>
            <w:tcW w:type="dxa" w:w="720"/>
          </w:tcPr>
          <w:p>
            <w:r>
              <w:rPr>
                <w:sz w:val="17"/>
              </w:rPr>
              <w:t>0.75</w:t>
            </w:r>
          </w:p>
        </w:tc>
        <w:tc>
          <w:tcPr>
            <w:tcW w:type="dxa" w:w="720"/>
          </w:tcPr>
          <w:p>
            <w:r>
              <w:rPr>
                <w:sz w:val="17"/>
              </w:rPr>
              <w:t>0.51</w:t>
            </w:r>
          </w:p>
        </w:tc>
        <w:tc>
          <w:tcPr>
            <w:tcW w:type="dxa" w:w="720"/>
          </w:tcPr>
          <w:p>
            <w:r>
              <w:rPr>
                <w:sz w:val="17"/>
              </w:rPr>
              <w:t>0.25</w:t>
            </w:r>
          </w:p>
        </w:tc>
        <w:tc>
          <w:tcPr>
            <w:tcW w:type="dxa" w:w="720"/>
          </w:tcPr>
          <w:p>
            <w:r>
              <w:rPr>
                <w:sz w:val="17"/>
              </w:rPr>
              <w:t>-13.7%</w:t>
            </w:r>
          </w:p>
        </w:tc>
        <w:tc>
          <w:tcPr>
            <w:tcW w:type="dxa" w:w="720"/>
          </w:tcPr>
          <w:p>
            <w:r>
              <w:rPr>
                <w:sz w:val="17"/>
              </w:rPr>
              <w:t>509,152</w:t>
            </w:r>
          </w:p>
        </w:tc>
      </w:tr>
    </w:tbl>
    <w:p>
      <w:pPr>
        <w:pStyle w:val="Heading2"/>
      </w:pPr>
      <w:r>
        <w:rPr>
          <w:color w:val="000000"/>
        </w:rPr>
        <w:t>3.2 Top 5 -- North Carolina</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w:t>
            </w:r>
          </w:p>
        </w:tc>
        <w:tc>
          <w:tcPr>
            <w:tcW w:type="dxa" w:w="720"/>
          </w:tcPr>
          <w:p>
            <w:r>
              <w:rPr>
                <w:b/>
                <w:sz w:val="17"/>
              </w:rPr>
              <w:t>County</w:t>
            </w:r>
          </w:p>
        </w:tc>
        <w:tc>
          <w:tcPr>
            <w:tcW w:type="dxa" w:w="720"/>
          </w:tcPr>
          <w:p>
            <w:r>
              <w:rPr>
                <w:b/>
                <w:sz w:val="17"/>
              </w:rPr>
              <w:t>ST</w:t>
            </w:r>
          </w:p>
        </w:tc>
        <w:tc>
          <w:tcPr>
            <w:tcW w:type="dxa" w:w="720"/>
          </w:tcPr>
          <w:p>
            <w:r>
              <w:rPr>
                <w:b/>
                <w:sz w:val="17"/>
              </w:rPr>
              <w:t>DPS</w:t>
            </w:r>
          </w:p>
        </w:tc>
        <w:tc>
          <w:tcPr>
            <w:tcW w:type="dxa" w:w="720"/>
          </w:tcPr>
          <w:p>
            <w:r>
              <w:rPr>
                <w:b/>
                <w:sz w:val="17"/>
              </w:rPr>
              <w:t>Pers.</w:t>
            </w:r>
          </w:p>
        </w:tc>
        <w:tc>
          <w:tcPr>
            <w:tcW w:type="dxa" w:w="720"/>
          </w:tcPr>
          <w:p>
            <w:r>
              <w:rPr>
                <w:b/>
                <w:sz w:val="17"/>
              </w:rPr>
              <w:t>ElWt</w:t>
            </w:r>
          </w:p>
        </w:tc>
        <w:tc>
          <w:tcPr>
            <w:tcW w:type="dxa" w:w="720"/>
          </w:tcPr>
          <w:p>
            <w:r>
              <w:rPr>
                <w:b/>
                <w:sz w:val="17"/>
              </w:rPr>
              <w:t>Comp.</w:t>
            </w:r>
          </w:p>
        </w:tc>
        <w:tc>
          <w:tcPr>
            <w:tcW w:type="dxa" w:w="720"/>
          </w:tcPr>
          <w:p>
            <w:r>
              <w:rPr>
                <w:b/>
                <w:sz w:val="17"/>
              </w:rPr>
              <w:t>PVol</w:t>
            </w:r>
          </w:p>
        </w:tc>
        <w:tc>
          <w:tcPr>
            <w:tcW w:type="dxa" w:w="720"/>
          </w:tcPr>
          <w:p>
            <w:r>
              <w:rPr>
                <w:b/>
                <w:sz w:val="17"/>
              </w:rPr>
              <w:t>DOpp</w:t>
            </w:r>
          </w:p>
        </w:tc>
        <w:tc>
          <w:tcPr>
            <w:tcW w:type="dxa" w:w="720"/>
          </w:tcPr>
          <w:p>
            <w:r>
              <w:rPr>
                <w:b/>
                <w:sz w:val="17"/>
              </w:rPr>
              <w:t>Misf</w:t>
            </w:r>
          </w:p>
        </w:tc>
        <w:tc>
          <w:tcPr>
            <w:tcW w:type="dxa" w:w="720"/>
          </w:tcPr>
          <w:p>
            <w:r>
              <w:rPr>
                <w:b/>
                <w:sz w:val="17"/>
              </w:rPr>
              <w:t>Margin</w:t>
            </w:r>
          </w:p>
        </w:tc>
        <w:tc>
          <w:tcPr>
            <w:tcW w:type="dxa" w:w="720"/>
          </w:tcPr>
          <w:p>
            <w:r>
              <w:rPr>
                <w:b/>
                <w:sz w:val="17"/>
              </w:rPr>
              <w:t>Votes</w:t>
            </w:r>
          </w:p>
        </w:tc>
      </w:tr>
      <w:tr>
        <w:tc>
          <w:tcPr>
            <w:tcW w:type="dxa" w:w="720"/>
          </w:tcPr>
          <w:p>
            <w:r>
              <w:rPr>
                <w:sz w:val="17"/>
              </w:rPr>
              <w:t>1</w:t>
            </w:r>
          </w:p>
        </w:tc>
        <w:tc>
          <w:tcPr>
            <w:tcW w:type="dxa" w:w="720"/>
          </w:tcPr>
          <w:p>
            <w:r>
              <w:rPr>
                <w:sz w:val="17"/>
              </w:rPr>
              <w:t>Cabarrus</w:t>
            </w:r>
          </w:p>
        </w:tc>
        <w:tc>
          <w:tcPr>
            <w:tcW w:type="dxa" w:w="720"/>
          </w:tcPr>
          <w:p>
            <w:r>
              <w:rPr>
                <w:sz w:val="17"/>
              </w:rPr>
              <w:t>NC</w:t>
            </w:r>
          </w:p>
        </w:tc>
        <w:tc>
          <w:tcPr>
            <w:tcW w:type="dxa" w:w="720"/>
          </w:tcPr>
          <w:p>
            <w:r>
              <w:rPr>
                <w:sz w:val="17"/>
              </w:rPr>
              <w:t>0.678</w:t>
            </w:r>
          </w:p>
        </w:tc>
        <w:tc>
          <w:tcPr>
            <w:tcW w:type="dxa" w:w="720"/>
          </w:tcPr>
          <w:p>
            <w:r>
              <w:rPr>
                <w:sz w:val="17"/>
              </w:rPr>
              <w:t>0.71</w:t>
            </w:r>
          </w:p>
        </w:tc>
        <w:tc>
          <w:tcPr>
            <w:tcW w:type="dxa" w:w="720"/>
          </w:tcPr>
          <w:p>
            <w:r>
              <w:rPr>
                <w:sz w:val="17"/>
              </w:rPr>
              <w:t>0.63</w:t>
            </w:r>
          </w:p>
        </w:tc>
        <w:tc>
          <w:tcPr>
            <w:tcW w:type="dxa" w:w="720"/>
          </w:tcPr>
          <w:p>
            <w:r>
              <w:rPr>
                <w:sz w:val="17"/>
              </w:rPr>
              <w:t>0.46</w:t>
            </w:r>
          </w:p>
        </w:tc>
        <w:tc>
          <w:tcPr>
            <w:tcW w:type="dxa" w:w="720"/>
          </w:tcPr>
          <w:p>
            <w:r>
              <w:rPr>
                <w:sz w:val="17"/>
              </w:rPr>
              <w:t>0.87</w:t>
            </w:r>
          </w:p>
        </w:tc>
        <w:tc>
          <w:tcPr>
            <w:tcW w:type="dxa" w:w="720"/>
          </w:tcPr>
          <w:p>
            <w:r>
              <w:rPr>
                <w:sz w:val="17"/>
              </w:rPr>
              <w:t>0.93</w:t>
            </w:r>
          </w:p>
        </w:tc>
        <w:tc>
          <w:tcPr>
            <w:tcW w:type="dxa" w:w="720"/>
          </w:tcPr>
          <w:p>
            <w:r>
              <w:rPr>
                <w:sz w:val="17"/>
              </w:rPr>
              <w:t>0.49</w:t>
            </w:r>
          </w:p>
        </w:tc>
        <w:tc>
          <w:tcPr>
            <w:tcW w:type="dxa" w:w="720"/>
          </w:tcPr>
          <w:p>
            <w:r>
              <w:rPr>
                <w:sz w:val="17"/>
              </w:rPr>
              <w:t>-7.7%</w:t>
            </w:r>
          </w:p>
        </w:tc>
        <w:tc>
          <w:tcPr>
            <w:tcW w:type="dxa" w:w="720"/>
          </w:tcPr>
          <w:p>
            <w:r>
              <w:rPr>
                <w:sz w:val="17"/>
              </w:rPr>
              <w:t>120,202</w:t>
            </w:r>
          </w:p>
        </w:tc>
      </w:tr>
      <w:tr>
        <w:tc>
          <w:tcPr>
            <w:tcW w:type="dxa" w:w="720"/>
          </w:tcPr>
          <w:p>
            <w:r>
              <w:rPr>
                <w:sz w:val="17"/>
              </w:rPr>
              <w:t>2</w:t>
            </w:r>
          </w:p>
        </w:tc>
        <w:tc>
          <w:tcPr>
            <w:tcW w:type="dxa" w:w="720"/>
          </w:tcPr>
          <w:p>
            <w:r>
              <w:rPr>
                <w:sz w:val="17"/>
              </w:rPr>
              <w:t>New Hanover</w:t>
            </w:r>
          </w:p>
        </w:tc>
        <w:tc>
          <w:tcPr>
            <w:tcW w:type="dxa" w:w="720"/>
          </w:tcPr>
          <w:p>
            <w:r>
              <w:rPr>
                <w:sz w:val="17"/>
              </w:rPr>
              <w:t>NC</w:t>
            </w:r>
          </w:p>
        </w:tc>
        <w:tc>
          <w:tcPr>
            <w:tcW w:type="dxa" w:w="720"/>
          </w:tcPr>
          <w:p>
            <w:r>
              <w:rPr>
                <w:sz w:val="17"/>
              </w:rPr>
              <w:t>0.657</w:t>
            </w:r>
          </w:p>
        </w:tc>
        <w:tc>
          <w:tcPr>
            <w:tcW w:type="dxa" w:w="720"/>
          </w:tcPr>
          <w:p>
            <w:r>
              <w:rPr>
                <w:sz w:val="17"/>
              </w:rPr>
              <w:t>0.56</w:t>
            </w:r>
          </w:p>
        </w:tc>
        <w:tc>
          <w:tcPr>
            <w:tcW w:type="dxa" w:w="720"/>
          </w:tcPr>
          <w:p>
            <w:r>
              <w:rPr>
                <w:sz w:val="17"/>
              </w:rPr>
              <w:t>0.66</w:t>
            </w:r>
          </w:p>
        </w:tc>
        <w:tc>
          <w:tcPr>
            <w:tcW w:type="dxa" w:w="720"/>
          </w:tcPr>
          <w:p>
            <w:r>
              <w:rPr>
                <w:sz w:val="17"/>
              </w:rPr>
              <w:t>0.94</w:t>
            </w:r>
          </w:p>
        </w:tc>
        <w:tc>
          <w:tcPr>
            <w:tcW w:type="dxa" w:w="720"/>
          </w:tcPr>
          <w:p>
            <w:r>
              <w:rPr>
                <w:sz w:val="17"/>
              </w:rPr>
              <w:t>0.77</w:t>
            </w:r>
          </w:p>
        </w:tc>
        <w:tc>
          <w:tcPr>
            <w:tcW w:type="dxa" w:w="720"/>
          </w:tcPr>
          <w:p>
            <w:r>
              <w:rPr>
                <w:sz w:val="17"/>
              </w:rPr>
              <w:t>0.72</w:t>
            </w:r>
          </w:p>
        </w:tc>
        <w:tc>
          <w:tcPr>
            <w:tcW w:type="dxa" w:w="720"/>
          </w:tcPr>
          <w:p>
            <w:r>
              <w:rPr>
                <w:sz w:val="17"/>
              </w:rPr>
              <w:t>0.00</w:t>
            </w:r>
          </w:p>
        </w:tc>
        <w:tc>
          <w:tcPr>
            <w:tcW w:type="dxa" w:w="720"/>
          </w:tcPr>
          <w:p>
            <w:r>
              <w:rPr>
                <w:sz w:val="17"/>
              </w:rPr>
              <w:t>+0.6%</w:t>
            </w:r>
          </w:p>
        </w:tc>
        <w:tc>
          <w:tcPr>
            <w:tcW w:type="dxa" w:w="720"/>
          </w:tcPr>
          <w:p>
            <w:r>
              <w:rPr>
                <w:sz w:val="17"/>
              </w:rPr>
              <w:t>138,734</w:t>
            </w:r>
          </w:p>
        </w:tc>
      </w:tr>
      <w:tr>
        <w:tc>
          <w:tcPr>
            <w:tcW w:type="dxa" w:w="720"/>
          </w:tcPr>
          <w:p>
            <w:r>
              <w:rPr>
                <w:sz w:val="17"/>
              </w:rPr>
              <w:t>3</w:t>
            </w:r>
          </w:p>
        </w:tc>
        <w:tc>
          <w:tcPr>
            <w:tcW w:type="dxa" w:w="720"/>
          </w:tcPr>
          <w:p>
            <w:r>
              <w:rPr>
                <w:sz w:val="17"/>
              </w:rPr>
              <w:t>Wilson</w:t>
            </w:r>
          </w:p>
        </w:tc>
        <w:tc>
          <w:tcPr>
            <w:tcW w:type="dxa" w:w="720"/>
          </w:tcPr>
          <w:p>
            <w:r>
              <w:rPr>
                <w:sz w:val="17"/>
              </w:rPr>
              <w:t>NC</w:t>
            </w:r>
          </w:p>
        </w:tc>
        <w:tc>
          <w:tcPr>
            <w:tcW w:type="dxa" w:w="720"/>
          </w:tcPr>
          <w:p>
            <w:r>
              <w:rPr>
                <w:sz w:val="17"/>
              </w:rPr>
              <w:t>0.639</w:t>
            </w:r>
          </w:p>
        </w:tc>
        <w:tc>
          <w:tcPr>
            <w:tcW w:type="dxa" w:w="720"/>
          </w:tcPr>
          <w:p>
            <w:r>
              <w:rPr>
                <w:sz w:val="17"/>
              </w:rPr>
              <w:t>0.94</w:t>
            </w:r>
          </w:p>
        </w:tc>
        <w:tc>
          <w:tcPr>
            <w:tcW w:type="dxa" w:w="720"/>
          </w:tcPr>
          <w:p>
            <w:r>
              <w:rPr>
                <w:sz w:val="17"/>
              </w:rPr>
              <w:t>0.47</w:t>
            </w:r>
          </w:p>
        </w:tc>
        <w:tc>
          <w:tcPr>
            <w:tcW w:type="dxa" w:w="720"/>
          </w:tcPr>
          <w:p>
            <w:r>
              <w:rPr>
                <w:sz w:val="17"/>
              </w:rPr>
              <w:t>0.96</w:t>
            </w:r>
          </w:p>
        </w:tc>
        <w:tc>
          <w:tcPr>
            <w:tcW w:type="dxa" w:w="720"/>
          </w:tcPr>
          <w:p>
            <w:r>
              <w:rPr>
                <w:sz w:val="17"/>
              </w:rPr>
              <w:t>0.37</w:t>
            </w:r>
          </w:p>
        </w:tc>
        <w:tc>
          <w:tcPr>
            <w:tcW w:type="dxa" w:w="720"/>
          </w:tcPr>
          <w:p>
            <w:r>
              <w:rPr>
                <w:sz w:val="17"/>
              </w:rPr>
              <w:t>0.50</w:t>
            </w:r>
          </w:p>
        </w:tc>
        <w:tc>
          <w:tcPr>
            <w:tcW w:type="dxa" w:w="720"/>
          </w:tcPr>
          <w:p>
            <w:r>
              <w:rPr>
                <w:sz w:val="17"/>
              </w:rPr>
              <w:t>0.40</w:t>
            </w:r>
          </w:p>
        </w:tc>
        <w:tc>
          <w:tcPr>
            <w:tcW w:type="dxa" w:w="720"/>
          </w:tcPr>
          <w:p>
            <w:r>
              <w:rPr>
                <w:sz w:val="17"/>
              </w:rPr>
              <w:t>+0.4%</w:t>
            </w:r>
          </w:p>
        </w:tc>
        <w:tc>
          <w:tcPr>
            <w:tcW w:type="dxa" w:w="720"/>
          </w:tcPr>
          <w:p>
            <w:r>
              <w:rPr>
                <w:sz w:val="17"/>
              </w:rPr>
              <w:t>40,045</w:t>
            </w:r>
          </w:p>
        </w:tc>
      </w:tr>
      <w:tr>
        <w:tc>
          <w:tcPr>
            <w:tcW w:type="dxa" w:w="720"/>
          </w:tcPr>
          <w:p>
            <w:r>
              <w:rPr>
                <w:sz w:val="17"/>
              </w:rPr>
              <w:t>4</w:t>
            </w:r>
          </w:p>
        </w:tc>
        <w:tc>
          <w:tcPr>
            <w:tcW w:type="dxa" w:w="720"/>
          </w:tcPr>
          <w:p>
            <w:r>
              <w:rPr>
                <w:sz w:val="17"/>
              </w:rPr>
              <w:t>Wake</w:t>
            </w:r>
          </w:p>
        </w:tc>
        <w:tc>
          <w:tcPr>
            <w:tcW w:type="dxa" w:w="720"/>
          </w:tcPr>
          <w:p>
            <w:r>
              <w:rPr>
                <w:sz w:val="17"/>
              </w:rPr>
              <w:t>NC</w:t>
            </w:r>
          </w:p>
        </w:tc>
        <w:tc>
          <w:tcPr>
            <w:tcW w:type="dxa" w:w="720"/>
          </w:tcPr>
          <w:p>
            <w:r>
              <w:rPr>
                <w:sz w:val="17"/>
              </w:rPr>
              <w:t>0.612</w:t>
            </w:r>
          </w:p>
        </w:tc>
        <w:tc>
          <w:tcPr>
            <w:tcW w:type="dxa" w:w="720"/>
          </w:tcPr>
          <w:p>
            <w:r>
              <w:rPr>
                <w:sz w:val="17"/>
              </w:rPr>
              <w:t>0.88</w:t>
            </w:r>
          </w:p>
        </w:tc>
        <w:tc>
          <w:tcPr>
            <w:tcW w:type="dxa" w:w="720"/>
          </w:tcPr>
          <w:p>
            <w:r>
              <w:rPr>
                <w:sz w:val="17"/>
              </w:rPr>
              <w:t>0.88</w:t>
            </w:r>
          </w:p>
        </w:tc>
        <w:tc>
          <w:tcPr>
            <w:tcW w:type="dxa" w:w="720"/>
          </w:tcPr>
          <w:p>
            <w:r>
              <w:rPr>
                <w:sz w:val="17"/>
              </w:rPr>
              <w:t>0.08</w:t>
            </w:r>
          </w:p>
        </w:tc>
        <w:tc>
          <w:tcPr>
            <w:tcW w:type="dxa" w:w="720"/>
          </w:tcPr>
          <w:p>
            <w:r>
              <w:rPr>
                <w:sz w:val="17"/>
              </w:rPr>
              <w:t>0.85</w:t>
            </w:r>
          </w:p>
        </w:tc>
        <w:tc>
          <w:tcPr>
            <w:tcW w:type="dxa" w:w="720"/>
          </w:tcPr>
          <w:p>
            <w:r>
              <w:rPr>
                <w:sz w:val="17"/>
              </w:rPr>
              <w:t>0.74</w:t>
            </w:r>
          </w:p>
        </w:tc>
        <w:tc>
          <w:tcPr>
            <w:tcW w:type="dxa" w:w="720"/>
          </w:tcPr>
          <w:p>
            <w:r>
              <w:rPr>
                <w:sz w:val="17"/>
              </w:rPr>
              <w:t>0.00</w:t>
            </w:r>
          </w:p>
        </w:tc>
        <w:tc>
          <w:tcPr>
            <w:tcW w:type="dxa" w:w="720"/>
          </w:tcPr>
          <w:p>
            <w:r>
              <w:rPr>
                <w:sz w:val="17"/>
              </w:rPr>
              <w:t>+25.4%</w:t>
            </w:r>
          </w:p>
        </w:tc>
        <w:tc>
          <w:tcPr>
            <w:tcW w:type="dxa" w:w="720"/>
          </w:tcPr>
          <w:p>
            <w:r>
              <w:rPr>
                <w:sz w:val="17"/>
              </w:rPr>
              <w:t>653,580</w:t>
            </w:r>
          </w:p>
        </w:tc>
      </w:tr>
      <w:tr>
        <w:tc>
          <w:tcPr>
            <w:tcW w:type="dxa" w:w="720"/>
          </w:tcPr>
          <w:p>
            <w:r>
              <w:rPr>
                <w:sz w:val="17"/>
              </w:rPr>
              <w:t>5</w:t>
            </w:r>
          </w:p>
        </w:tc>
        <w:tc>
          <w:tcPr>
            <w:tcW w:type="dxa" w:w="720"/>
          </w:tcPr>
          <w:p>
            <w:r>
              <w:rPr>
                <w:sz w:val="17"/>
              </w:rPr>
              <w:t>Lenoir</w:t>
            </w:r>
          </w:p>
        </w:tc>
        <w:tc>
          <w:tcPr>
            <w:tcW w:type="dxa" w:w="720"/>
          </w:tcPr>
          <w:p>
            <w:r>
              <w:rPr>
                <w:sz w:val="17"/>
              </w:rPr>
              <w:t>NC</w:t>
            </w:r>
          </w:p>
        </w:tc>
        <w:tc>
          <w:tcPr>
            <w:tcW w:type="dxa" w:w="720"/>
          </w:tcPr>
          <w:p>
            <w:r>
              <w:rPr>
                <w:sz w:val="17"/>
              </w:rPr>
              <w:t>0.610</w:t>
            </w:r>
          </w:p>
        </w:tc>
        <w:tc>
          <w:tcPr>
            <w:tcW w:type="dxa" w:w="720"/>
          </w:tcPr>
          <w:p>
            <w:r>
              <w:rPr>
                <w:sz w:val="17"/>
              </w:rPr>
              <w:t>0.92</w:t>
            </w:r>
          </w:p>
        </w:tc>
        <w:tc>
          <w:tcPr>
            <w:tcW w:type="dxa" w:w="720"/>
          </w:tcPr>
          <w:p>
            <w:r>
              <w:rPr>
                <w:sz w:val="17"/>
              </w:rPr>
              <w:t>0.42</w:t>
            </w:r>
          </w:p>
        </w:tc>
        <w:tc>
          <w:tcPr>
            <w:tcW w:type="dxa" w:w="720"/>
          </w:tcPr>
          <w:p>
            <w:r>
              <w:rPr>
                <w:sz w:val="17"/>
              </w:rPr>
              <w:t>0.51</w:t>
            </w:r>
          </w:p>
        </w:tc>
        <w:tc>
          <w:tcPr>
            <w:tcW w:type="dxa" w:w="720"/>
          </w:tcPr>
          <w:p>
            <w:r>
              <w:rPr>
                <w:sz w:val="17"/>
              </w:rPr>
              <w:t>0.68</w:t>
            </w:r>
          </w:p>
        </w:tc>
        <w:tc>
          <w:tcPr>
            <w:tcW w:type="dxa" w:w="720"/>
          </w:tcPr>
          <w:p>
            <w:r>
              <w:rPr>
                <w:sz w:val="17"/>
              </w:rPr>
              <w:t>0.53</w:t>
            </w:r>
          </w:p>
        </w:tc>
        <w:tc>
          <w:tcPr>
            <w:tcW w:type="dxa" w:w="720"/>
          </w:tcPr>
          <w:p>
            <w:r>
              <w:rPr>
                <w:sz w:val="17"/>
              </w:rPr>
              <w:t>0.53</w:t>
            </w:r>
          </w:p>
        </w:tc>
        <w:tc>
          <w:tcPr>
            <w:tcW w:type="dxa" w:w="720"/>
          </w:tcPr>
          <w:p>
            <w:r>
              <w:rPr>
                <w:sz w:val="17"/>
              </w:rPr>
              <w:t>-6.8%</w:t>
            </w:r>
          </w:p>
        </w:tc>
        <w:tc>
          <w:tcPr>
            <w:tcW w:type="dxa" w:w="720"/>
          </w:tcPr>
          <w:p>
            <w:r>
              <w:rPr>
                <w:sz w:val="17"/>
              </w:rPr>
              <w:t>27,503</w:t>
            </w:r>
          </w:p>
        </w:tc>
      </w:tr>
    </w:tbl>
    <w:p>
      <w:r>
        <w:br w:type="page"/>
      </w:r>
    </w:p>
    <w:p>
      <w:pPr>
        <w:pStyle w:val="Heading1"/>
      </w:pPr>
      <w:r>
        <w:rPr>
          <w:color w:val="000000"/>
        </w:rPr>
        <w:t>4. County-by-County Analysis</w:t>
      </w:r>
    </w:p>
    <w:p>
      <w:r>
        <w:t>Each top-10 county is assessed by its electoral trajectory (2016-2020-2024), demographic profile, cluster archetype, and strategic role.</w:t>
      </w:r>
    </w:p>
    <w:p>
      <w:r>
        <w:rPr>
          <w:b/>
        </w:rPr>
        <w:t xml:space="preserve">#1 Bucks County, PA (DPS = 0.734) -- </w:t>
      </w:r>
      <w:r>
        <w:t>THE bellwether. Trajectory: +0.8% (2016), +4.4% (2020), -0.1% (2024) -- a "Blue Bounceback" that landed on a razor's edge of 582 votes. With 802K total votes, near-perfect competitiveness (0.993), and high predicted volatility (0.878), Bucks is the single most valuable target in the three-state region. Campaign focus: persuasion. Ground game, earned media, and targeted digital advertising in the Bucks County media market should be the #1 budget line item.</w:t>
      </w:r>
    </w:p>
    <w:p>
      <w:r>
        <w:rPr>
          <w:b/>
        </w:rPr>
        <w:t xml:space="preserve">#2 Lehigh County, PA (DPS = 0.702) -- </w:t>
      </w:r>
      <w:r>
        <w:t>Heart of the Lehigh Valley (Allentown, Bethlehem). Trajectory: +4.7%, +7.6%, +2.7% -- a Blue Bounceback with an alarming 5-point 2024 pullback. Racial entropy = 0.699 (well above the 0.552 threshold), driven by Hispanic immigration and NYC commuter spillover. 380K votes. Campaign focus: bilingual outreach and housing affordability messaging targeting the rapidly diversifying population that drives the county's volatility.</w:t>
      </w:r>
    </w:p>
    <w:p>
      <w:r>
        <w:rPr>
          <w:b/>
        </w:rPr>
        <w:t xml:space="preserve">#3 Northampton County, PA (DPS = 0.702) -- </w:t>
      </w:r>
      <w:r>
        <w:t>The classic bellwether. Voted Obama, flipped to Trump in 2016 (-3.8%), flipped back to Biden in 2020 (+0.7%), and returned Republican in 2024 (-1.8%). Has correctly predicted the PA winner in 4 of the last 5 cycles. Paired with Lehigh, it forms a natural media market. Campaign focus: genuine swing voters -- white working-class persuadables in the Easton/Bethlehem area. Distinct from Lehigh's diversity-driven volatility.</w:t>
      </w:r>
    </w:p>
    <w:p>
      <w:r>
        <w:rPr>
          <w:b/>
        </w:rPr>
        <w:t xml:space="preserve">#4 Monroe County, PA (DPS = 0.688) -- </w:t>
      </w:r>
      <w:r>
        <w:t>The Pocono Mountains. Highest racial entropy among PA top 5 (0.730). Trajectory mirrors Bucks: +0.8%, +6.4%, -0.8%. Being transformed by NYC exurban migration along I-80. Highly Volatile classification. Campaign focus: new residents and first-time voters. Monroe is a "future Lehigh Valley" -- investing here builds infrastructure for a county that will only grow more electorally significant.</w:t>
      </w:r>
    </w:p>
    <w:p>
      <w:r>
        <w:rPr>
          <w:b/>
        </w:rPr>
        <w:t xml:space="preserve">#5 Cabarrus County, NC (DPS = 0.678) -- </w:t>
      </w:r>
      <w:r>
        <w:t>Charlotte suburbs. Remarkable trajectory: -19.6% (2016), -9.4% (2020), -7.7% (2024) -- a 12-point Steady Blue Drift over 8 years. Highest S_dem_opportunity (0.932) in the top 10. Entropy = 0.802. Not yet winnable, but the trend is unmistakable. Campaign focus: suburban women, college-educated professionals, and the growing Hispanic community. Every dollar erodes the Republican structural advantage in the Charlotte metro.</w:t>
      </w:r>
    </w:p>
    <w:p>
      <w:r>
        <w:rPr>
          <w:b/>
        </w:rPr>
        <w:t xml:space="preserve">#6 Kent County, MI (DPS = 0.672) -- </w:t>
      </w:r>
      <w:r>
        <w:t>Grand Rapids -- historically the capital of Michigan Republicanism (Gerald Ford's district). Flipped Democratic in 2020 (+6.1%) after -3.1% in 2016, held at +5.4% in 2024. With 372K votes, it is the largest competitive county in MI. Highly Volatile. Campaign focus: THE persuasion county in Michigan. The evangelical GOP base is being offset by the growing urban core and education-driven suburban shift.</w:t>
      </w:r>
    </w:p>
    <w:p>
      <w:r>
        <w:rPr>
          <w:b/>
        </w:rPr>
        <w:t xml:space="preserve">#7 New Hanover County, NC (DPS = 0.657) -- </w:t>
      </w:r>
      <w:r>
        <w:t>Wilmington and the NC coast. Flipped Dem in 2020 (+2.1%), narrowed to +0.6% in 2024 -- a margin of ~830 votes out of 139K cast. S_competitiveness = 0.940, second only to Bucks. Entropy (0.565) sits precisely at the critical diversity threshold. Campaign focus: the "Bucks County of North Carolina" -- a coastal suburban county that swings with the national mood. Razor-thin margin makes resource allocation highly efficient.</w:t>
      </w:r>
    </w:p>
    <w:p>
      <w:r>
        <w:rPr>
          <w:b/>
        </w:rPr>
        <w:t xml:space="preserve">#8 Oakland County, MI (DPS = 0.654) -- </w:t>
      </w:r>
      <w:r>
        <w:t>The most important "protect the gains" county. Once reliably Republican, Oakland flipped decisively: +8.1% (2016), +14.0% (2020), but eroded to +10.6% in 2024 -- a 3.4-point loss in one cycle. With 772K votes (second-largest in the study), this erosion translates to ~26,000 lost votes. If the trend continues, Oakland becomes competitive by 2028 -- and losing Oakland means losing Michigan. Predicted volatility = 0.887, the highest in the top 10. Campaign focus: defensive investment. Not persuasion but turnout infrastructure to arrest erosion. Every 1% turnout increase = ~7,700 votes.</w:t>
      </w:r>
    </w:p>
    <w:p>
      <w:r>
        <w:rPr>
          <w:b/>
        </w:rPr>
        <w:t xml:space="preserve">#9 Dauphin County, PA (DPS = 0.643) -- </w:t>
      </w:r>
      <w:r>
        <w:t>Harrisburg metro, state capital. Trajectory: +2.9%, +8.5%, +5.9% -- the 2024 pullback from Biden's high reveals vulnerability. Racial entropy = 0.775. With 299K votes, it provides a strong voter pool in central PA. Campaign focus: geographic diversification. The only top-10 county outside the eastern corridor. Can anchor a central PA media buy reaching adjacent Cumberland (#20) and Lebanon.</w:t>
      </w:r>
    </w:p>
    <w:p>
      <w:r>
        <w:rPr>
          <w:b/>
        </w:rPr>
        <w:t xml:space="preserve">#10 Wilson County, NC (DPS = 0.639) -- </w:t>
      </w:r>
      <w:r>
        <w:t>The most analytically interesting -- and most debatable -- pick. Only 40K votes, but near-perfect competitiveness (+0.4%) and the highest persuadability in the top 10 (0.940, "Poor &amp; Diverse" cluster). Trajectory: +5.6%, +2.9%, +0.4% -- a Steady Red Drift of 5.2 points over 8 years. If the trend continues, Wilson flips Republican by 2028. Campaign focus: CANARY IN THE COAL MINE. Wilson represents dozens of small, racially diverse, economically struggling Southern counties slipping away from Democrats. The pattern it exemplifies could cost tens of thousands of votes across NC. Strategic value is diagnostic, not volume-based.</w:t>
      </w:r>
    </w:p>
    <w:p>
      <w:r>
        <w:br w:type="page"/>
      </w:r>
    </w:p>
    <w:p>
      <w:pPr>
        <w:pStyle w:val="Heading1"/>
      </w:pPr>
      <w:r>
        <w:rPr>
          <w:color w:val="000000"/>
        </w:rPr>
        <w:t>5. State-Level Strategic Assessment</w:t>
      </w:r>
    </w:p>
    <w:p>
      <w:pPr>
        <w:pStyle w:val="Heading2"/>
      </w:pPr>
      <w:r>
        <w:rPr>
          <w:color w:val="000000"/>
        </w:rPr>
        <w:t>Pennsylvania: The Decisive Battleground (19 EV)</w:t>
      </w:r>
    </w:p>
    <w:p>
      <w:r>
        <w:t>PA dominates the national top 10 with 5 counties, reflecting genuine strategic reality: the most electoral votes (19), the strongest regression model (R-squared = 0.674), and an unusual concentration of large, competitive, volatile counties in the eastern suburban corridor. The top 5 PA counties represent 2,007,208 total votes across a 150-mile corridor from Philadelphia (Bucks) through the Lehigh Valley (Lehigh, Northampton) to the Poconos (Monroe) and inland to Harrisburg (Dauphin). This corridor can be served by 3-4 field offices and a single TV media buy.</w:t>
      </w:r>
    </w:p>
    <w:p>
      <w:r>
        <w:rPr>
          <w:b/>
        </w:rPr>
        <w:t xml:space="preserve">Near-miss -- Lackawanna (#12): </w:t>
      </w:r>
      <w:r>
        <w:t>Scranton. 233K votes, +2.8%, Highly Volatile. Its lower diversity (entropy = 0.485, below the 0.552 threshold) reduces its persuadability score, but the decline from +8.4% (2020) to +2.8% (2024) is alarming. A campaign with 6 PA targets should add Lackawanna.</w:t>
      </w:r>
    </w:p>
    <w:p>
      <w:r>
        <w:rPr>
          <w:b/>
        </w:rPr>
        <w:t xml:space="preserve">Near-miss -- Erie (#23): </w:t>
      </w:r>
      <w:r>
        <w:t>The famous bellwether (Obama, Obama, Trump, Biden, Trump). At 275K votes and -1.0%, it seems like it should rank higher, but the RF model assigns only 33% volatility probability -- demographics suggest stable working-class patterns despite historical swings.</w:t>
      </w:r>
    </w:p>
    <w:p>
      <w:pPr>
        <w:pStyle w:val="Heading2"/>
      </w:pPr>
      <w:r>
        <w:rPr>
          <w:color w:val="000000"/>
        </w:rPr>
        <w:t>Michigan: Volume Targets vs. Bellwethers (15 EV)</w:t>
      </w:r>
    </w:p>
    <w:p>
      <w:r>
        <w:t>MI's top 5 splits into large suburban centers (Kent 372K, Oakland 772K, Macomb 509K) and smaller competitive markets (Genesee 223K, Grand Traverse 63K). Kent (#1 MI) is the premier persuasion target. Oakland (#2) is defensive. Genesee (#3, Flint) shows troubling erosion (+9.5% to +4.2% over 8 years). Grand Traverse (#4, Traverse City) is genuinely competitive at -1.7%. Macomb (#5, -13.7%) is controversial but at 509K votes is too large to ignore.</w:t>
      </w:r>
    </w:p>
    <w:p>
      <w:r>
        <w:rPr>
          <w:b/>
        </w:rPr>
        <w:t xml:space="preserve">Not recommended -- Leelanau (now #33): </w:t>
      </w:r>
      <w:r>
        <w:t>At 17,685 votes, even a 10-point swing yields only ~880 net votes. Interesting as a misfit case study (highest misfit score: 0.956) but not a resource target.</w:t>
      </w:r>
    </w:p>
    <w:p>
      <w:pPr>
        <w:pStyle w:val="Heading2"/>
      </w:pPr>
      <w:r>
        <w:rPr>
          <w:color w:val="000000"/>
        </w:rPr>
        <w:t>North Carolina: The Most Complex Landscape (16 EV)</w:t>
      </w:r>
    </w:p>
    <w:p>
      <w:r>
        <w:t>NC presents the most challenging targeting decisions. Unlike PA's concentrated corridor and MI's clear suburban targets, NC's priorities are geographically scattered. The state-specific regression model has the weakest performance (R-squared = 0.435) because NC's poverty-driven volatility mechanism is harder to predict.</w:t>
      </w:r>
    </w:p>
    <w:p>
      <w:r>
        <w:rPr>
          <w:b/>
        </w:rPr>
        <w:t xml:space="preserve">Strong picks -- Cabarrus (#1) and New Hanover (#2): </w:t>
      </w:r>
      <w:r>
        <w:t>The two clearest NC targets. Cabarrus shows consistent Democratic momentum (-19.6% to -7.7%). New Hanover is essentially tied at +0.6%. Together: 259K votes in genuinely competitive markets.</w:t>
      </w:r>
    </w:p>
    <w:p>
      <w:r>
        <w:rPr>
          <w:b/>
        </w:rPr>
        <w:t xml:space="preserve">Borderline -- Wilson (#3): </w:t>
      </w:r>
      <w:r>
        <w:t>Small (40K) but near-zero margin (+0.4%) and maximum persuadability (0.940). Value is diagnostic: if a message works in Wilson, it works across similar diverse rural Southern counties.</w:t>
      </w:r>
    </w:p>
    <w:p>
      <w:r>
        <w:rPr>
          <w:b/>
        </w:rPr>
        <w:t xml:space="preserve">Caution -- Wake (#4, +25.4%, 654K): </w:t>
      </w:r>
      <w:r>
        <w:t>NOT a persuasion target. Presence is driven by enormous electoral weight and high persuadability score. In practice, Wake is a TURNOUT target: even 1% improvement = ~6,500 votes. Alternative persuasion picks: Pitt County (87K, +6.0%, ECU university town) or Nash County (52K, -1.8%, essentially tied).</w:t>
      </w:r>
    </w:p>
    <w:p>
      <w:r>
        <w:rPr>
          <w:b/>
        </w:rPr>
        <w:t xml:space="preserve">Weakest pick -- Lenoir (#5, -6.8%, 28K, Stable): </w:t>
      </w:r>
      <w:r>
        <w:t>Most questionable entry in any state's top 5. Classified as Stable, only 28K votes, drifting Republican. High ranking driven entirely by persuadability score (0.918) from demographics that predict volatility which hasn't materialized. Better alternatives: Nash (52K, -1.8%) or Pitt (87K, +6.0%).</w:t>
      </w:r>
    </w:p>
    <w:p>
      <w:r>
        <w:br w:type="page"/>
      </w:r>
    </w:p>
    <w:p>
      <w:pPr>
        <w:pStyle w:val="Heading1"/>
      </w:pPr>
      <w:r>
        <w:rPr>
          <w:color w:val="000000"/>
        </w:rPr>
        <w:t>6. Visualizations</w:t>
      </w:r>
    </w:p>
    <w:p>
      <w:pPr>
        <w:pStyle w:val="Heading2"/>
      </w:pPr>
      <w:r>
        <w:rPr>
          <w:color w:val="000000"/>
        </w:rPr>
        <w:t>6.1 Three-State Choropleth: All Counties</w:t>
      </w:r>
    </w:p>
    <w:p>
      <w:r>
        <w:t>Every county shaded by DPS (0 = low priority, darker = higher). Clear geographic clusters: eastern PA, southern MI, and the urban/suburban crescent of NC.</w:t>
      </w:r>
    </w:p>
    <w:p>
      <w:pPr>
        <w:jc w:val="center"/>
      </w:pPr>
      <w:r>
        <w:drawing>
          <wp:inline xmlns:a="http://schemas.openxmlformats.org/drawingml/2006/main" xmlns:pic="http://schemas.openxmlformats.org/drawingml/2006/picture">
            <wp:extent cx="5669280" cy="1883400"/>
            <wp:docPr id="1" name="Picture 1"/>
            <wp:cNvGraphicFramePr>
              <a:graphicFrameLocks noChangeAspect="1"/>
            </wp:cNvGraphicFramePr>
            <a:graphic>
              <a:graphicData uri="http://schemas.openxmlformats.org/drawingml/2006/picture">
                <pic:pic>
                  <pic:nvPicPr>
                    <pic:cNvPr id="0" name="enhanced_priority_3state_choropleth.png"/>
                    <pic:cNvPicPr/>
                  </pic:nvPicPr>
                  <pic:blipFill>
                    <a:blip r:embed="rId9"/>
                    <a:stretch>
                      <a:fillRect/>
                    </a:stretch>
                  </pic:blipFill>
                  <pic:spPr>
                    <a:xfrm>
                      <a:off x="0" y="0"/>
                      <a:ext cx="5669280" cy="1883400"/>
                    </a:xfrm>
                    <a:prstGeom prst="rect"/>
                  </pic:spPr>
                </pic:pic>
              </a:graphicData>
            </a:graphic>
          </wp:inline>
        </w:drawing>
      </w:r>
    </w:p>
    <w:p>
      <w:pPr>
        <w:pStyle w:val="Heading2"/>
      </w:pPr>
      <w:r>
        <w:rPr>
          <w:color w:val="000000"/>
        </w:rPr>
        <w:t>6.2 Top 10 Priority Counties Highlighted</w:t>
      </w:r>
    </w:p>
    <w:p>
      <w:r>
        <w:t>Top 10 counties colored with relative shading; all others in gray. PA dominates with 5 of 10, concentrated in the eastern suburban corridor.</w:t>
      </w:r>
    </w:p>
    <w:p>
      <w:pPr>
        <w:jc w:val="center"/>
      </w:pPr>
      <w:r>
        <w:drawing>
          <wp:inline xmlns:a="http://schemas.openxmlformats.org/drawingml/2006/main" xmlns:pic="http://schemas.openxmlformats.org/drawingml/2006/picture">
            <wp:extent cx="5669280" cy="1883400"/>
            <wp:docPr id="2" name="Picture 2"/>
            <wp:cNvGraphicFramePr>
              <a:graphicFrameLocks noChangeAspect="1"/>
            </wp:cNvGraphicFramePr>
            <a:graphic>
              <a:graphicData uri="http://schemas.openxmlformats.org/drawingml/2006/picture">
                <pic:pic>
                  <pic:nvPicPr>
                    <pic:cNvPr id="0" name="enhanced_priority_top10_highlight.png"/>
                    <pic:cNvPicPr/>
                  </pic:nvPicPr>
                  <pic:blipFill>
                    <a:blip r:embed="rId10"/>
                    <a:stretch>
                      <a:fillRect/>
                    </a:stretch>
                  </pic:blipFill>
                  <pic:spPr>
                    <a:xfrm>
                      <a:off x="0" y="0"/>
                      <a:ext cx="5669280" cy="1883400"/>
                    </a:xfrm>
                    <a:prstGeom prst="rect"/>
                  </pic:spPr>
                </pic:pic>
              </a:graphicData>
            </a:graphic>
          </wp:inline>
        </w:drawing>
      </w:r>
    </w:p>
    <w:p>
      <w:r>
        <w:br w:type="page"/>
      </w:r>
    </w:p>
    <w:p>
      <w:pPr>
        <w:pStyle w:val="Heading2"/>
      </w:pPr>
      <w:r>
        <w:rPr>
          <w:color w:val="000000"/>
        </w:rPr>
        <w:t>6.3 State Maps: Top 5 Counties</w:t>
      </w:r>
    </w:p>
    <w:p>
      <w:pPr>
        <w:pStyle w:val="IntenseQuote"/>
      </w:pPr>
      <w:r>
        <w:t>Pennsylvania: Top 5 Priority Counties</w:t>
      </w:r>
    </w:p>
    <w:p>
      <w:pPr>
        <w:jc w:val="center"/>
      </w:pPr>
      <w:r>
        <w:drawing>
          <wp:inline xmlns:a="http://schemas.openxmlformats.org/drawingml/2006/main" xmlns:pic="http://schemas.openxmlformats.org/drawingml/2006/picture">
            <wp:extent cx="5029200" cy="2877151"/>
            <wp:docPr id="3" name="Picture 3"/>
            <wp:cNvGraphicFramePr>
              <a:graphicFrameLocks noChangeAspect="1"/>
            </wp:cNvGraphicFramePr>
            <a:graphic>
              <a:graphicData uri="http://schemas.openxmlformats.org/drawingml/2006/picture">
                <pic:pic>
                  <pic:nvPicPr>
                    <pic:cNvPr id="0" name="enhanced_priority_PA_top5.png"/>
                    <pic:cNvPicPr/>
                  </pic:nvPicPr>
                  <pic:blipFill>
                    <a:blip r:embed="rId11"/>
                    <a:stretch>
                      <a:fillRect/>
                    </a:stretch>
                  </pic:blipFill>
                  <pic:spPr>
                    <a:xfrm>
                      <a:off x="0" y="0"/>
                      <a:ext cx="5029200" cy="2877151"/>
                    </a:xfrm>
                    <a:prstGeom prst="rect"/>
                  </pic:spPr>
                </pic:pic>
              </a:graphicData>
            </a:graphic>
          </wp:inline>
        </w:drawing>
      </w:r>
    </w:p>
    <w:p>
      <w:pPr>
        <w:pStyle w:val="IntenseQuote"/>
      </w:pPr>
      <w:r>
        <w:t>Michigan: Top 5 Priority Counties</w:t>
      </w:r>
    </w:p>
    <w:p>
      <w:pPr>
        <w:jc w:val="center"/>
      </w:pPr>
      <w:r>
        <w:drawing>
          <wp:inline xmlns:a="http://schemas.openxmlformats.org/drawingml/2006/main" xmlns:pic="http://schemas.openxmlformats.org/drawingml/2006/picture">
            <wp:extent cx="5029200" cy="5171564"/>
            <wp:docPr id="4" name="Picture 4"/>
            <wp:cNvGraphicFramePr>
              <a:graphicFrameLocks noChangeAspect="1"/>
            </wp:cNvGraphicFramePr>
            <a:graphic>
              <a:graphicData uri="http://schemas.openxmlformats.org/drawingml/2006/picture">
                <pic:pic>
                  <pic:nvPicPr>
                    <pic:cNvPr id="0" name="enhanced_priority_MI_top5.png"/>
                    <pic:cNvPicPr/>
                  </pic:nvPicPr>
                  <pic:blipFill>
                    <a:blip r:embed="rId12"/>
                    <a:stretch>
                      <a:fillRect/>
                    </a:stretch>
                  </pic:blipFill>
                  <pic:spPr>
                    <a:xfrm>
                      <a:off x="0" y="0"/>
                      <a:ext cx="5029200" cy="5171564"/>
                    </a:xfrm>
                    <a:prstGeom prst="rect"/>
                  </pic:spPr>
                </pic:pic>
              </a:graphicData>
            </a:graphic>
          </wp:inline>
        </w:drawing>
      </w:r>
    </w:p>
    <w:p>
      <w:r>
        <w:br w:type="page"/>
      </w:r>
    </w:p>
    <w:p>
      <w:pPr>
        <w:pStyle w:val="IntenseQuote"/>
      </w:pPr>
      <w:r>
        <w:t>North Carolina: Top 5 Priority Counties</w:t>
      </w:r>
    </w:p>
    <w:p>
      <w:pPr>
        <w:jc w:val="center"/>
      </w:pPr>
      <w:r>
        <w:drawing>
          <wp:inline xmlns:a="http://schemas.openxmlformats.org/drawingml/2006/main" xmlns:pic="http://schemas.openxmlformats.org/drawingml/2006/picture">
            <wp:extent cx="5029200" cy="2481833"/>
            <wp:docPr id="5" name="Picture 5"/>
            <wp:cNvGraphicFramePr>
              <a:graphicFrameLocks noChangeAspect="1"/>
            </wp:cNvGraphicFramePr>
            <a:graphic>
              <a:graphicData uri="http://schemas.openxmlformats.org/drawingml/2006/picture">
                <pic:pic>
                  <pic:nvPicPr>
                    <pic:cNvPr id="0" name="enhanced_priority_NC_top5.png"/>
                    <pic:cNvPicPr/>
                  </pic:nvPicPr>
                  <pic:blipFill>
                    <a:blip r:embed="rId13"/>
                    <a:stretch>
                      <a:fillRect/>
                    </a:stretch>
                  </pic:blipFill>
                  <pic:spPr>
                    <a:xfrm>
                      <a:off x="0" y="0"/>
                      <a:ext cx="5029200" cy="2481833"/>
                    </a:xfrm>
                    <a:prstGeom prst="rect"/>
                  </pic:spPr>
                </pic:pic>
              </a:graphicData>
            </a:graphic>
          </wp:inline>
        </w:drawing>
      </w:r>
    </w:p>
    <w:p>
      <w:pPr>
        <w:pStyle w:val="Heading1"/>
      </w:pPr>
      <w:r>
        <w:rPr>
          <w:color w:val="000000"/>
        </w:rPr>
        <w:t>7. Validation &amp; Limitations</w:t>
      </w:r>
    </w:p>
    <w:p>
      <w:r>
        <w:t>Validation checks:</w:t>
      </w:r>
    </w:p>
    <w:p>
      <w:pPr>
        <w:pStyle w:val="ListBullet"/>
      </w:pPr>
      <w:r>
        <w:t>Top 10 volatility classes: {'Highly Volatile': 5, 'Volatile': 4, 'Moderate': 1}. No Stable or Very Stable county in the top 10.</w:t>
      </w:r>
    </w:p>
    <w:p>
      <w:pPr>
        <w:pStyle w:val="ListBullet"/>
      </w:pPr>
      <w:r>
        <w:t>Score distribution: mean = 0.341, median = 0.295, skewness = 0.510. Right-skewed as expected: most counties are low-priority with a tail of high-value targets.</w:t>
      </w:r>
    </w:p>
    <w:p>
      <w:pPr>
        <w:pStyle w:val="ListBullet"/>
      </w:pPr>
      <w:r>
        <w:t>Bucks County PA is #1 -- consistent with conventional campaign wisdom about this critical Philadelphia suburb.</w:t>
      </w:r>
    </w:p>
    <w:p>
      <w:pPr>
        <w:pStyle w:val="ListBullet"/>
      </w:pPr>
      <w:r>
        <w:t>Top 10 collectively covers 3.45M votes with avg |margin| of 3.6pp -- an efficient allocation of campaign resources to competitive, high-volume counties.</w:t>
      </w:r>
    </w:p>
    <w:p>
      <w:pPr>
        <w:pStyle w:val="ListBullet"/>
      </w:pPr>
      <w:r>
        <w:t>9 of 10 top counties have &gt;50K votes. The score correctly prioritizes counties where resource investment can move meaningful vote totals.</w:t>
      </w:r>
    </w:p>
    <w:p>
      <w:r>
        <w:br/>
        <w:t>Limitations:</w:t>
      </w:r>
    </w:p>
    <w:p>
      <w:pPr>
        <w:pStyle w:val="ListBullet"/>
      </w:pPr>
      <w:r>
        <w:t>RF model trained on 250 counties (small sample). External validation on other swing states would strengthen confidence.</w:t>
      </w:r>
    </w:p>
    <w:p>
      <w:pPr>
        <w:pStyle w:val="ListBullet"/>
      </w:pPr>
      <w:r>
        <w:t>ACS demographic data lags real-time population changes by 1-2 years. Fast-growing counties (Cabarrus NC) may have shifted.</w:t>
      </w:r>
    </w:p>
    <w:p>
      <w:pPr>
        <w:pStyle w:val="ListBullet"/>
      </w:pPr>
      <w:r>
        <w:t>The score does not distinguish between turnout targets (base mobilization) and persuasion targets (swing voters). Voter file-level data would enable this.</w:t>
      </w:r>
    </w:p>
    <w:p>
      <w:pPr>
        <w:pStyle w:val="ListBullet"/>
      </w:pPr>
      <w:r>
        <w:t>Cross-state models fail (LOSO F1 = 0.195). The DPS handles this through implicit RF encoding rather than explicit state adjustments.</w:t>
      </w:r>
    </w:p>
    <w:p>
      <w:pPr>
        <w:pStyle w:val="ListBullet"/>
      </w:pPr>
      <w:r>
        <w:t>The score should be recalibrated each election cycle as new data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