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52"/>
        </w:rPr>
        <w:t>Milestone 3: Classification of Electoral Volatility</w:t>
      </w:r>
    </w:p>
    <w:p>
      <w:pPr>
        <w:jc w:val="center"/>
      </w:pPr>
      <w:r>
        <w:rPr>
          <w:color w:val="555555"/>
          <w:sz w:val="28"/>
        </w:rPr>
        <w:t>Predicting County-Level Electoral Instability</w:t>
        <w:br/>
        <w:t>from Demographic Census Data</w:t>
      </w:r>
    </w:p>
    <w:p/>
    <w:p>
      <w:pPr>
        <w:jc w:val="center"/>
      </w:pPr>
      <w:r>
        <w:rPr>
          <w:b/>
          <w:sz w:val="26"/>
        </w:rPr>
        <w:t>Antoni Czolgowski</w:t>
        <w:br/>
      </w:r>
      <w:r>
        <w:rPr>
          <w:sz w:val="24"/>
        </w:rPr>
        <w:t>CSCI 5502 Data Mining — Spring 2026</w:t>
        <w:br/>
        <w:t>University of Colorado Boulder</w:t>
        <w:br/>
        <w:t>March 2026</w:t>
      </w:r>
    </w:p>
    <w:p>
      <w:r>
        <w:br w:type="page"/>
      </w:r>
    </w:p>
    <w:p>
      <w:pPr>
        <w:pStyle w:val="Heading1"/>
      </w:pPr>
      <w:r>
        <w:t>Table of Contents</w:t>
      </w:r>
    </w:p>
    <w:p>
      <w:pPr>
        <w:spacing w:after="40"/>
      </w:pPr>
      <w:r>
        <w:t>1. Research Questions &amp; Motivation</w:t>
      </w:r>
    </w:p>
    <w:p>
      <w:pPr>
        <w:spacing w:after="40"/>
      </w:pPr>
      <w:r>
        <w:t>2. Dataset &amp; Feature Engineering</w:t>
      </w:r>
    </w:p>
    <w:p>
      <w:pPr>
        <w:spacing w:after="40"/>
      </w:pPr>
      <w:r>
        <w:t>3. Data Formatting for Models</w:t>
      </w:r>
    </w:p>
    <w:p>
      <w:pPr>
        <w:spacing w:after="40"/>
      </w:pPr>
      <w:r>
        <w:t>4. Classification Models (Random Forest, XGBoost, SVM)</w:t>
      </w:r>
    </w:p>
    <w:p>
      <w:pPr>
        <w:spacing w:after="40"/>
      </w:pPr>
      <w:r>
        <w:t>5. Model D — Demographic Misfit Detector (Logistic Regression)</w:t>
      </w:r>
    </w:p>
    <w:p>
      <w:pPr>
        <w:spacing w:after="40"/>
      </w:pPr>
      <w:r>
        <w:t>6. Binary Classification — High vs Low Volatility</w:t>
      </w:r>
    </w:p>
    <w:p>
      <w:pPr>
        <w:spacing w:after="40"/>
      </w:pPr>
      <w:r>
        <w:t>7. Model Comparison &amp; Cross-State Generalization</w:t>
      </w:r>
    </w:p>
    <w:p>
      <w:pPr>
        <w:spacing w:after="40"/>
      </w:pPr>
      <w:r>
        <w:t>8. Hypothesis Testing</w:t>
      </w:r>
    </w:p>
    <w:p>
      <w:pPr>
        <w:spacing w:after="40"/>
      </w:pPr>
      <w:r>
        <w:t>9. Advanced Analysis — Deep-Dives</w:t>
      </w:r>
    </w:p>
    <w:p>
      <w:pPr>
        <w:spacing w:after="40"/>
      </w:pPr>
      <w:r>
        <w:t>10. Key Findings &amp; Grand Synthesis</w:t>
      </w:r>
    </w:p>
    <w:p>
      <w:pPr>
        <w:spacing w:after="40"/>
      </w:pPr>
      <w:r>
        <w:t>11. Appendix</w:t>
      </w:r>
    </w:p>
    <w:p>
      <w:r>
        <w:br w:type="page"/>
      </w:r>
    </w:p>
    <w:p>
      <w:pPr>
        <w:pStyle w:val="Heading1"/>
      </w:pPr>
      <w:r>
        <w:t>1. Research Questions &amp; Motivation</w:t>
      </w:r>
    </w:p>
    <w:p>
      <w:r>
        <w:rPr>
          <w:b/>
          <w:sz w:val="24"/>
        </w:rPr>
        <w:t>Can we predict which U.S. counties will be electorally volatile — likely to swing between parties — using only demographic data, without knowing how they voted in the past?</w:t>
      </w:r>
    </w:p>
    <w:p>
      <w:r>
        <w:t>Electoral volatility determines where campaign resources have the highest return on investment. We study 250 counties across three battleground states — Pennsylvania (67), Michigan (83), and North Carolina (100) — using American Community Survey census data merged with election results from 2016, 2020, and 2024.</w:t>
      </w:r>
    </w:p>
    <w:p>
      <w:pPr>
        <w:pStyle w:val="Heading2"/>
      </w:pPr>
      <w:r>
        <w:t>Hypotheses</w:t>
      </w:r>
    </w:p>
    <w:p>
      <w:r>
        <w:rPr>
          <w:b/>
        </w:rPr>
        <w:t xml:space="preserve">H1 — Wealth-Volatility Inverse: </w:t>
      </w:r>
      <w:r>
        <w:t>Wealthier counties are more electorally stable. Counties in the bottom income quartile will show higher partisan swing variance than those in the top quartile.</w:t>
      </w:r>
    </w:p>
    <w:p>
      <w:r>
        <w:rPr>
          <w:b/>
        </w:rPr>
        <w:t xml:space="preserve">H2 — Diversity Index &gt; Individual Race: </w:t>
      </w:r>
      <w:r>
        <w:t>A composite racial diversity index (Shannon entropy over 4 racial categories) will outperform any single-race percentage as a volatility predictor. It's racial mixing — not any single group — that predicts instability.</w:t>
      </w:r>
    </w:p>
    <w:p>
      <w:pPr>
        <w:pStyle w:val="Heading2"/>
      </w:pPr>
      <w:r>
        <w:t>Why Classification?</w:t>
      </w:r>
    </w:p>
    <w:p>
      <w:r>
        <w:t>Campaign strategists need to know: "Will this county swing significantly?" This is a categorization task. We implement classifiers from different families (ensemble trees, gradient boosting, kernel methods, linear models) to compare approaches.</w:t>
      </w:r>
    </w:p>
    <w:p>
      <w:r>
        <w:br w:type="page"/>
      </w:r>
    </w:p>
    <w:p>
      <w:pPr>
        <w:pStyle w:val="Heading1"/>
      </w:pPr>
      <w:r>
        <w:t>2. Dataset &amp; Feature Engineering</w:t>
      </w:r>
    </w:p>
    <w:p>
      <w:pPr>
        <w:pStyle w:val="Heading2"/>
      </w:pPr>
      <w:r>
        <w:t>2.1 Source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File</w:t>
            </w:r>
          </w:p>
        </w:tc>
        <w:tc>
          <w:tcPr>
            <w:tcW w:type="dxa" w:w="2880"/>
          </w:tcPr>
          <w:p>
            <w:pPr>
              <w:jc w:val="center"/>
            </w:pPr>
            <w:r>
              <w:rPr>
                <w:b/>
                <w:sz w:val="18"/>
              </w:rPr>
              <w:t>Rows</w:t>
            </w:r>
          </w:p>
        </w:tc>
        <w:tc>
          <w:tcPr>
            <w:tcW w:type="dxa" w:w="2880"/>
          </w:tcPr>
          <w:p>
            <w:pPr>
              <w:jc w:val="center"/>
            </w:pPr>
            <w:r>
              <w:rPr>
                <w:b/>
                <w:sz w:val="18"/>
              </w:rPr>
              <w:t>Description</w:t>
            </w:r>
          </w:p>
        </w:tc>
      </w:tr>
      <w:tr>
        <w:tc>
          <w:tcPr>
            <w:tcW w:type="dxa" w:w="2880"/>
          </w:tcPr>
          <w:p>
            <w:pPr>
              <w:jc w:val="center"/>
            </w:pPr>
            <w:r>
              <w:rPr>
                <w:sz w:val="18"/>
              </w:rPr>
              <w:t>master_dataset.csv</w:t>
            </w:r>
          </w:p>
        </w:tc>
        <w:tc>
          <w:tcPr>
            <w:tcW w:type="dxa" w:w="2880"/>
          </w:tcPr>
          <w:p>
            <w:pPr>
              <w:jc w:val="center"/>
            </w:pPr>
            <w:r>
              <w:rPr>
                <w:sz w:val="18"/>
              </w:rPr>
              <w:t>750 (250×3 years)</w:t>
            </w:r>
          </w:p>
        </w:tc>
        <w:tc>
          <w:tcPr>
            <w:tcW w:type="dxa" w:w="2880"/>
          </w:tcPr>
          <w:p>
            <w:pPr>
              <w:jc w:val="center"/>
            </w:pPr>
            <w:r>
              <w:rPr>
                <w:sz w:val="18"/>
              </w:rPr>
              <w:t>39 demographic + election columns</w:t>
            </w:r>
          </w:p>
        </w:tc>
      </w:tr>
      <w:tr>
        <w:tc>
          <w:tcPr>
            <w:tcW w:type="dxa" w:w="2880"/>
          </w:tcPr>
          <w:p>
            <w:pPr>
              <w:jc w:val="center"/>
            </w:pPr>
            <w:r>
              <w:rPr>
                <w:sz w:val="18"/>
              </w:rPr>
              <w:t>master_dataset_scaled.csv</w:t>
            </w:r>
          </w:p>
        </w:tc>
        <w:tc>
          <w:tcPr>
            <w:tcW w:type="dxa" w:w="2880"/>
          </w:tcPr>
          <w:p>
            <w:pPr>
              <w:jc w:val="center"/>
            </w:pPr>
            <w:r>
              <w:rPr>
                <w:sz w:val="18"/>
              </w:rPr>
              <w:t>750</w:t>
            </w:r>
          </w:p>
        </w:tc>
        <w:tc>
          <w:tcPr>
            <w:tcW w:type="dxa" w:w="2880"/>
          </w:tcPr>
          <w:p>
            <w:pPr>
              <w:jc w:val="center"/>
            </w:pPr>
            <w:r>
              <w:rPr>
                <w:sz w:val="18"/>
              </w:rPr>
              <w:t>Contains race_entropy_norm (diversity index 0–1)</w:t>
            </w:r>
          </w:p>
        </w:tc>
      </w:tr>
      <w:tr>
        <w:tc>
          <w:tcPr>
            <w:tcW w:type="dxa" w:w="2880"/>
          </w:tcPr>
          <w:p>
            <w:pPr>
              <w:jc w:val="center"/>
            </w:pPr>
            <w:r>
              <w:rPr>
                <w:sz w:val="18"/>
              </w:rPr>
              <w:t>county_volatility_dimTable.csv</w:t>
            </w:r>
          </w:p>
        </w:tc>
        <w:tc>
          <w:tcPr>
            <w:tcW w:type="dxa" w:w="2880"/>
          </w:tcPr>
          <w:p>
            <w:pPr>
              <w:jc w:val="center"/>
            </w:pPr>
            <w:r>
              <w:rPr>
                <w:sz w:val="18"/>
              </w:rPr>
              <w:t>250</w:t>
            </w:r>
          </w:p>
        </w:tc>
        <w:tc>
          <w:tcPr>
            <w:tcW w:type="dxa" w:w="2880"/>
          </w:tcPr>
          <w:p>
            <w:pPr>
              <w:jc w:val="center"/>
            </w:pPr>
            <w:r>
              <w:rPr>
                <w:sz w:val="18"/>
              </w:rPr>
              <w:t>Volatility target from margin changes</w:t>
            </w:r>
          </w:p>
        </w:tc>
      </w:tr>
    </w:tbl>
    <w:p/>
    <w:p>
      <w:pPr>
        <w:pStyle w:val="Heading2"/>
      </w:pPr>
      <w:r>
        <w:t>2.2 Target Variable</w:t>
      </w:r>
    </w:p>
    <w:p>
      <w:r>
        <w:t>Our target vol_z_abs_sum measures total swing across two election cycles: the sum of absolute z-scored margin changes from 2016→2020 and 2020→2024. Binned into 5-class quintiles (50 each) and binary: High (Q4+Q5, n=100) vs Low (Q1–Q3, n=150).</w:t>
      </w:r>
    </w:p>
    <w:p>
      <w:pPr>
        <w:pStyle w:val="Heading2"/>
      </w:pPr>
      <w:r>
        <w:t>2.3 Feature Inventory (28 Demographic Features)</w:t>
      </w:r>
    </w:p>
    <w:p>
      <w:r>
        <w:t>All election variables excluded to prevent leakage. Six thematic groups: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Group</w:t>
            </w:r>
          </w:p>
        </w:tc>
        <w:tc>
          <w:tcPr>
            <w:tcW w:type="dxa" w:w="2880"/>
          </w:tcPr>
          <w:p>
            <w:pPr>
              <w:jc w:val="center"/>
            </w:pPr>
            <w:r>
              <w:rPr>
                <w:b/>
                <w:sz w:val="18"/>
              </w:rPr>
              <w:t>Features</w:t>
            </w:r>
          </w:p>
        </w:tc>
        <w:tc>
          <w:tcPr>
            <w:tcW w:type="dxa" w:w="2880"/>
          </w:tcPr>
          <w:p>
            <w:pPr>
              <w:jc w:val="center"/>
            </w:pPr>
            <w:r>
              <w:rPr>
                <w:b/>
                <w:sz w:val="18"/>
              </w:rPr>
              <w:t>n</w:t>
            </w:r>
          </w:p>
        </w:tc>
      </w:tr>
      <w:tr>
        <w:tc>
          <w:tcPr>
            <w:tcW w:type="dxa" w:w="2880"/>
          </w:tcPr>
          <w:p>
            <w:pPr>
              <w:jc w:val="center"/>
            </w:pPr>
            <w:r>
              <w:rPr>
                <w:sz w:val="18"/>
              </w:rPr>
              <w:t>Race / Ethnicity</w:t>
            </w:r>
          </w:p>
        </w:tc>
        <w:tc>
          <w:tcPr>
            <w:tcW w:type="dxa" w:w="2880"/>
          </w:tcPr>
          <w:p>
            <w:pPr>
              <w:jc w:val="center"/>
            </w:pPr>
            <w:r>
              <w:rPr>
                <w:sz w:val="18"/>
              </w:rPr>
              <w:t>pct_black, pct_asian, pct_two_or_more_races, pct_hispanic,</w:t>
              <w:br/>
              <w:t>pct_non_hispanic_white, race_entropy_norm</w:t>
            </w:r>
          </w:p>
        </w:tc>
        <w:tc>
          <w:tcPr>
            <w:tcW w:type="dxa" w:w="2880"/>
          </w:tcPr>
          <w:p>
            <w:pPr>
              <w:jc w:val="center"/>
            </w:pPr>
            <w:r>
              <w:rPr>
                <w:sz w:val="18"/>
              </w:rPr>
              <w:t>6</w:t>
            </w:r>
          </w:p>
        </w:tc>
      </w:tr>
      <w:tr>
        <w:tc>
          <w:tcPr>
            <w:tcW w:type="dxa" w:w="2880"/>
          </w:tcPr>
          <w:p>
            <w:pPr>
              <w:jc w:val="center"/>
            </w:pPr>
            <w:r>
              <w:rPr>
                <w:sz w:val="18"/>
              </w:rPr>
              <w:t>Urbanization</w:t>
            </w:r>
          </w:p>
        </w:tc>
        <w:tc>
          <w:tcPr>
            <w:tcW w:type="dxa" w:w="2880"/>
          </w:tcPr>
          <w:p>
            <w:pPr>
              <w:jc w:val="center"/>
            </w:pPr>
            <w:r>
              <w:rPr>
                <w:sz w:val="18"/>
              </w:rPr>
              <w:t>log_total_population, log_population_density,</w:t>
              <w:br/>
              <w:t>pct_drive_alone, pct_carpool, pct_public_transit, pct_work_from_home</w:t>
            </w:r>
          </w:p>
        </w:tc>
        <w:tc>
          <w:tcPr>
            <w:tcW w:type="dxa" w:w="2880"/>
          </w:tcPr>
          <w:p>
            <w:pPr>
              <w:jc w:val="center"/>
            </w:pPr>
            <w:r>
              <w:rPr>
                <w:sz w:val="18"/>
              </w:rPr>
              <w:t>6</w:t>
            </w:r>
          </w:p>
        </w:tc>
      </w:tr>
      <w:tr>
        <w:tc>
          <w:tcPr>
            <w:tcW w:type="dxa" w:w="2880"/>
          </w:tcPr>
          <w:p>
            <w:pPr>
              <w:jc w:val="center"/>
            </w:pPr>
            <w:r>
              <w:rPr>
                <w:sz w:val="18"/>
              </w:rPr>
              <w:t>Education</w:t>
            </w:r>
          </w:p>
        </w:tc>
        <w:tc>
          <w:tcPr>
            <w:tcW w:type="dxa" w:w="2880"/>
          </w:tcPr>
          <w:p>
            <w:pPr>
              <w:jc w:val="center"/>
            </w:pPr>
            <w:r>
              <w:rPr>
                <w:sz w:val="18"/>
              </w:rPr>
              <w:t>pct_hs_or_higher, pct_bachelors_plus</w:t>
            </w:r>
          </w:p>
        </w:tc>
        <w:tc>
          <w:tcPr>
            <w:tcW w:type="dxa" w:w="2880"/>
          </w:tcPr>
          <w:p>
            <w:pPr>
              <w:jc w:val="center"/>
            </w:pPr>
            <w:r>
              <w:rPr>
                <w:sz w:val="18"/>
              </w:rPr>
              <w:t>2</w:t>
            </w:r>
          </w:p>
        </w:tc>
      </w:tr>
      <w:tr>
        <w:tc>
          <w:tcPr>
            <w:tcW w:type="dxa" w:w="2880"/>
          </w:tcPr>
          <w:p>
            <w:pPr>
              <w:jc w:val="center"/>
            </w:pPr>
            <w:r>
              <w:rPr>
                <w:sz w:val="18"/>
              </w:rPr>
              <w:t>Housing</w:t>
            </w:r>
          </w:p>
        </w:tc>
        <w:tc>
          <w:tcPr>
            <w:tcW w:type="dxa" w:w="2880"/>
          </w:tcPr>
          <w:p>
            <w:pPr>
              <w:jc w:val="center"/>
            </w:pPr>
            <w:r>
              <w:rPr>
                <w:sz w:val="18"/>
              </w:rPr>
              <w:t>log_median_gross_rent, log_median_home_value, pct_owner_occupied</w:t>
            </w:r>
          </w:p>
        </w:tc>
        <w:tc>
          <w:tcPr>
            <w:tcW w:type="dxa" w:w="2880"/>
          </w:tcPr>
          <w:p>
            <w:pPr>
              <w:jc w:val="center"/>
            </w:pPr>
            <w:r>
              <w:rPr>
                <w:sz w:val="18"/>
              </w:rPr>
              <w:t>3</w:t>
            </w:r>
          </w:p>
        </w:tc>
      </w:tr>
      <w:tr>
        <w:tc>
          <w:tcPr>
            <w:tcW w:type="dxa" w:w="2880"/>
          </w:tcPr>
          <w:p>
            <w:pPr>
              <w:jc w:val="center"/>
            </w:pPr>
            <w:r>
              <w:rPr>
                <w:sz w:val="18"/>
              </w:rPr>
              <w:t>Economic</w:t>
            </w:r>
          </w:p>
        </w:tc>
        <w:tc>
          <w:tcPr>
            <w:tcW w:type="dxa" w:w="2880"/>
          </w:tcPr>
          <w:p>
            <w:pPr>
              <w:jc w:val="center"/>
            </w:pPr>
            <w:r>
              <w:rPr>
                <w:sz w:val="18"/>
              </w:rPr>
              <w:t>log_median_household_income, pct_below_poverty,</w:t>
              <w:br/>
              <w:t>pct_income_under_25k, pct_income_50k_100k, unemployment_rate</w:t>
            </w:r>
          </w:p>
        </w:tc>
        <w:tc>
          <w:tcPr>
            <w:tcW w:type="dxa" w:w="2880"/>
          </w:tcPr>
          <w:p>
            <w:pPr>
              <w:jc w:val="center"/>
            </w:pPr>
            <w:r>
              <w:rPr>
                <w:sz w:val="18"/>
              </w:rPr>
              <w:t>5</w:t>
            </w:r>
          </w:p>
        </w:tc>
      </w:tr>
      <w:tr>
        <w:tc>
          <w:tcPr>
            <w:tcW w:type="dxa" w:w="2880"/>
          </w:tcPr>
          <w:p>
            <w:pPr>
              <w:jc w:val="center"/>
            </w:pPr>
            <w:r>
              <w:rPr>
                <w:sz w:val="18"/>
              </w:rPr>
              <w:t>Household / Age</w:t>
            </w:r>
          </w:p>
        </w:tc>
        <w:tc>
          <w:tcPr>
            <w:tcW w:type="dxa" w:w="2880"/>
          </w:tcPr>
          <w:p>
            <w:pPr>
              <w:jc w:val="center"/>
            </w:pPr>
            <w:r>
              <w:rPr>
                <w:sz w:val="18"/>
              </w:rPr>
              <w:t>median_age, pct_senior_65plus, pct_young_adult_18_24,</w:t>
              <w:br/>
              <w:t>pct_foreign_born, pct_family_households, pct_married_couple, pct_living_alone</w:t>
            </w:r>
          </w:p>
        </w:tc>
        <w:tc>
          <w:tcPr>
            <w:tcW w:type="dxa" w:w="2880"/>
          </w:tcPr>
          <w:p>
            <w:pPr>
              <w:jc w:val="center"/>
            </w:pPr>
            <w:r>
              <w:rPr>
                <w:sz w:val="18"/>
              </w:rPr>
              <w:t>7</w:t>
            </w:r>
          </w:p>
        </w:tc>
      </w:tr>
    </w:tbl>
    <w:p/>
    <w:p>
      <w:pPr>
        <w:pStyle w:val="Heading2"/>
      </w:pPr>
      <w:r>
        <w:t>2.4 The Diversity Index (race_entropy_norm)</w:t>
      </w:r>
    </w:p>
    <w:p>
      <w:r>
        <w:t>Shannon entropy from 4 racial categories. Score 0 = entirely one race; 1 = perfect split across 4 groups; ~0.55 = no group exceeds ~60%. Measures mixing, not the share of any particular group. As we will show, this is the single most important predictor of volatility.</w:t>
      </w:r>
    </w:p>
    <w:p>
      <w:r>
        <w:br w:type="page"/>
      </w:r>
    </w:p>
    <w:p>
      <w:pPr>
        <w:pStyle w:val="Heading1"/>
      </w:pPr>
      <w:r>
        <w:t>3. Data Formatting for Models</w:t>
      </w:r>
    </w:p>
    <w:p>
      <w:pPr>
        <w:pStyle w:val="Heading2"/>
      </w:pPr>
      <w:r>
        <w:t>3.1 Log-Transformation</w:t>
      </w:r>
    </w:p>
    <w:p>
      <w:r>
        <w:t>Five heavy-tailed variables received np.log1p() to compress extreme outliers: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Variable</w:t>
            </w:r>
          </w:p>
        </w:tc>
        <w:tc>
          <w:tcPr>
            <w:tcW w:type="dxa" w:w="2880"/>
          </w:tcPr>
          <w:p>
            <w:pPr>
              <w:jc w:val="center"/>
            </w:pPr>
            <w:r>
              <w:rPr>
                <w:b/>
                <w:sz w:val="18"/>
              </w:rPr>
              <w:t>Skewness Before</w:t>
            </w:r>
          </w:p>
        </w:tc>
        <w:tc>
          <w:tcPr>
            <w:tcW w:type="dxa" w:w="2880"/>
          </w:tcPr>
          <w:p>
            <w:pPr>
              <w:jc w:val="center"/>
            </w:pPr>
            <w:r>
              <w:rPr>
                <w:b/>
                <w:sz w:val="18"/>
              </w:rPr>
              <w:t>After</w:t>
            </w:r>
          </w:p>
        </w:tc>
      </w:tr>
      <w:tr>
        <w:tc>
          <w:tcPr>
            <w:tcW w:type="dxa" w:w="2880"/>
          </w:tcPr>
          <w:p>
            <w:pPr>
              <w:jc w:val="center"/>
            </w:pPr>
            <w:r>
              <w:rPr>
                <w:sz w:val="18"/>
              </w:rPr>
              <w:t>total_population</w:t>
            </w:r>
          </w:p>
        </w:tc>
        <w:tc>
          <w:tcPr>
            <w:tcW w:type="dxa" w:w="2880"/>
          </w:tcPr>
          <w:p>
            <w:pPr>
              <w:jc w:val="center"/>
            </w:pPr>
            <w:r>
              <w:rPr>
                <w:sz w:val="18"/>
              </w:rPr>
              <w:t>5.82</w:t>
            </w:r>
          </w:p>
        </w:tc>
        <w:tc>
          <w:tcPr>
            <w:tcW w:type="dxa" w:w="2880"/>
          </w:tcPr>
          <w:p>
            <w:pPr>
              <w:jc w:val="center"/>
            </w:pPr>
            <w:r>
              <w:rPr>
                <w:sz w:val="18"/>
              </w:rPr>
              <w:t>0.89</w:t>
            </w:r>
          </w:p>
        </w:tc>
      </w:tr>
      <w:tr>
        <w:tc>
          <w:tcPr>
            <w:tcW w:type="dxa" w:w="2880"/>
          </w:tcPr>
          <w:p>
            <w:pPr>
              <w:jc w:val="center"/>
            </w:pPr>
            <w:r>
              <w:rPr>
                <w:sz w:val="18"/>
              </w:rPr>
              <w:t>population_density</w:t>
            </w:r>
          </w:p>
        </w:tc>
        <w:tc>
          <w:tcPr>
            <w:tcW w:type="dxa" w:w="2880"/>
          </w:tcPr>
          <w:p>
            <w:pPr>
              <w:jc w:val="center"/>
            </w:pPr>
            <w:r>
              <w:rPr>
                <w:sz w:val="18"/>
              </w:rPr>
              <w:t>4.61</w:t>
            </w:r>
          </w:p>
        </w:tc>
        <w:tc>
          <w:tcPr>
            <w:tcW w:type="dxa" w:w="2880"/>
          </w:tcPr>
          <w:p>
            <w:pPr>
              <w:jc w:val="center"/>
            </w:pPr>
            <w:r>
              <w:rPr>
                <w:sz w:val="18"/>
              </w:rPr>
              <w:t>0.34</w:t>
            </w:r>
          </w:p>
        </w:tc>
      </w:tr>
      <w:tr>
        <w:tc>
          <w:tcPr>
            <w:tcW w:type="dxa" w:w="2880"/>
          </w:tcPr>
          <w:p>
            <w:pPr>
              <w:jc w:val="center"/>
            </w:pPr>
            <w:r>
              <w:rPr>
                <w:sz w:val="18"/>
              </w:rPr>
              <w:t>median_household_income</w:t>
            </w:r>
          </w:p>
        </w:tc>
        <w:tc>
          <w:tcPr>
            <w:tcW w:type="dxa" w:w="2880"/>
          </w:tcPr>
          <w:p>
            <w:pPr>
              <w:jc w:val="center"/>
            </w:pPr>
            <w:r>
              <w:rPr>
                <w:sz w:val="18"/>
              </w:rPr>
              <w:t>1.03</w:t>
            </w:r>
          </w:p>
        </w:tc>
        <w:tc>
          <w:tcPr>
            <w:tcW w:type="dxa" w:w="2880"/>
          </w:tcPr>
          <w:p>
            <w:pPr>
              <w:jc w:val="center"/>
            </w:pPr>
            <w:r>
              <w:rPr>
                <w:sz w:val="18"/>
              </w:rPr>
              <w:t>0.72</w:t>
            </w:r>
          </w:p>
        </w:tc>
      </w:tr>
      <w:tr>
        <w:tc>
          <w:tcPr>
            <w:tcW w:type="dxa" w:w="2880"/>
          </w:tcPr>
          <w:p>
            <w:pPr>
              <w:jc w:val="center"/>
            </w:pPr>
            <w:r>
              <w:rPr>
                <w:sz w:val="18"/>
              </w:rPr>
              <w:t>median_home_value</w:t>
            </w:r>
          </w:p>
        </w:tc>
        <w:tc>
          <w:tcPr>
            <w:tcW w:type="dxa" w:w="2880"/>
          </w:tcPr>
          <w:p>
            <w:pPr>
              <w:jc w:val="center"/>
            </w:pPr>
            <w:r>
              <w:rPr>
                <w:sz w:val="18"/>
              </w:rPr>
              <w:t>1.67</w:t>
            </w:r>
          </w:p>
        </w:tc>
        <w:tc>
          <w:tcPr>
            <w:tcW w:type="dxa" w:w="2880"/>
          </w:tcPr>
          <w:p>
            <w:pPr>
              <w:jc w:val="center"/>
            </w:pPr>
            <w:r>
              <w:rPr>
                <w:sz w:val="18"/>
              </w:rPr>
              <w:t>0.81</w:t>
            </w:r>
          </w:p>
        </w:tc>
      </w:tr>
      <w:tr>
        <w:tc>
          <w:tcPr>
            <w:tcW w:type="dxa" w:w="2880"/>
          </w:tcPr>
          <w:p>
            <w:pPr>
              <w:jc w:val="center"/>
            </w:pPr>
            <w:r>
              <w:rPr>
                <w:sz w:val="18"/>
              </w:rPr>
              <w:t>median_gross_rent</w:t>
            </w:r>
          </w:p>
        </w:tc>
        <w:tc>
          <w:tcPr>
            <w:tcW w:type="dxa" w:w="2880"/>
          </w:tcPr>
          <w:p>
            <w:pPr>
              <w:jc w:val="center"/>
            </w:pPr>
            <w:r>
              <w:rPr>
                <w:sz w:val="18"/>
              </w:rPr>
              <w:t>0.98</w:t>
            </w:r>
          </w:p>
        </w:tc>
        <w:tc>
          <w:tcPr>
            <w:tcW w:type="dxa" w:w="2880"/>
          </w:tcPr>
          <w:p>
            <w:pPr>
              <w:jc w:val="center"/>
            </w:pPr>
            <w:r>
              <w:rPr>
                <w:sz w:val="18"/>
              </w:rPr>
              <w:t>0.54</w:t>
            </w:r>
          </w:p>
        </w:tc>
      </w:tr>
    </w:tbl>
    <w:p/>
    <w:p>
      <w:pPr>
        <w:pStyle w:val="Heading2"/>
      </w:pPr>
      <w:r>
        <w:t>3.2 Multicollinearity &amp; Scaling</w:t>
      </w:r>
    </w:p>
    <w:p>
      <w:r>
        <w:t>Dropped pct_income_over_100k (r=0.97 with income). All 28 features standardized to zero mean, unit variance via StandardScaler — required for SVM and Logistic Regression, applied to all models for consistency.</w:t>
      </w:r>
    </w:p>
    <w:p>
      <w:pPr>
        <w:pStyle w:val="Heading2"/>
      </w:pPr>
      <w:r>
        <w:t>3.3 Before-and-After Snapshots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Stage</w:t>
            </w:r>
          </w:p>
        </w:tc>
        <w:tc>
          <w:tcPr>
            <w:tcW w:type="dxa" w:w="2880"/>
          </w:tcPr>
          <w:p>
            <w:pPr>
              <w:jc w:val="center"/>
            </w:pPr>
            <w:r>
              <w:rPr>
                <w:b/>
                <w:sz w:val="18"/>
              </w:rPr>
              <w:t>total_population</w:t>
            </w:r>
          </w:p>
        </w:tc>
        <w:tc>
          <w:tcPr>
            <w:tcW w:type="dxa" w:w="2880"/>
          </w:tcPr>
          <w:p>
            <w:pPr>
              <w:jc w:val="center"/>
            </w:pPr>
            <w:r>
              <w:rPr>
                <w:b/>
                <w:sz w:val="18"/>
              </w:rPr>
              <w:t>pct_below_poverty</w:t>
            </w:r>
          </w:p>
        </w:tc>
      </w:tr>
      <w:tr>
        <w:tc>
          <w:tcPr>
            <w:tcW w:type="dxa" w:w="2880"/>
          </w:tcPr>
          <w:p>
            <w:pPr>
              <w:jc w:val="center"/>
            </w:pPr>
            <w:r>
              <w:rPr>
                <w:sz w:val="18"/>
              </w:rPr>
              <w:t>Raw</w:t>
            </w:r>
          </w:p>
        </w:tc>
        <w:tc>
          <w:tcPr>
            <w:tcW w:type="dxa" w:w="2880"/>
          </w:tcPr>
          <w:p>
            <w:pPr>
              <w:jc w:val="center"/>
            </w:pPr>
            <w:r>
              <w:rPr>
                <w:sz w:val="18"/>
              </w:rPr>
              <w:t>mean=126,437; range [2,144–1,603,797]</w:t>
            </w:r>
          </w:p>
        </w:tc>
        <w:tc>
          <w:tcPr>
            <w:tcW w:type="dxa" w:w="2880"/>
          </w:tcPr>
          <w:p>
            <w:pPr>
              <w:jc w:val="center"/>
            </w:pPr>
            <w:r>
              <w:rPr>
                <w:sz w:val="18"/>
              </w:rPr>
              <w:t>mean=14.8%; range [4.1%–35.2%]</w:t>
            </w:r>
          </w:p>
        </w:tc>
      </w:tr>
      <w:tr>
        <w:tc>
          <w:tcPr>
            <w:tcW w:type="dxa" w:w="2880"/>
          </w:tcPr>
          <w:p>
            <w:pPr>
              <w:jc w:val="center"/>
            </w:pPr>
            <w:r>
              <w:rPr>
                <w:sz w:val="18"/>
              </w:rPr>
              <w:t>After log</w:t>
            </w:r>
          </w:p>
        </w:tc>
        <w:tc>
          <w:tcPr>
            <w:tcW w:type="dxa" w:w="2880"/>
          </w:tcPr>
          <w:p>
            <w:pPr>
              <w:jc w:val="center"/>
            </w:pPr>
            <w:r>
              <w:rPr>
                <w:sz w:val="18"/>
              </w:rPr>
              <w:t>mean=10.8; range [7.7–14.3]</w:t>
            </w:r>
          </w:p>
        </w:tc>
        <w:tc>
          <w:tcPr>
            <w:tcW w:type="dxa" w:w="2880"/>
          </w:tcPr>
          <w:p>
            <w:pPr>
              <w:jc w:val="center"/>
            </w:pPr>
            <w:r>
              <w:rPr>
                <w:sz w:val="18"/>
              </w:rPr>
              <w:t>(unchanged)</w:t>
            </w:r>
          </w:p>
        </w:tc>
      </w:tr>
      <w:tr>
        <w:tc>
          <w:tcPr>
            <w:tcW w:type="dxa" w:w="2880"/>
          </w:tcPr>
          <w:p>
            <w:pPr>
              <w:jc w:val="center"/>
            </w:pPr>
            <w:r>
              <w:rPr>
                <w:sz w:val="18"/>
              </w:rPr>
              <w:t>After scale</w:t>
            </w:r>
          </w:p>
        </w:tc>
        <w:tc>
          <w:tcPr>
            <w:tcW w:type="dxa" w:w="2880"/>
          </w:tcPr>
          <w:p>
            <w:pPr>
              <w:jc w:val="center"/>
            </w:pPr>
            <w:r>
              <w:rPr>
                <w:sz w:val="18"/>
              </w:rPr>
              <w:t>mean=0.0; range [−2.6–2.9]</w:t>
            </w:r>
          </w:p>
        </w:tc>
        <w:tc>
          <w:tcPr>
            <w:tcW w:type="dxa" w:w="2880"/>
          </w:tcPr>
          <w:p>
            <w:pPr>
              <w:jc w:val="center"/>
            </w:pPr>
            <w:r>
              <w:rPr>
                <w:sz w:val="18"/>
              </w:rPr>
              <w:t>mean=0.0; range [−1.8–3.3]</w:t>
            </w:r>
          </w:p>
        </w:tc>
      </w:tr>
    </w:tbl>
    <w:p/>
    <w:p>
      <w:pPr>
        <w:pStyle w:val="Heading2"/>
      </w:pPr>
      <w:r>
        <w:t>3.4 Model-Specific Requirements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Model</w:t>
            </w:r>
          </w:p>
        </w:tc>
        <w:tc>
          <w:tcPr>
            <w:tcW w:type="dxa" w:w="2160"/>
          </w:tcPr>
          <w:p>
            <w:pPr>
              <w:jc w:val="center"/>
            </w:pPr>
            <w:r>
              <w:rPr>
                <w:b/>
                <w:sz w:val="18"/>
              </w:rPr>
              <w:t>Needs Numerical?</w:t>
            </w:r>
          </w:p>
        </w:tc>
        <w:tc>
          <w:tcPr>
            <w:tcW w:type="dxa" w:w="2160"/>
          </w:tcPr>
          <w:p>
            <w:pPr>
              <w:jc w:val="center"/>
            </w:pPr>
            <w:r>
              <w:rPr>
                <w:b/>
                <w:sz w:val="18"/>
              </w:rPr>
              <w:t>Needs Scaling?</w:t>
            </w:r>
          </w:p>
        </w:tc>
        <w:tc>
          <w:tcPr>
            <w:tcW w:type="dxa" w:w="2160"/>
          </w:tcPr>
          <w:p>
            <w:pPr>
              <w:jc w:val="center"/>
            </w:pPr>
            <w:r>
              <w:rPr>
                <w:b/>
                <w:sz w:val="18"/>
              </w:rPr>
              <w:t>Our Approach</w:t>
            </w:r>
          </w:p>
        </w:tc>
      </w:tr>
      <w:tr>
        <w:tc>
          <w:tcPr>
            <w:tcW w:type="dxa" w:w="2160"/>
          </w:tcPr>
          <w:p>
            <w:pPr>
              <w:jc w:val="center"/>
            </w:pPr>
            <w:r>
              <w:rPr>
                <w:sz w:val="18"/>
              </w:rPr>
              <w:t>Random Forest</w:t>
            </w:r>
          </w:p>
        </w:tc>
        <w:tc>
          <w:tcPr>
            <w:tcW w:type="dxa" w:w="2160"/>
          </w:tcPr>
          <w:p>
            <w:pPr>
              <w:jc w:val="center"/>
            </w:pPr>
            <w:r>
              <w:rPr>
                <w:sz w:val="18"/>
              </w:rPr>
              <w:t>No</w:t>
            </w:r>
          </w:p>
        </w:tc>
        <w:tc>
          <w:tcPr>
            <w:tcW w:type="dxa" w:w="2160"/>
          </w:tcPr>
          <w:p>
            <w:pPr>
              <w:jc w:val="center"/>
            </w:pPr>
            <w:r>
              <w:rPr>
                <w:sz w:val="18"/>
              </w:rPr>
              <w:t>No</w:t>
            </w:r>
          </w:p>
        </w:tc>
        <w:tc>
          <w:tcPr>
            <w:tcW w:type="dxa" w:w="2160"/>
          </w:tcPr>
          <w:p>
            <w:pPr>
              <w:jc w:val="center"/>
            </w:pPr>
            <w:r>
              <w:rPr>
                <w:sz w:val="18"/>
              </w:rPr>
              <w:t>Scaling for consistency</w:t>
            </w:r>
          </w:p>
        </w:tc>
      </w:tr>
      <w:tr>
        <w:tc>
          <w:tcPr>
            <w:tcW w:type="dxa" w:w="2160"/>
          </w:tcPr>
          <w:p>
            <w:pPr>
              <w:jc w:val="center"/>
            </w:pPr>
            <w:r>
              <w:rPr>
                <w:sz w:val="18"/>
              </w:rPr>
              <w:t>XGBoost</w:t>
            </w:r>
          </w:p>
        </w:tc>
        <w:tc>
          <w:tcPr>
            <w:tcW w:type="dxa" w:w="2160"/>
          </w:tcPr>
          <w:p>
            <w:pPr>
              <w:jc w:val="center"/>
            </w:pPr>
            <w:r>
              <w:rPr>
                <w:sz w:val="18"/>
              </w:rPr>
              <w:t>No</w:t>
            </w:r>
          </w:p>
        </w:tc>
        <w:tc>
          <w:tcPr>
            <w:tcW w:type="dxa" w:w="2160"/>
          </w:tcPr>
          <w:p>
            <w:pPr>
              <w:jc w:val="center"/>
            </w:pPr>
            <w:r>
              <w:rPr>
                <w:sz w:val="18"/>
              </w:rPr>
              <w:t>No</w:t>
            </w:r>
          </w:p>
        </w:tc>
        <w:tc>
          <w:tcPr>
            <w:tcW w:type="dxa" w:w="2160"/>
          </w:tcPr>
          <w:p>
            <w:pPr>
              <w:jc w:val="center"/>
            </w:pPr>
            <w:r>
              <w:rPr>
                <w:sz w:val="18"/>
              </w:rPr>
              <w:t>Labels 0-indexed</w:t>
            </w:r>
          </w:p>
        </w:tc>
      </w:tr>
      <w:tr>
        <w:tc>
          <w:tcPr>
            <w:tcW w:type="dxa" w:w="2160"/>
          </w:tcPr>
          <w:p>
            <w:pPr>
              <w:jc w:val="center"/>
            </w:pPr>
            <w:r>
              <w:rPr>
                <w:sz w:val="18"/>
              </w:rPr>
              <w:t>SVM</w:t>
            </w:r>
          </w:p>
        </w:tc>
        <w:tc>
          <w:tcPr>
            <w:tcW w:type="dxa" w:w="2160"/>
          </w:tcPr>
          <w:p>
            <w:pPr>
              <w:jc w:val="center"/>
            </w:pPr>
            <w:r>
              <w:rPr>
                <w:sz w:val="18"/>
              </w:rPr>
              <w:t>Yes</w:t>
            </w:r>
          </w:p>
        </w:tc>
        <w:tc>
          <w:tcPr>
            <w:tcW w:type="dxa" w:w="2160"/>
          </w:tcPr>
          <w:p>
            <w:pPr>
              <w:jc w:val="center"/>
            </w:pPr>
            <w:r>
              <w:rPr>
                <w:sz w:val="18"/>
              </w:rPr>
              <w:t>Yes</w:t>
            </w:r>
          </w:p>
        </w:tc>
        <w:tc>
          <w:tcPr>
            <w:tcW w:type="dxa" w:w="2160"/>
          </w:tcPr>
          <w:p>
            <w:pPr>
              <w:jc w:val="center"/>
            </w:pPr>
            <w:r>
              <w:rPr>
                <w:sz w:val="18"/>
              </w:rPr>
              <w:t>StandardScaler required</w:t>
            </w:r>
          </w:p>
        </w:tc>
      </w:tr>
      <w:tr>
        <w:tc>
          <w:tcPr>
            <w:tcW w:type="dxa" w:w="2160"/>
          </w:tcPr>
          <w:p>
            <w:pPr>
              <w:jc w:val="center"/>
            </w:pPr>
            <w:r>
              <w:rPr>
                <w:sz w:val="18"/>
              </w:rPr>
              <w:t>Logistic Regression</w:t>
            </w:r>
          </w:p>
        </w:tc>
        <w:tc>
          <w:tcPr>
            <w:tcW w:type="dxa" w:w="2160"/>
          </w:tcPr>
          <w:p>
            <w:pPr>
              <w:jc w:val="center"/>
            </w:pPr>
            <w:r>
              <w:rPr>
                <w:sz w:val="18"/>
              </w:rPr>
              <w:t>Yes</w:t>
            </w:r>
          </w:p>
        </w:tc>
        <w:tc>
          <w:tcPr>
            <w:tcW w:type="dxa" w:w="2160"/>
          </w:tcPr>
          <w:p>
            <w:pPr>
              <w:jc w:val="center"/>
            </w:pPr>
            <w:r>
              <w:rPr>
                <w:sz w:val="18"/>
              </w:rPr>
              <w:t>Yes</w:t>
            </w:r>
          </w:p>
        </w:tc>
        <w:tc>
          <w:tcPr>
            <w:tcW w:type="dxa" w:w="2160"/>
          </w:tcPr>
          <w:p>
            <w:pPr>
              <w:jc w:val="center"/>
            </w:pPr>
            <w:r>
              <w:rPr>
                <w:sz w:val="18"/>
              </w:rPr>
              <w:t>StandardScaler + balanced weights</w:t>
            </w:r>
          </w:p>
        </w:tc>
      </w:tr>
    </w:tbl>
    <w:p/>
    <w:p>
      <w:pPr>
        <w:spacing w:before="120" w:after="120"/>
      </w:pPr>
      <w:r>
        <w:rPr>
          <w:b/>
          <w:color w:val="1A3C6E"/>
          <w:sz w:val="20"/>
        </w:rPr>
        <w:t xml:space="preserve">▶ Takeaway: </w:t>
      </w:r>
      <w:r>
        <w:rPr>
          <w:sz w:val="20"/>
        </w:rPr>
        <w:t>Data was log-transformed, de-duplicated, and scaled. Three snapshots (raw → log → scaled) document every transformation step.</w:t>
      </w:r>
    </w:p>
    <w:p>
      <w:r>
        <w:br w:type="page"/>
      </w:r>
    </w:p>
    <w:p>
      <w:pPr>
        <w:pStyle w:val="Heading1"/>
      </w:pPr>
      <w:r>
        <w:t>4. Classification Models</w:t>
      </w:r>
    </w:p>
    <w:p>
      <w:r>
        <w:t>We implemented three classification models from different algorithmic families. All use nested cross-validation: outer 5-fold for evaluation, inner 3-fold for hyperparameter tuning.</w:t>
      </w:r>
    </w:p>
    <w:p>
      <w:pPr>
        <w:pStyle w:val="Heading2"/>
      </w:pPr>
      <w:r>
        <w:t>4.1 Random Forest</w:t>
      </w:r>
    </w:p>
    <w:p>
      <w:r>
        <w:rPr>
          <w:b/>
          <w:color w:val="2A6E2A"/>
          <w:sz w:val="20"/>
        </w:rPr>
        <w:t xml:space="preserve">📖 What is Random Forest? </w:t>
      </w:r>
      <w:r>
        <w:rPr>
          <w:sz w:val="20"/>
        </w:rPr>
        <w:t>Imagine 300 analysts each seeing a random subset of data and features, each building a decision tree (flowchart of yes/no questions). The final prediction is the majority vote. This "wisdom of crowds" reduces the chance that any single quirk misleads the prediction.</w:t>
      </w:r>
    </w:p>
    <w:p>
      <w:r>
        <w:rPr>
          <w:b/>
        </w:rPr>
        <w:t xml:space="preserve">Why chosen: </w:t>
      </w:r>
      <w:r>
        <w:t>Non-parametric (no distribution assumptions), captures interactions naturally, provides feature importance rankings, robust to noise with small n=250.</w:t>
      </w:r>
    </w:p>
    <w:p>
      <w:r>
        <w:rPr>
          <w:b/>
        </w:rPr>
        <w:t xml:space="preserve">Assumptions: </w:t>
      </w:r>
      <w:r>
        <w:t>Some features carry information about volatility; no linearity assumption.</w:t>
      </w:r>
    </w:p>
    <w:p>
      <w:pPr>
        <w:pStyle w:val="Heading3"/>
      </w:pPr>
      <w:r>
        <w:t>Hyperparameters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Setting</w:t>
            </w:r>
          </w:p>
        </w:tc>
        <w:tc>
          <w:tcPr>
            <w:tcW w:type="dxa" w:w="2160"/>
          </w:tcPr>
          <w:p>
            <w:pPr>
              <w:jc w:val="center"/>
            </w:pPr>
            <w:r>
              <w:rPr>
                <w:b/>
                <w:sz w:val="18"/>
              </w:rPr>
              <w:t>Search Space</w:t>
            </w:r>
          </w:p>
        </w:tc>
        <w:tc>
          <w:tcPr>
            <w:tcW w:type="dxa" w:w="2160"/>
          </w:tcPr>
          <w:p>
            <w:pPr>
              <w:jc w:val="center"/>
            </w:pPr>
            <w:r>
              <w:rPr>
                <w:b/>
                <w:sz w:val="18"/>
              </w:rPr>
              <w:t>Best</w:t>
            </w:r>
          </w:p>
        </w:tc>
        <w:tc>
          <w:tcPr>
            <w:tcW w:type="dxa" w:w="2160"/>
          </w:tcPr>
          <w:p>
            <w:pPr>
              <w:jc w:val="center"/>
            </w:pPr>
            <w:r>
              <w:rPr>
                <w:b/>
                <w:sz w:val="18"/>
              </w:rPr>
              <w:t>Controls</w:t>
            </w:r>
          </w:p>
        </w:tc>
      </w:tr>
      <w:tr>
        <w:tc>
          <w:tcPr>
            <w:tcW w:type="dxa" w:w="2160"/>
          </w:tcPr>
          <w:p>
            <w:pPr>
              <w:jc w:val="center"/>
            </w:pPr>
            <w:r>
              <w:rPr>
                <w:sz w:val="18"/>
              </w:rPr>
              <w:t>n_estimators</w:t>
            </w:r>
          </w:p>
        </w:tc>
        <w:tc>
          <w:tcPr>
            <w:tcW w:type="dxa" w:w="2160"/>
          </w:tcPr>
          <w:p>
            <w:pPr>
              <w:jc w:val="center"/>
            </w:pPr>
            <w:r>
              <w:rPr>
                <w:sz w:val="18"/>
              </w:rPr>
              <w:t>100–500</w:t>
            </w:r>
          </w:p>
        </w:tc>
        <w:tc>
          <w:tcPr>
            <w:tcW w:type="dxa" w:w="2160"/>
          </w:tcPr>
          <w:p>
            <w:pPr>
              <w:jc w:val="center"/>
            </w:pPr>
            <w:r>
              <w:rPr>
                <w:sz w:val="18"/>
              </w:rPr>
              <w:t>300</w:t>
            </w:r>
          </w:p>
        </w:tc>
        <w:tc>
          <w:tcPr>
            <w:tcW w:type="dxa" w:w="2160"/>
          </w:tcPr>
          <w:p>
            <w:pPr>
              <w:jc w:val="center"/>
            </w:pPr>
            <w:r>
              <w:rPr>
                <w:sz w:val="18"/>
              </w:rPr>
              <w:t>Number of trees</w:t>
            </w:r>
          </w:p>
        </w:tc>
      </w:tr>
      <w:tr>
        <w:tc>
          <w:tcPr>
            <w:tcW w:type="dxa" w:w="2160"/>
          </w:tcPr>
          <w:p>
            <w:pPr>
              <w:jc w:val="center"/>
            </w:pPr>
            <w:r>
              <w:rPr>
                <w:sz w:val="18"/>
              </w:rPr>
              <w:t>max_depth</w:t>
            </w:r>
          </w:p>
        </w:tc>
        <w:tc>
          <w:tcPr>
            <w:tcW w:type="dxa" w:w="2160"/>
          </w:tcPr>
          <w:p>
            <w:pPr>
              <w:jc w:val="center"/>
            </w:pPr>
            <w:r>
              <w:rPr>
                <w:sz w:val="18"/>
              </w:rPr>
              <w:t>5–20, None</w:t>
            </w:r>
          </w:p>
        </w:tc>
        <w:tc>
          <w:tcPr>
            <w:tcW w:type="dxa" w:w="2160"/>
          </w:tcPr>
          <w:p>
            <w:pPr>
              <w:jc w:val="center"/>
            </w:pPr>
            <w:r>
              <w:rPr>
                <w:sz w:val="18"/>
              </w:rPr>
              <w:t>8</w:t>
            </w:r>
          </w:p>
        </w:tc>
        <w:tc>
          <w:tcPr>
            <w:tcW w:type="dxa" w:w="2160"/>
          </w:tcPr>
          <w:p>
            <w:pPr>
              <w:jc w:val="center"/>
            </w:pPr>
            <w:r>
              <w:rPr>
                <w:sz w:val="18"/>
              </w:rPr>
              <w:t>Tree complexity</w:t>
            </w:r>
          </w:p>
        </w:tc>
      </w:tr>
      <w:tr>
        <w:tc>
          <w:tcPr>
            <w:tcW w:type="dxa" w:w="2160"/>
          </w:tcPr>
          <w:p>
            <w:pPr>
              <w:jc w:val="center"/>
            </w:pPr>
            <w:r>
              <w:rPr>
                <w:sz w:val="18"/>
              </w:rPr>
              <w:t>min_samples_leaf</w:t>
            </w:r>
          </w:p>
        </w:tc>
        <w:tc>
          <w:tcPr>
            <w:tcW w:type="dxa" w:w="2160"/>
          </w:tcPr>
          <w:p>
            <w:pPr>
              <w:jc w:val="center"/>
            </w:pPr>
            <w:r>
              <w:rPr>
                <w:sz w:val="18"/>
              </w:rPr>
              <w:t>3, 5, 10</w:t>
            </w:r>
          </w:p>
        </w:tc>
        <w:tc>
          <w:tcPr>
            <w:tcW w:type="dxa" w:w="2160"/>
          </w:tcPr>
          <w:p>
            <w:pPr>
              <w:jc w:val="center"/>
            </w:pPr>
            <w:r>
              <w:rPr>
                <w:sz w:val="18"/>
              </w:rPr>
              <w:t>5</w:t>
            </w:r>
          </w:p>
        </w:tc>
        <w:tc>
          <w:tcPr>
            <w:tcW w:type="dxa" w:w="2160"/>
          </w:tcPr>
          <w:p>
            <w:pPr>
              <w:jc w:val="center"/>
            </w:pPr>
            <w:r>
              <w:rPr>
                <w:sz w:val="18"/>
              </w:rPr>
              <w:t>Prevents memorization</w:t>
            </w:r>
          </w:p>
        </w:tc>
      </w:tr>
      <w:tr>
        <w:tc>
          <w:tcPr>
            <w:tcW w:type="dxa" w:w="2160"/>
          </w:tcPr>
          <w:p>
            <w:pPr>
              <w:jc w:val="center"/>
            </w:pPr>
            <w:r>
              <w:rPr>
                <w:sz w:val="18"/>
              </w:rPr>
              <w:t>max_features</w:t>
            </w:r>
          </w:p>
        </w:tc>
        <w:tc>
          <w:tcPr>
            <w:tcW w:type="dxa" w:w="2160"/>
          </w:tcPr>
          <w:p>
            <w:pPr>
              <w:jc w:val="center"/>
            </w:pPr>
            <w:r>
              <w:rPr>
                <w:sz w:val="18"/>
              </w:rPr>
              <w:t>sqrt, log2, 0.3, 0.5</w:t>
            </w:r>
          </w:p>
        </w:tc>
        <w:tc>
          <w:tcPr>
            <w:tcW w:type="dxa" w:w="2160"/>
          </w:tcPr>
          <w:p>
            <w:pPr>
              <w:jc w:val="center"/>
            </w:pPr>
            <w:r>
              <w:rPr>
                <w:sz w:val="18"/>
              </w:rPr>
              <w:t>sqrt</w:t>
            </w:r>
          </w:p>
        </w:tc>
        <w:tc>
          <w:tcPr>
            <w:tcW w:type="dxa" w:w="2160"/>
          </w:tcPr>
          <w:p>
            <w:pPr>
              <w:jc w:val="center"/>
            </w:pPr>
            <w:r>
              <w:rPr>
                <w:sz w:val="18"/>
              </w:rPr>
              <w:t>Diversity among trees</w:t>
            </w:r>
          </w:p>
        </w:tc>
      </w:tr>
      <w:tr>
        <w:tc>
          <w:tcPr>
            <w:tcW w:type="dxa" w:w="2160"/>
          </w:tcPr>
          <w:p>
            <w:pPr>
              <w:jc w:val="center"/>
            </w:pPr>
            <w:r>
              <w:rPr>
                <w:sz w:val="18"/>
              </w:rPr>
              <w:t>class_weight</w:t>
            </w:r>
          </w:p>
        </w:tc>
        <w:tc>
          <w:tcPr>
            <w:tcW w:type="dxa" w:w="2160"/>
          </w:tcPr>
          <w:p>
            <w:pPr>
              <w:jc w:val="center"/>
            </w:pPr>
            <w:r>
              <w:rPr>
                <w:sz w:val="18"/>
              </w:rPr>
              <w:t>balanced, subsample, none</w:t>
            </w:r>
          </w:p>
        </w:tc>
        <w:tc>
          <w:tcPr>
            <w:tcW w:type="dxa" w:w="2160"/>
          </w:tcPr>
          <w:p>
            <w:pPr>
              <w:jc w:val="center"/>
            </w:pPr>
            <w:r>
              <w:rPr>
                <w:sz w:val="18"/>
              </w:rPr>
              <w:t>balanced</w:t>
            </w:r>
          </w:p>
        </w:tc>
        <w:tc>
          <w:tcPr>
            <w:tcW w:type="dxa" w:w="2160"/>
          </w:tcPr>
          <w:p>
            <w:pPr>
              <w:jc w:val="center"/>
            </w:pPr>
            <w:r>
              <w:rPr>
                <w:sz w:val="18"/>
              </w:rPr>
              <w:t>Handles class imbalance</w:t>
            </w:r>
          </w:p>
        </w:tc>
      </w:tr>
    </w:tbl>
    <w:p/>
    <w:p>
      <w:pPr>
        <w:pStyle w:val="Heading3"/>
      </w:pPr>
      <w:r>
        <w:t>Results (5-Class)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Metric</w:t>
            </w:r>
          </w:p>
        </w:tc>
        <w:tc>
          <w:tcPr>
            <w:tcW w:type="dxa" w:w="4320"/>
          </w:tcPr>
          <w:p>
            <w:pPr>
              <w:jc w:val="center"/>
            </w:pPr>
            <w:r>
              <w:rPr>
                <w:b/>
                <w:sz w:val="18"/>
              </w:rPr>
              <w:t>Value</w:t>
            </w:r>
          </w:p>
        </w:tc>
      </w:tr>
      <w:tr>
        <w:tc>
          <w:tcPr>
            <w:tcW w:type="dxa" w:w="4320"/>
          </w:tcPr>
          <w:p>
            <w:pPr>
              <w:jc w:val="center"/>
            </w:pPr>
            <w:r>
              <w:rPr>
                <w:sz w:val="18"/>
              </w:rPr>
              <w:t>Accuracy</w:t>
            </w:r>
          </w:p>
        </w:tc>
        <w:tc>
          <w:tcPr>
            <w:tcW w:type="dxa" w:w="4320"/>
          </w:tcPr>
          <w:p>
            <w:pPr>
              <w:jc w:val="center"/>
            </w:pPr>
            <w:r>
              <w:rPr>
                <w:sz w:val="18"/>
              </w:rPr>
              <w:t>0.368</w:t>
            </w:r>
          </w:p>
        </w:tc>
      </w:tr>
      <w:tr>
        <w:tc>
          <w:tcPr>
            <w:tcW w:type="dxa" w:w="4320"/>
          </w:tcPr>
          <w:p>
            <w:pPr>
              <w:jc w:val="center"/>
            </w:pPr>
            <w:r>
              <w:rPr>
                <w:sz w:val="18"/>
              </w:rPr>
              <w:t>Precision (macro)</w:t>
            </w:r>
          </w:p>
        </w:tc>
        <w:tc>
          <w:tcPr>
            <w:tcW w:type="dxa" w:w="4320"/>
          </w:tcPr>
          <w:p>
            <w:pPr>
              <w:jc w:val="center"/>
            </w:pPr>
            <w:r>
              <w:rPr>
                <w:sz w:val="18"/>
              </w:rPr>
              <w:t>0.369</w:t>
            </w:r>
          </w:p>
        </w:tc>
      </w:tr>
      <w:tr>
        <w:tc>
          <w:tcPr>
            <w:tcW w:type="dxa" w:w="4320"/>
          </w:tcPr>
          <w:p>
            <w:pPr>
              <w:jc w:val="center"/>
            </w:pPr>
            <w:r>
              <w:rPr>
                <w:sz w:val="18"/>
              </w:rPr>
              <w:t>Recall (macro)</w:t>
            </w:r>
          </w:p>
        </w:tc>
        <w:tc>
          <w:tcPr>
            <w:tcW w:type="dxa" w:w="4320"/>
          </w:tcPr>
          <w:p>
            <w:pPr>
              <w:jc w:val="center"/>
            </w:pPr>
            <w:r>
              <w:rPr>
                <w:sz w:val="18"/>
              </w:rPr>
              <w:t>0.368</w:t>
            </w:r>
          </w:p>
        </w:tc>
      </w:tr>
      <w:tr>
        <w:tc>
          <w:tcPr>
            <w:tcW w:type="dxa" w:w="4320"/>
          </w:tcPr>
          <w:p>
            <w:pPr>
              <w:jc w:val="center"/>
            </w:pPr>
            <w:r>
              <w:rPr>
                <w:sz w:val="18"/>
              </w:rPr>
              <w:t>F1-macro</w:t>
            </w:r>
          </w:p>
        </w:tc>
        <w:tc>
          <w:tcPr>
            <w:tcW w:type="dxa" w:w="4320"/>
          </w:tcPr>
          <w:p>
            <w:pPr>
              <w:jc w:val="center"/>
            </w:pPr>
            <w:r>
              <w:rPr>
                <w:sz w:val="18"/>
              </w:rPr>
              <w:t>0.362</w:t>
            </w:r>
          </w:p>
        </w:tc>
      </w:tr>
      <w:tr>
        <w:tc>
          <w:tcPr>
            <w:tcW w:type="dxa" w:w="4320"/>
          </w:tcPr>
          <w:p>
            <w:pPr>
              <w:jc w:val="center"/>
            </w:pPr>
            <w:r>
              <w:rPr>
                <w:sz w:val="18"/>
              </w:rPr>
              <w:t>ROC-AUC</w:t>
            </w:r>
          </w:p>
        </w:tc>
        <w:tc>
          <w:tcPr>
            <w:tcW w:type="dxa" w:w="4320"/>
          </w:tcPr>
          <w:p>
            <w:pPr>
              <w:jc w:val="center"/>
            </w:pPr>
            <w:r>
              <w:rPr>
                <w:sz w:val="18"/>
              </w:rPr>
              <w:t>0.803</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Very Stable</w:t>
            </w:r>
          </w:p>
        </w:tc>
        <w:tc>
          <w:tcPr>
            <w:tcW w:type="dxa" w:w="1728"/>
          </w:tcPr>
          <w:p>
            <w:pPr>
              <w:jc w:val="center"/>
            </w:pPr>
            <w:r>
              <w:rPr>
                <w:b/>
                <w:sz w:val="18"/>
              </w:rPr>
              <w:t>Stable</w:t>
            </w:r>
          </w:p>
        </w:tc>
        <w:tc>
          <w:tcPr>
            <w:tcW w:type="dxa" w:w="1728"/>
          </w:tcPr>
          <w:p>
            <w:pPr>
              <w:jc w:val="center"/>
            </w:pPr>
            <w:r>
              <w:rPr>
                <w:b/>
                <w:sz w:val="18"/>
              </w:rPr>
              <w:t>Moderate</w:t>
            </w:r>
          </w:p>
        </w:tc>
        <w:tc>
          <w:tcPr>
            <w:tcW w:type="dxa" w:w="1728"/>
          </w:tcPr>
          <w:p>
            <w:pPr>
              <w:jc w:val="center"/>
            </w:pPr>
            <w:r>
              <w:rPr>
                <w:b/>
                <w:sz w:val="18"/>
              </w:rPr>
              <w:t>Volatile</w:t>
            </w:r>
          </w:p>
        </w:tc>
        <w:tc>
          <w:tcPr>
            <w:tcW w:type="dxa" w:w="1728"/>
          </w:tcPr>
          <w:p>
            <w:pPr>
              <w:jc w:val="center"/>
            </w:pPr>
            <w:r>
              <w:rPr>
                <w:b/>
                <w:sz w:val="18"/>
              </w:rPr>
              <w:t>Highly Volatile</w:t>
            </w:r>
          </w:p>
        </w:tc>
      </w:tr>
      <w:tr>
        <w:tc>
          <w:tcPr>
            <w:tcW w:type="dxa" w:w="1728"/>
          </w:tcPr>
          <w:p>
            <w:pPr>
              <w:jc w:val="center"/>
            </w:pPr>
            <w:r>
              <w:rPr>
                <w:sz w:val="18"/>
              </w:rPr>
              <w:t>F1=0.46</w:t>
            </w:r>
          </w:p>
        </w:tc>
        <w:tc>
          <w:tcPr>
            <w:tcW w:type="dxa" w:w="1728"/>
          </w:tcPr>
          <w:p>
            <w:pPr>
              <w:jc w:val="center"/>
            </w:pPr>
            <w:r>
              <w:rPr>
                <w:sz w:val="18"/>
              </w:rPr>
              <w:t>F1=0.18</w:t>
            </w:r>
          </w:p>
        </w:tc>
        <w:tc>
          <w:tcPr>
            <w:tcW w:type="dxa" w:w="1728"/>
          </w:tcPr>
          <w:p>
            <w:pPr>
              <w:jc w:val="center"/>
            </w:pPr>
            <w:r>
              <w:rPr>
                <w:sz w:val="18"/>
              </w:rPr>
              <w:t>F1=0.28</w:t>
            </w:r>
          </w:p>
        </w:tc>
        <w:tc>
          <w:tcPr>
            <w:tcW w:type="dxa" w:w="1728"/>
          </w:tcPr>
          <w:p>
            <w:pPr>
              <w:jc w:val="center"/>
            </w:pPr>
            <w:r>
              <w:rPr>
                <w:sz w:val="18"/>
              </w:rPr>
              <w:t>F1=0.30</w:t>
            </w:r>
          </w:p>
        </w:tc>
        <w:tc>
          <w:tcPr>
            <w:tcW w:type="dxa" w:w="1728"/>
          </w:tcPr>
          <w:p>
            <w:pPr>
              <w:jc w:val="center"/>
            </w:pPr>
            <w:r>
              <w:rPr>
                <w:sz w:val="18"/>
              </w:rPr>
              <w:t>F1=0.59</w:t>
            </w:r>
          </w:p>
        </w:tc>
      </w:tr>
    </w:tbl>
    <w:p/>
    <w:p>
      <w:r>
        <w:t>37% accuracy may seem low, but random guessing = 20%. The model excels at extremes (Highly Volatile F1=0.59, Very Stable F1=0.46) — the most actionable classes.</w:t>
      </w:r>
    </w:p>
    <w:p>
      <w:pPr>
        <w:jc w:val="center"/>
      </w:pPr>
      <w:r>
        <w:drawing>
          <wp:inline xmlns:a="http://schemas.openxmlformats.org/drawingml/2006/main" xmlns:pic="http://schemas.openxmlformats.org/drawingml/2006/picture">
            <wp:extent cx="5303520" cy="4168397"/>
            <wp:docPr id="1" name="Picture 1"/>
            <wp:cNvGraphicFramePr>
              <a:graphicFrameLocks noChangeAspect="1"/>
            </wp:cNvGraphicFramePr>
            <a:graphic>
              <a:graphicData uri="http://schemas.openxmlformats.org/drawingml/2006/picture">
                <pic:pic>
                  <pic:nvPicPr>
                    <pic:cNvPr id="0" name="rf_confusion_matrix.png"/>
                    <pic:cNvPicPr/>
                  </pic:nvPicPr>
                  <pic:blipFill>
                    <a:blip r:embed="rId9"/>
                    <a:stretch>
                      <a:fillRect/>
                    </a:stretch>
                  </pic:blipFill>
                  <pic:spPr>
                    <a:xfrm>
                      <a:off x="0" y="0"/>
                      <a:ext cx="5303520" cy="4168397"/>
                    </a:xfrm>
                    <a:prstGeom prst="rect"/>
                  </pic:spPr>
                </pic:pic>
              </a:graphicData>
            </a:graphic>
          </wp:inline>
        </w:drawing>
      </w:r>
    </w:p>
    <w:p>
      <w:pPr>
        <w:jc w:val="center"/>
      </w:pPr>
      <w:r>
        <w:rPr>
          <w:i/>
          <w:color w:val="555555"/>
          <w:sz w:val="18"/>
        </w:rPr>
        <w:t>Figure 1: RF confusion matrix. Strong diagonal at Q1 and Q5; middle classes show diffuse misclassification.</w:t>
      </w:r>
    </w:p>
    <w:p>
      <w:pPr>
        <w:pStyle w:val="Heading3"/>
      </w:pPr>
      <w:r>
        <w:t>Feature Importance</w:t>
      </w:r>
    </w:p>
    <w:p>
      <w:r>
        <w:t>Permutation importance (model-agnostic, 30 repeats) ranks race_entropy_norm as #1. This is the most reliable importance measure — it tests how much accuracy drops when a feature is randomly shuffled.</w:t>
      </w:r>
    </w:p>
    <w:p>
      <w:pPr>
        <w:jc w:val="center"/>
      </w:pPr>
      <w:r>
        <w:drawing>
          <wp:inline xmlns:a="http://schemas.openxmlformats.org/drawingml/2006/main" xmlns:pic="http://schemas.openxmlformats.org/drawingml/2006/picture">
            <wp:extent cx="5303520" cy="4228530"/>
            <wp:docPr id="2" name="Picture 2"/>
            <wp:cNvGraphicFramePr>
              <a:graphicFrameLocks noChangeAspect="1"/>
            </wp:cNvGraphicFramePr>
            <a:graphic>
              <a:graphicData uri="http://schemas.openxmlformats.org/drawingml/2006/picture">
                <pic:pic>
                  <pic:nvPicPr>
                    <pic:cNvPr id="0" name="rf_permutation_importance.png"/>
                    <pic:cNvPicPr/>
                  </pic:nvPicPr>
                  <pic:blipFill>
                    <a:blip r:embed="rId10"/>
                    <a:stretch>
                      <a:fillRect/>
                    </a:stretch>
                  </pic:blipFill>
                  <pic:spPr>
                    <a:xfrm>
                      <a:off x="0" y="0"/>
                      <a:ext cx="5303520" cy="4228530"/>
                    </a:xfrm>
                    <a:prstGeom prst="rect"/>
                  </pic:spPr>
                </pic:pic>
              </a:graphicData>
            </a:graphic>
          </wp:inline>
        </w:drawing>
      </w:r>
    </w:p>
    <w:p>
      <w:pPr>
        <w:jc w:val="center"/>
      </w:pPr>
      <w:r>
        <w:rPr>
          <w:i/>
          <w:color w:val="555555"/>
          <w:sz w:val="18"/>
        </w:rPr>
        <w:t>Figure 2: Permutation importance — race_entropy_norm (diversity index) is the single most important feature.</w:t>
      </w:r>
    </w:p>
    <w:p>
      <w:r>
        <w:t>Challenge: Gini importance overweights continuous features. Solution: Used permutation importance as the authoritative ranking.</w:t>
      </w:r>
    </w:p>
    <w:p>
      <w:pPr>
        <w:pStyle w:val="Heading2"/>
      </w:pPr>
      <w:r>
        <w:t>4.2 XGBoost</w:t>
      </w:r>
    </w:p>
    <w:p>
      <w:r>
        <w:rPr>
          <w:b/>
          <w:color w:val="2A6E2A"/>
          <w:sz w:val="20"/>
        </w:rPr>
        <w:t xml:space="preserve">📖 What is XGBoost (Gradient Boosting)? </w:t>
      </w:r>
      <w:r>
        <w:rPr>
          <w:sz w:val="20"/>
        </w:rPr>
        <w:t>Unlike Random Forest which builds trees independently, XGBoost builds them one at a time — each new tree specifically fixes mistakes from the previous ones. Like a student studying specifically the questions they got wrong. Often produces more accurate predictions for hard cases.</w:t>
      </w:r>
    </w:p>
    <w:p>
      <w:r>
        <w:rPr>
          <w:b/>
        </w:rPr>
        <w:t xml:space="preserve">Why chosen: </w:t>
      </w:r>
      <w:r>
        <w:t>Sequential error correction for hard middle classes; built-in regularization; SHAP integration for per-county explanations; state-of-the-art on tabular data.</w:t>
      </w:r>
    </w:p>
    <w:p>
      <w:r>
        <w:rPr>
          <w:b/>
        </w:rPr>
        <w:t xml:space="preserve">Assumptions: </w:t>
      </w:r>
      <w:r>
        <w:t>Additive model (prediction = sum of weak learners); regularization prevents overfitting.</w:t>
      </w:r>
    </w:p>
    <w:p>
      <w:pPr>
        <w:pStyle w:val="Heading3"/>
      </w:pPr>
      <w:r>
        <w:t>Hyperparameters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Setting</w:t>
            </w:r>
          </w:p>
        </w:tc>
        <w:tc>
          <w:tcPr>
            <w:tcW w:type="dxa" w:w="2160"/>
          </w:tcPr>
          <w:p>
            <w:pPr>
              <w:jc w:val="center"/>
            </w:pPr>
            <w:r>
              <w:rPr>
                <w:b/>
                <w:sz w:val="18"/>
              </w:rPr>
              <w:t>Search Space</w:t>
            </w:r>
          </w:p>
        </w:tc>
        <w:tc>
          <w:tcPr>
            <w:tcW w:type="dxa" w:w="2160"/>
          </w:tcPr>
          <w:p>
            <w:pPr>
              <w:jc w:val="center"/>
            </w:pPr>
            <w:r>
              <w:rPr>
                <w:b/>
                <w:sz w:val="18"/>
              </w:rPr>
              <w:t>Best</w:t>
            </w:r>
          </w:p>
        </w:tc>
        <w:tc>
          <w:tcPr>
            <w:tcW w:type="dxa" w:w="2160"/>
          </w:tcPr>
          <w:p>
            <w:pPr>
              <w:jc w:val="center"/>
            </w:pPr>
            <w:r>
              <w:rPr>
                <w:b/>
                <w:sz w:val="18"/>
              </w:rPr>
              <w:t>Controls</w:t>
            </w:r>
          </w:p>
        </w:tc>
      </w:tr>
      <w:tr>
        <w:tc>
          <w:tcPr>
            <w:tcW w:type="dxa" w:w="2160"/>
          </w:tcPr>
          <w:p>
            <w:pPr>
              <w:jc w:val="center"/>
            </w:pPr>
            <w:r>
              <w:rPr>
                <w:sz w:val="18"/>
              </w:rPr>
              <w:t>n_estimators</w:t>
            </w:r>
          </w:p>
        </w:tc>
        <w:tc>
          <w:tcPr>
            <w:tcW w:type="dxa" w:w="2160"/>
          </w:tcPr>
          <w:p>
            <w:pPr>
              <w:jc w:val="center"/>
            </w:pPr>
            <w:r>
              <w:rPr>
                <w:sz w:val="18"/>
              </w:rPr>
              <w:t>100–500</w:t>
            </w:r>
          </w:p>
        </w:tc>
        <w:tc>
          <w:tcPr>
            <w:tcW w:type="dxa" w:w="2160"/>
          </w:tcPr>
          <w:p>
            <w:pPr>
              <w:jc w:val="center"/>
            </w:pPr>
            <w:r>
              <w:rPr>
                <w:sz w:val="18"/>
              </w:rPr>
              <w:t>300</w:t>
            </w:r>
          </w:p>
        </w:tc>
        <w:tc>
          <w:tcPr>
            <w:tcW w:type="dxa" w:w="2160"/>
          </w:tcPr>
          <w:p>
            <w:pPr>
              <w:jc w:val="center"/>
            </w:pPr>
            <w:r>
              <w:rPr>
                <w:sz w:val="18"/>
              </w:rPr>
              <w:t>Total learning capacity</w:t>
            </w:r>
          </w:p>
        </w:tc>
      </w:tr>
      <w:tr>
        <w:tc>
          <w:tcPr>
            <w:tcW w:type="dxa" w:w="2160"/>
          </w:tcPr>
          <w:p>
            <w:pPr>
              <w:jc w:val="center"/>
            </w:pPr>
            <w:r>
              <w:rPr>
                <w:sz w:val="18"/>
              </w:rPr>
              <w:t>max_depth</w:t>
            </w:r>
          </w:p>
        </w:tc>
        <w:tc>
          <w:tcPr>
            <w:tcW w:type="dxa" w:w="2160"/>
          </w:tcPr>
          <w:p>
            <w:pPr>
              <w:jc w:val="center"/>
            </w:pPr>
            <w:r>
              <w:rPr>
                <w:sz w:val="18"/>
              </w:rPr>
              <w:t>3–8</w:t>
            </w:r>
          </w:p>
        </w:tc>
        <w:tc>
          <w:tcPr>
            <w:tcW w:type="dxa" w:w="2160"/>
          </w:tcPr>
          <w:p>
            <w:pPr>
              <w:jc w:val="center"/>
            </w:pPr>
            <w:r>
              <w:rPr>
                <w:sz w:val="18"/>
              </w:rPr>
              <w:t>5</w:t>
            </w:r>
          </w:p>
        </w:tc>
        <w:tc>
          <w:tcPr>
            <w:tcW w:type="dxa" w:w="2160"/>
          </w:tcPr>
          <w:p>
            <w:pPr>
              <w:jc w:val="center"/>
            </w:pPr>
            <w:r>
              <w:rPr>
                <w:sz w:val="18"/>
              </w:rPr>
              <w:t>Complexity per tree</w:t>
            </w:r>
          </w:p>
        </w:tc>
      </w:tr>
      <w:tr>
        <w:tc>
          <w:tcPr>
            <w:tcW w:type="dxa" w:w="2160"/>
          </w:tcPr>
          <w:p>
            <w:pPr>
              <w:jc w:val="center"/>
            </w:pPr>
            <w:r>
              <w:rPr>
                <w:sz w:val="18"/>
              </w:rPr>
              <w:t>learning_rate</w:t>
            </w:r>
          </w:p>
        </w:tc>
        <w:tc>
          <w:tcPr>
            <w:tcW w:type="dxa" w:w="2160"/>
          </w:tcPr>
          <w:p>
            <w:pPr>
              <w:jc w:val="center"/>
            </w:pPr>
            <w:r>
              <w:rPr>
                <w:sz w:val="18"/>
              </w:rPr>
              <w:t>0.01–0.2</w:t>
            </w:r>
          </w:p>
        </w:tc>
        <w:tc>
          <w:tcPr>
            <w:tcW w:type="dxa" w:w="2160"/>
          </w:tcPr>
          <w:p>
            <w:pPr>
              <w:jc w:val="center"/>
            </w:pPr>
            <w:r>
              <w:rPr>
                <w:sz w:val="18"/>
              </w:rPr>
              <w:t>0.1</w:t>
            </w:r>
          </w:p>
        </w:tc>
        <w:tc>
          <w:tcPr>
            <w:tcW w:type="dxa" w:w="2160"/>
          </w:tcPr>
          <w:p>
            <w:pPr>
              <w:jc w:val="center"/>
            </w:pPr>
            <w:r>
              <w:rPr>
                <w:sz w:val="18"/>
              </w:rPr>
              <w:t>Step size per tree</w:t>
            </w:r>
          </w:p>
        </w:tc>
      </w:tr>
      <w:tr>
        <w:tc>
          <w:tcPr>
            <w:tcW w:type="dxa" w:w="2160"/>
          </w:tcPr>
          <w:p>
            <w:pPr>
              <w:jc w:val="center"/>
            </w:pPr>
            <w:r>
              <w:rPr>
                <w:sz w:val="18"/>
              </w:rPr>
              <w:t>subsample</w:t>
            </w:r>
          </w:p>
        </w:tc>
        <w:tc>
          <w:tcPr>
            <w:tcW w:type="dxa" w:w="2160"/>
          </w:tcPr>
          <w:p>
            <w:pPr>
              <w:jc w:val="center"/>
            </w:pPr>
            <w:r>
              <w:rPr>
                <w:sz w:val="18"/>
              </w:rPr>
              <w:t>0.6–1.0</w:t>
            </w:r>
          </w:p>
        </w:tc>
        <w:tc>
          <w:tcPr>
            <w:tcW w:type="dxa" w:w="2160"/>
          </w:tcPr>
          <w:p>
            <w:pPr>
              <w:jc w:val="center"/>
            </w:pPr>
            <w:r>
              <w:rPr>
                <w:sz w:val="18"/>
              </w:rPr>
              <w:t>0.8</w:t>
            </w:r>
          </w:p>
        </w:tc>
        <w:tc>
          <w:tcPr>
            <w:tcW w:type="dxa" w:w="2160"/>
          </w:tcPr>
          <w:p>
            <w:pPr>
              <w:jc w:val="center"/>
            </w:pPr>
            <w:r>
              <w:rPr>
                <w:sz w:val="18"/>
              </w:rPr>
              <w:t>Fraction of data per tree</w:t>
            </w:r>
          </w:p>
        </w:tc>
      </w:tr>
      <w:tr>
        <w:tc>
          <w:tcPr>
            <w:tcW w:type="dxa" w:w="2160"/>
          </w:tcPr>
          <w:p>
            <w:pPr>
              <w:jc w:val="center"/>
            </w:pPr>
            <w:r>
              <w:rPr>
                <w:sz w:val="18"/>
              </w:rPr>
              <w:t>colsample_bytree</w:t>
            </w:r>
          </w:p>
        </w:tc>
        <w:tc>
          <w:tcPr>
            <w:tcW w:type="dxa" w:w="2160"/>
          </w:tcPr>
          <w:p>
            <w:pPr>
              <w:jc w:val="center"/>
            </w:pPr>
            <w:r>
              <w:rPr>
                <w:sz w:val="18"/>
              </w:rPr>
              <w:t>0.6–1.0</w:t>
            </w:r>
          </w:p>
        </w:tc>
        <w:tc>
          <w:tcPr>
            <w:tcW w:type="dxa" w:w="2160"/>
          </w:tcPr>
          <w:p>
            <w:pPr>
              <w:jc w:val="center"/>
            </w:pPr>
            <w:r>
              <w:rPr>
                <w:sz w:val="18"/>
              </w:rPr>
              <w:t>0.8</w:t>
            </w:r>
          </w:p>
        </w:tc>
        <w:tc>
          <w:tcPr>
            <w:tcW w:type="dxa" w:w="2160"/>
          </w:tcPr>
          <w:p>
            <w:pPr>
              <w:jc w:val="center"/>
            </w:pPr>
            <w:r>
              <w:rPr>
                <w:sz w:val="18"/>
              </w:rPr>
              <w:t>Fraction of features per tree</w:t>
            </w:r>
          </w:p>
        </w:tc>
      </w:tr>
      <w:tr>
        <w:tc>
          <w:tcPr>
            <w:tcW w:type="dxa" w:w="2160"/>
          </w:tcPr>
          <w:p>
            <w:pPr>
              <w:jc w:val="center"/>
            </w:pPr>
            <w:r>
              <w:rPr>
                <w:sz w:val="18"/>
              </w:rPr>
              <w:t>reg_alpha (L1)</w:t>
            </w:r>
          </w:p>
        </w:tc>
        <w:tc>
          <w:tcPr>
            <w:tcW w:type="dxa" w:w="2160"/>
          </w:tcPr>
          <w:p>
            <w:pPr>
              <w:jc w:val="center"/>
            </w:pPr>
            <w:r>
              <w:rPr>
                <w:sz w:val="18"/>
              </w:rPr>
              <w:t>0–1</w:t>
            </w:r>
          </w:p>
        </w:tc>
        <w:tc>
          <w:tcPr>
            <w:tcW w:type="dxa" w:w="2160"/>
          </w:tcPr>
          <w:p>
            <w:pPr>
              <w:jc w:val="center"/>
            </w:pPr>
            <w:r>
              <w:rPr>
                <w:sz w:val="18"/>
              </w:rPr>
              <w:t>0.1</w:t>
            </w:r>
          </w:p>
        </w:tc>
        <w:tc>
          <w:tcPr>
            <w:tcW w:type="dxa" w:w="2160"/>
          </w:tcPr>
          <w:p>
            <w:pPr>
              <w:jc w:val="center"/>
            </w:pPr>
            <w:r>
              <w:rPr>
                <w:sz w:val="18"/>
              </w:rPr>
              <w:t>Feature selection penalty</w:t>
            </w:r>
          </w:p>
        </w:tc>
      </w:tr>
      <w:tr>
        <w:tc>
          <w:tcPr>
            <w:tcW w:type="dxa" w:w="2160"/>
          </w:tcPr>
          <w:p>
            <w:pPr>
              <w:jc w:val="center"/>
            </w:pPr>
            <w:r>
              <w:rPr>
                <w:sz w:val="18"/>
              </w:rPr>
              <w:t>reg_lambda (L2)</w:t>
            </w:r>
          </w:p>
        </w:tc>
        <w:tc>
          <w:tcPr>
            <w:tcW w:type="dxa" w:w="2160"/>
          </w:tcPr>
          <w:p>
            <w:pPr>
              <w:jc w:val="center"/>
            </w:pPr>
            <w:r>
              <w:rPr>
                <w:sz w:val="18"/>
              </w:rPr>
              <w:t>1–10</w:t>
            </w:r>
          </w:p>
        </w:tc>
        <w:tc>
          <w:tcPr>
            <w:tcW w:type="dxa" w:w="2160"/>
          </w:tcPr>
          <w:p>
            <w:pPr>
              <w:jc w:val="center"/>
            </w:pPr>
            <w:r>
              <w:rPr>
                <w:sz w:val="18"/>
              </w:rPr>
              <w:t>5</w:t>
            </w:r>
          </w:p>
        </w:tc>
        <w:tc>
          <w:tcPr>
            <w:tcW w:type="dxa" w:w="2160"/>
          </w:tcPr>
          <w:p>
            <w:pPr>
              <w:jc w:val="center"/>
            </w:pPr>
            <w:r>
              <w:rPr>
                <w:sz w:val="18"/>
              </w:rPr>
              <w:t>Prediction smoothing</w:t>
            </w:r>
          </w:p>
        </w:tc>
      </w:tr>
    </w:tbl>
    <w:p/>
    <w:p>
      <w:pPr>
        <w:pStyle w:val="Heading3"/>
      </w:pPr>
      <w:r>
        <w:t>Results (5-Class)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Metric</w:t>
            </w:r>
          </w:p>
        </w:tc>
        <w:tc>
          <w:tcPr>
            <w:tcW w:type="dxa" w:w="4320"/>
          </w:tcPr>
          <w:p>
            <w:pPr>
              <w:jc w:val="center"/>
            </w:pPr>
            <w:r>
              <w:rPr>
                <w:b/>
                <w:sz w:val="18"/>
              </w:rPr>
              <w:t>Value</w:t>
            </w:r>
          </w:p>
        </w:tc>
      </w:tr>
      <w:tr>
        <w:tc>
          <w:tcPr>
            <w:tcW w:type="dxa" w:w="4320"/>
          </w:tcPr>
          <w:p>
            <w:pPr>
              <w:jc w:val="center"/>
            </w:pPr>
            <w:r>
              <w:rPr>
                <w:sz w:val="18"/>
              </w:rPr>
              <w:t>Accuracy</w:t>
            </w:r>
          </w:p>
        </w:tc>
        <w:tc>
          <w:tcPr>
            <w:tcW w:type="dxa" w:w="4320"/>
          </w:tcPr>
          <w:p>
            <w:pPr>
              <w:jc w:val="center"/>
            </w:pPr>
            <w:r>
              <w:rPr>
                <w:sz w:val="18"/>
              </w:rPr>
              <w:t>0.388 (best overall)</w:t>
            </w:r>
          </w:p>
        </w:tc>
      </w:tr>
      <w:tr>
        <w:tc>
          <w:tcPr>
            <w:tcW w:type="dxa" w:w="4320"/>
          </w:tcPr>
          <w:p>
            <w:pPr>
              <w:jc w:val="center"/>
            </w:pPr>
            <w:r>
              <w:rPr>
                <w:sz w:val="18"/>
              </w:rPr>
              <w:t>Precision (macro)</w:t>
            </w:r>
          </w:p>
        </w:tc>
        <w:tc>
          <w:tcPr>
            <w:tcW w:type="dxa" w:w="4320"/>
          </w:tcPr>
          <w:p>
            <w:pPr>
              <w:jc w:val="center"/>
            </w:pPr>
            <w:r>
              <w:rPr>
                <w:sz w:val="18"/>
              </w:rPr>
              <w:t>0.396</w:t>
            </w:r>
          </w:p>
        </w:tc>
      </w:tr>
      <w:tr>
        <w:tc>
          <w:tcPr>
            <w:tcW w:type="dxa" w:w="4320"/>
          </w:tcPr>
          <w:p>
            <w:pPr>
              <w:jc w:val="center"/>
            </w:pPr>
            <w:r>
              <w:rPr>
                <w:sz w:val="18"/>
              </w:rPr>
              <w:t>Recall (macro)</w:t>
            </w:r>
          </w:p>
        </w:tc>
        <w:tc>
          <w:tcPr>
            <w:tcW w:type="dxa" w:w="4320"/>
          </w:tcPr>
          <w:p>
            <w:pPr>
              <w:jc w:val="center"/>
            </w:pPr>
            <w:r>
              <w:rPr>
                <w:sz w:val="18"/>
              </w:rPr>
              <w:t>0.383</w:t>
            </w:r>
          </w:p>
        </w:tc>
      </w:tr>
      <w:tr>
        <w:tc>
          <w:tcPr>
            <w:tcW w:type="dxa" w:w="4320"/>
          </w:tcPr>
          <w:p>
            <w:pPr>
              <w:jc w:val="center"/>
            </w:pPr>
            <w:r>
              <w:rPr>
                <w:sz w:val="18"/>
              </w:rPr>
              <w:t>F1-macro</w:t>
            </w:r>
          </w:p>
        </w:tc>
        <w:tc>
          <w:tcPr>
            <w:tcW w:type="dxa" w:w="4320"/>
          </w:tcPr>
          <w:p>
            <w:pPr>
              <w:jc w:val="center"/>
            </w:pPr>
            <w:r>
              <w:rPr>
                <w:sz w:val="18"/>
              </w:rPr>
              <w:t>0.387 (best overall)</w:t>
            </w:r>
          </w:p>
        </w:tc>
      </w:tr>
      <w:tr>
        <w:tc>
          <w:tcPr>
            <w:tcW w:type="dxa" w:w="4320"/>
          </w:tcPr>
          <w:p>
            <w:pPr>
              <w:jc w:val="center"/>
            </w:pPr>
            <w:r>
              <w:rPr>
                <w:sz w:val="18"/>
              </w:rPr>
              <w:t>ROC-AUC</w:t>
            </w:r>
          </w:p>
        </w:tc>
        <w:tc>
          <w:tcPr>
            <w:tcW w:type="dxa" w:w="4320"/>
          </w:tcPr>
          <w:p>
            <w:pPr>
              <w:jc w:val="center"/>
            </w:pPr>
            <w:r>
              <w:rPr>
                <w:sz w:val="18"/>
              </w:rPr>
              <w:t>0.783</w:t>
            </w:r>
          </w:p>
        </w:tc>
      </w:tr>
    </w:tbl>
    <w:p/>
    <w:p>
      <w:pPr>
        <w:jc w:val="center"/>
      </w:pPr>
      <w:r>
        <w:drawing>
          <wp:inline xmlns:a="http://schemas.openxmlformats.org/drawingml/2006/main" xmlns:pic="http://schemas.openxmlformats.org/drawingml/2006/picture">
            <wp:extent cx="5303520" cy="4168397"/>
            <wp:docPr id="3" name="Picture 3"/>
            <wp:cNvGraphicFramePr>
              <a:graphicFrameLocks noChangeAspect="1"/>
            </wp:cNvGraphicFramePr>
            <a:graphic>
              <a:graphicData uri="http://schemas.openxmlformats.org/drawingml/2006/picture">
                <pic:pic>
                  <pic:nvPicPr>
                    <pic:cNvPr id="0" name="xgb_confusion_matrix.png"/>
                    <pic:cNvPicPr/>
                  </pic:nvPicPr>
                  <pic:blipFill>
                    <a:blip r:embed="rId11"/>
                    <a:stretch>
                      <a:fillRect/>
                    </a:stretch>
                  </pic:blipFill>
                  <pic:spPr>
                    <a:xfrm>
                      <a:off x="0" y="0"/>
                      <a:ext cx="5303520" cy="4168397"/>
                    </a:xfrm>
                    <a:prstGeom prst="rect"/>
                  </pic:spPr>
                </pic:pic>
              </a:graphicData>
            </a:graphic>
          </wp:inline>
        </w:drawing>
      </w:r>
    </w:p>
    <w:p>
      <w:pPr>
        <w:jc w:val="center"/>
      </w:pPr>
      <w:r>
        <w:rPr>
          <w:i/>
          <w:color w:val="555555"/>
          <w:sz w:val="18"/>
        </w:rPr>
        <w:t>Figure 3: XGBoost confusion matrix. Better middle-class separation, especially Stable (Q2).</w:t>
      </w:r>
    </w:p>
    <w:p>
      <w:pPr>
        <w:pStyle w:val="Heading3"/>
      </w:pPr>
      <w:r>
        <w:t>SHAP Analysis — Explaining Predictions</w:t>
      </w:r>
    </w:p>
    <w:p>
      <w:r>
        <w:rPr>
          <w:b/>
          <w:color w:val="2A6E2A"/>
          <w:sz w:val="20"/>
        </w:rPr>
        <w:t xml:space="preserve">📖 What is SHAP? </w:t>
      </w:r>
      <w:r>
        <w:rPr>
          <w:sz w:val="20"/>
        </w:rPr>
        <w:t>SHAP calculates how much each feature "pushed" each county's prediction toward high or low volatility. Like an itemized receipt: "+0.85 from high rent, +0.40 from high diversity, −0.30 from homeownership." Based on game theory; mathematically rigorous.</w:t>
      </w:r>
    </w:p>
    <w:p>
      <w:pPr>
        <w:jc w:val="center"/>
      </w:pPr>
      <w:r>
        <w:drawing>
          <wp:inline xmlns:a="http://schemas.openxmlformats.org/drawingml/2006/main" xmlns:pic="http://schemas.openxmlformats.org/drawingml/2006/picture">
            <wp:extent cx="5303520" cy="6310517"/>
            <wp:docPr id="4" name="Picture 4"/>
            <wp:cNvGraphicFramePr>
              <a:graphicFrameLocks noChangeAspect="1"/>
            </wp:cNvGraphicFramePr>
            <a:graphic>
              <a:graphicData uri="http://schemas.openxmlformats.org/drawingml/2006/picture">
                <pic:pic>
                  <pic:nvPicPr>
                    <pic:cNvPr id="0" name="xgb_shap_summary.png"/>
                    <pic:cNvPicPr/>
                  </pic:nvPicPr>
                  <pic:blipFill>
                    <a:blip r:embed="rId12"/>
                    <a:stretch>
                      <a:fillRect/>
                    </a:stretch>
                  </pic:blipFill>
                  <pic:spPr>
                    <a:xfrm>
                      <a:off x="0" y="0"/>
                      <a:ext cx="5303520" cy="6310517"/>
                    </a:xfrm>
                    <a:prstGeom prst="rect"/>
                  </pic:spPr>
                </pic:pic>
              </a:graphicData>
            </a:graphic>
          </wp:inline>
        </w:drawing>
      </w:r>
    </w:p>
    <w:p>
      <w:pPr>
        <w:jc w:val="center"/>
      </w:pPr>
      <w:r>
        <w:rPr>
          <w:i/>
          <w:color w:val="555555"/>
          <w:sz w:val="18"/>
        </w:rPr>
        <w:t>Figure 4: SHAP summary. Each dot = one county. Color = feature value (red=high, blue=low). Housing cost and diversity dominate.</w:t>
      </w:r>
    </w:p>
    <w:p>
      <w:pPr>
        <w:jc w:val="center"/>
      </w:pPr>
      <w:r>
        <w:drawing>
          <wp:inline xmlns:a="http://schemas.openxmlformats.org/drawingml/2006/main" xmlns:pic="http://schemas.openxmlformats.org/drawingml/2006/picture">
            <wp:extent cx="5303520" cy="1053604"/>
            <wp:docPr id="5" name="Picture 5"/>
            <wp:cNvGraphicFramePr>
              <a:graphicFrameLocks noChangeAspect="1"/>
            </wp:cNvGraphicFramePr>
            <a:graphic>
              <a:graphicData uri="http://schemas.openxmlformats.org/drawingml/2006/picture">
                <pic:pic>
                  <pic:nvPicPr>
                    <pic:cNvPr id="0" name="xgb_shap_dependence_top5.png"/>
                    <pic:cNvPicPr/>
                  </pic:nvPicPr>
                  <pic:blipFill>
                    <a:blip r:embed="rId13"/>
                    <a:stretch>
                      <a:fillRect/>
                    </a:stretch>
                  </pic:blipFill>
                  <pic:spPr>
                    <a:xfrm>
                      <a:off x="0" y="0"/>
                      <a:ext cx="5303520" cy="1053604"/>
                    </a:xfrm>
                    <a:prstGeom prst="rect"/>
                  </pic:spPr>
                </pic:pic>
              </a:graphicData>
            </a:graphic>
          </wp:inline>
        </w:drawing>
      </w:r>
    </w:p>
    <w:p>
      <w:pPr>
        <w:jc w:val="center"/>
      </w:pPr>
      <w:r>
        <w:rPr>
          <w:i/>
          <w:color w:val="555555"/>
          <w:sz w:val="18"/>
        </w:rPr>
        <w:t>Figure 5: Top 5 SHAP dependence plots. The diversity index shows a clear "step function" — volatility jumps once diversity crosses a threshold.</w:t>
      </w:r>
    </w:p>
    <w:p>
      <w:r>
        <w:t>Challenge: XGBoost requires 0-indexed labels. Solution: y − 1 before fit, +1 after predict.</w:t>
      </w:r>
    </w:p>
    <w:p>
      <w:pPr>
        <w:pStyle w:val="Heading2"/>
      </w:pPr>
      <w:r>
        <w:t>4.3 SVM (Support Vector Machine)</w:t>
      </w:r>
    </w:p>
    <w:p>
      <w:r>
        <w:rPr>
          <w:b/>
          <w:color w:val="2A6E2A"/>
          <w:sz w:val="20"/>
        </w:rPr>
        <w:t xml:space="preserve">📖 What is SVM? </w:t>
      </w:r>
      <w:r>
        <w:rPr>
          <w:sz w:val="20"/>
        </w:rPr>
        <w:t>SVM draws a dividing line between classes and tries to make it as far as possible from the nearest data points on each side. The "kernel trick" allows the boundary to be curved (RBF) rather than straight (Linear). Comparing kernels tells us whether the data boundary is simple or complex.</w:t>
      </w:r>
    </w:p>
    <w:p>
      <w:r>
        <w:rPr>
          <w:b/>
        </w:rPr>
        <w:t xml:space="preserve">Why chosen: </w:t>
      </w:r>
      <w:r>
        <w:t>Margin-based learning; kernel comparison as diagnostic tool; theoretical generalization guarantees.</w:t>
      </w:r>
    </w:p>
    <w:p>
      <w:r>
        <w:rPr>
          <w:b/>
        </w:rPr>
        <w:t xml:space="preserve">Assumptions: </w:t>
      </w:r>
      <w:r>
        <w:t>Linear kernel: boundary is approximately straight. RBF kernel: similar counties behave similarly. Requires scaled features.</w:t>
      </w:r>
    </w:p>
    <w:p>
      <w:pPr>
        <w:pStyle w:val="Heading3"/>
      </w:pPr>
      <w:r>
        <w:t>Hyperparameters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Kernel</w:t>
            </w:r>
          </w:p>
        </w:tc>
        <w:tc>
          <w:tcPr>
            <w:tcW w:type="dxa" w:w="1728"/>
          </w:tcPr>
          <w:p>
            <w:pPr>
              <w:jc w:val="center"/>
            </w:pPr>
            <w:r>
              <w:rPr>
                <w:b/>
                <w:sz w:val="18"/>
              </w:rPr>
              <w:t>C</w:t>
            </w:r>
          </w:p>
        </w:tc>
        <w:tc>
          <w:tcPr>
            <w:tcW w:type="dxa" w:w="1728"/>
          </w:tcPr>
          <w:p>
            <w:pPr>
              <w:jc w:val="center"/>
            </w:pPr>
            <w:r>
              <w:rPr>
                <w:b/>
                <w:sz w:val="18"/>
              </w:rPr>
              <w:t>Gamma</w:t>
            </w:r>
          </w:p>
        </w:tc>
        <w:tc>
          <w:tcPr>
            <w:tcW w:type="dxa" w:w="1728"/>
          </w:tcPr>
          <w:p>
            <w:pPr>
              <w:jc w:val="center"/>
            </w:pPr>
            <w:r>
              <w:rPr>
                <w:b/>
                <w:sz w:val="18"/>
              </w:rPr>
              <w:t>class_weight</w:t>
            </w:r>
          </w:p>
        </w:tc>
        <w:tc>
          <w:tcPr>
            <w:tcW w:type="dxa" w:w="1728"/>
          </w:tcPr>
          <w:p>
            <w:pPr>
              <w:jc w:val="center"/>
            </w:pPr>
            <w:r>
              <w:rPr>
                <w:b/>
                <w:sz w:val="18"/>
              </w:rPr>
              <w:t>Best C</w:t>
            </w:r>
          </w:p>
        </w:tc>
      </w:tr>
      <w:tr>
        <w:tc>
          <w:tcPr>
            <w:tcW w:type="dxa" w:w="1728"/>
          </w:tcPr>
          <w:p>
            <w:pPr>
              <w:jc w:val="center"/>
            </w:pPr>
            <w:r>
              <w:rPr>
                <w:sz w:val="18"/>
              </w:rPr>
              <w:t>Linear</w:t>
            </w:r>
          </w:p>
        </w:tc>
        <w:tc>
          <w:tcPr>
            <w:tcW w:type="dxa" w:w="1728"/>
          </w:tcPr>
          <w:p>
            <w:pPr>
              <w:jc w:val="center"/>
            </w:pPr>
            <w:r>
              <w:rPr>
                <w:sz w:val="18"/>
              </w:rPr>
              <w:t>0.01–100</w:t>
            </w:r>
          </w:p>
        </w:tc>
        <w:tc>
          <w:tcPr>
            <w:tcW w:type="dxa" w:w="1728"/>
          </w:tcPr>
          <w:p>
            <w:pPr>
              <w:jc w:val="center"/>
            </w:pPr>
            <w:r>
              <w:rPr>
                <w:sz w:val="18"/>
              </w:rPr>
              <w:t>N/A</w:t>
            </w:r>
          </w:p>
        </w:tc>
        <w:tc>
          <w:tcPr>
            <w:tcW w:type="dxa" w:w="1728"/>
          </w:tcPr>
          <w:p>
            <w:pPr>
              <w:jc w:val="center"/>
            </w:pPr>
            <w:r>
              <w:rPr>
                <w:sz w:val="18"/>
              </w:rPr>
              <w:t>balanced</w:t>
            </w:r>
          </w:p>
        </w:tc>
        <w:tc>
          <w:tcPr>
            <w:tcW w:type="dxa" w:w="1728"/>
          </w:tcPr>
          <w:p>
            <w:pPr>
              <w:jc w:val="center"/>
            </w:pPr>
            <w:r>
              <w:rPr>
                <w:sz w:val="18"/>
              </w:rPr>
              <w:t>1</w:t>
            </w:r>
          </w:p>
        </w:tc>
      </w:tr>
      <w:tr>
        <w:tc>
          <w:tcPr>
            <w:tcW w:type="dxa" w:w="1728"/>
          </w:tcPr>
          <w:p>
            <w:pPr>
              <w:jc w:val="center"/>
            </w:pPr>
            <w:r>
              <w:rPr>
                <w:sz w:val="18"/>
              </w:rPr>
              <w:t>RBF</w:t>
            </w:r>
          </w:p>
        </w:tc>
        <w:tc>
          <w:tcPr>
            <w:tcW w:type="dxa" w:w="1728"/>
          </w:tcPr>
          <w:p>
            <w:pPr>
              <w:jc w:val="center"/>
            </w:pPr>
            <w:r>
              <w:rPr>
                <w:sz w:val="18"/>
              </w:rPr>
              <w:t>0.01–100</w:t>
            </w:r>
          </w:p>
        </w:tc>
        <w:tc>
          <w:tcPr>
            <w:tcW w:type="dxa" w:w="1728"/>
          </w:tcPr>
          <w:p>
            <w:pPr>
              <w:jc w:val="center"/>
            </w:pPr>
            <w:r>
              <w:rPr>
                <w:sz w:val="18"/>
              </w:rPr>
              <w:t>scale, auto, 0.01–1</w:t>
            </w:r>
          </w:p>
        </w:tc>
        <w:tc>
          <w:tcPr>
            <w:tcW w:type="dxa" w:w="1728"/>
          </w:tcPr>
          <w:p>
            <w:pPr>
              <w:jc w:val="center"/>
            </w:pPr>
            <w:r>
              <w:rPr>
                <w:sz w:val="18"/>
              </w:rPr>
              <w:t>balanced</w:t>
            </w:r>
          </w:p>
        </w:tc>
        <w:tc>
          <w:tcPr>
            <w:tcW w:type="dxa" w:w="1728"/>
          </w:tcPr>
          <w:p>
            <w:pPr>
              <w:jc w:val="center"/>
            </w:pPr>
            <w:r>
              <w:rPr>
                <w:sz w:val="18"/>
              </w:rPr>
              <w:t>10</w:t>
            </w:r>
          </w:p>
        </w:tc>
      </w:tr>
    </w:tbl>
    <w:p/>
    <w:p>
      <w:pPr>
        <w:pStyle w:val="Heading3"/>
      </w:pPr>
      <w:r>
        <w:t>Kernel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Metric</w:t>
            </w:r>
          </w:p>
        </w:tc>
        <w:tc>
          <w:tcPr>
            <w:tcW w:type="dxa" w:w="2880"/>
          </w:tcPr>
          <w:p>
            <w:pPr>
              <w:jc w:val="center"/>
            </w:pPr>
            <w:r>
              <w:rPr>
                <w:b/>
                <w:sz w:val="18"/>
              </w:rPr>
              <w:t>Linear</w:t>
            </w:r>
          </w:p>
        </w:tc>
        <w:tc>
          <w:tcPr>
            <w:tcW w:type="dxa" w:w="2880"/>
          </w:tcPr>
          <w:p>
            <w:pPr>
              <w:jc w:val="center"/>
            </w:pPr>
            <w:r>
              <w:rPr>
                <w:b/>
                <w:sz w:val="18"/>
              </w:rPr>
              <w:t>RBF</w:t>
            </w:r>
          </w:p>
        </w:tc>
      </w:tr>
      <w:tr>
        <w:tc>
          <w:tcPr>
            <w:tcW w:type="dxa" w:w="2880"/>
          </w:tcPr>
          <w:p>
            <w:pPr>
              <w:jc w:val="center"/>
            </w:pPr>
            <w:r>
              <w:rPr>
                <w:sz w:val="18"/>
              </w:rPr>
              <w:t>Accuracy</w:t>
            </w:r>
          </w:p>
        </w:tc>
        <w:tc>
          <w:tcPr>
            <w:tcW w:type="dxa" w:w="2880"/>
          </w:tcPr>
          <w:p>
            <w:pPr>
              <w:jc w:val="center"/>
            </w:pPr>
            <w:r>
              <w:rPr>
                <w:sz w:val="18"/>
              </w:rPr>
              <w:t>0.368</w:t>
            </w:r>
          </w:p>
        </w:tc>
        <w:tc>
          <w:tcPr>
            <w:tcW w:type="dxa" w:w="2880"/>
          </w:tcPr>
          <w:p>
            <w:pPr>
              <w:jc w:val="center"/>
            </w:pPr>
            <w:r>
              <w:rPr>
                <w:sz w:val="18"/>
              </w:rPr>
              <w:t>0.340</w:t>
            </w:r>
          </w:p>
        </w:tc>
      </w:tr>
      <w:tr>
        <w:tc>
          <w:tcPr>
            <w:tcW w:type="dxa" w:w="2880"/>
          </w:tcPr>
          <w:p>
            <w:pPr>
              <w:jc w:val="center"/>
            </w:pPr>
            <w:r>
              <w:rPr>
                <w:sz w:val="18"/>
              </w:rPr>
              <w:t>F1-macro</w:t>
            </w:r>
          </w:p>
        </w:tc>
        <w:tc>
          <w:tcPr>
            <w:tcW w:type="dxa" w:w="2880"/>
          </w:tcPr>
          <w:p>
            <w:pPr>
              <w:jc w:val="center"/>
            </w:pPr>
            <w:r>
              <w:rPr>
                <w:sz w:val="18"/>
              </w:rPr>
              <w:t>0.364</w:t>
            </w:r>
          </w:p>
        </w:tc>
        <w:tc>
          <w:tcPr>
            <w:tcW w:type="dxa" w:w="2880"/>
          </w:tcPr>
          <w:p>
            <w:pPr>
              <w:jc w:val="center"/>
            </w:pPr>
            <w:r>
              <w:rPr>
                <w:sz w:val="18"/>
              </w:rPr>
              <w:t>0.347</w:t>
            </w:r>
          </w:p>
        </w:tc>
      </w:tr>
      <w:tr>
        <w:tc>
          <w:tcPr>
            <w:tcW w:type="dxa" w:w="2880"/>
          </w:tcPr>
          <w:p>
            <w:pPr>
              <w:jc w:val="center"/>
            </w:pPr>
            <w:r>
              <w:rPr>
                <w:sz w:val="18"/>
              </w:rPr>
              <w:t>ROC-AUC</w:t>
            </w:r>
          </w:p>
        </w:tc>
        <w:tc>
          <w:tcPr>
            <w:tcW w:type="dxa" w:w="2880"/>
          </w:tcPr>
          <w:p>
            <w:pPr>
              <w:jc w:val="center"/>
            </w:pPr>
            <w:r>
              <w:rPr>
                <w:sz w:val="18"/>
              </w:rPr>
              <w:t>0.765</w:t>
            </w:r>
          </w:p>
        </w:tc>
        <w:tc>
          <w:tcPr>
            <w:tcW w:type="dxa" w:w="2880"/>
          </w:tcPr>
          <w:p>
            <w:pPr>
              <w:jc w:val="center"/>
            </w:pPr>
            <w:r>
              <w:rPr>
                <w:sz w:val="18"/>
              </w:rPr>
              <w:t>0.741</w:t>
            </w:r>
          </w:p>
        </w:tc>
      </w:tr>
    </w:tbl>
    <w:p/>
    <w:p>
      <w:r>
        <w:t>Linear &gt; RBF in 5-class: the boundaries between 5 volatility levels are approximately straight. But this reverses in binary (RBF AUC=0.789 &gt; Linear=0.734) — the single High/Low boundary is curved, consistent with the SHAP interaction effects (diversity matters differently by context).</w:t>
      </w:r>
    </w:p>
    <w:p>
      <w:r>
        <w:t>Challenge: No built-in feature importance. Solution: Used RF/XGBoost for rankings; SVM served as a diagnostic benchmark (kernel comparison).</w:t>
      </w:r>
    </w:p>
    <w:p>
      <w:pPr>
        <w:spacing w:before="120" w:after="120"/>
      </w:pPr>
      <w:r>
        <w:rPr>
          <w:b/>
          <w:color w:val="1A3C6E"/>
          <w:sz w:val="20"/>
        </w:rPr>
        <w:t xml:space="preserve">▶ Takeaway: </w:t>
      </w:r>
      <w:r>
        <w:rPr>
          <w:sz w:val="20"/>
        </w:rPr>
        <w:t>XGBoost is the best 5-class model (F1=0.387); RF has the best ROC-AUC (0.803). The diversity index is the #1 feature across all importance measures. SVM's kernel comparison reveals the volatile/stable boundary is moderately nonlinear. All models excel at extremes (Highly Volatile, Very Stable) and struggle with middle classes.</w:t>
      </w:r>
    </w:p>
    <w:p>
      <w:r>
        <w:br w:type="page"/>
      </w:r>
    </w:p>
    <w:p>
      <w:pPr>
        <w:pStyle w:val="Heading1"/>
      </w:pPr>
      <w:r>
        <w:t>5. Model D — Demographic Misfit Detector (Logistic Regression)</w:t>
      </w:r>
    </w:p>
    <w:p>
      <w:r>
        <w:rPr>
          <w:b/>
          <w:color w:val="2A6E2A"/>
          <w:sz w:val="20"/>
        </w:rPr>
        <w:t xml:space="preserve">📖 What is Logistic Regression? </w:t>
      </w:r>
      <w:r>
        <w:rPr>
          <w:sz w:val="20"/>
        </w:rPr>
        <w:t>One of the simplest classifiers — draws a straight line through data to separate groups and outputs a probability. Here we use it creatively: predict which party a county "should" vote for based on demographics, then analyze the errors.</w:t>
      </w:r>
    </w:p>
    <w:p>
      <w:pPr>
        <w:pStyle w:val="Heading2"/>
      </w:pPr>
      <w:r>
        <w:t>Two-Stage Approach</w:t>
      </w:r>
    </w:p>
    <w:p>
      <w:pPr>
        <w:pStyle w:val="ListBullet"/>
      </w:pPr>
      <w:r>
        <w:t>Stage 1: Predict partisan lean from demographics. Accuracy: 89.6%.</w:t>
      </w:r>
    </w:p>
    <w:p>
      <w:pPr>
        <w:pStyle w:val="ListBullet"/>
      </w:pPr>
      <w:r>
        <w:t>Stage 2: Find "misfits" — counties where the prediction is confidently wrong. If demographics say 96% Republican but it votes Democrat, that's a misfit.</w:t>
      </w:r>
    </w:p>
    <w:p>
      <w:r>
        <w:t>Hypothesis: Misfits are communities in demographic transition, and should therefore be more electorally volatile.</w:t>
      </w:r>
    </w:p>
    <w:p>
      <w:pPr>
        <w:pStyle w:val="Heading2"/>
      </w:pPr>
      <w:r>
        <w:t>Assumptions</w:t>
      </w:r>
    </w:p>
    <w:p>
      <w:r>
        <w:t>Linear decision boundary between D and R counties; P(Dem) is well-calibrated; prediction errors capture demographic-political misalignment.</w:t>
      </w:r>
    </w:p>
    <w:p>
      <w:pPr>
        <w:pStyle w:val="Heading2"/>
      </w:pPr>
      <w:r>
        <w:t>Top 5 Misfits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County</w:t>
            </w:r>
          </w:p>
        </w:tc>
        <w:tc>
          <w:tcPr>
            <w:tcW w:type="dxa" w:w="1440"/>
          </w:tcPr>
          <w:p>
            <w:pPr>
              <w:jc w:val="center"/>
            </w:pPr>
            <w:r>
              <w:rPr>
                <w:b/>
                <w:sz w:val="18"/>
              </w:rPr>
              <w:t>State</w:t>
            </w:r>
          </w:p>
        </w:tc>
        <w:tc>
          <w:tcPr>
            <w:tcW w:type="dxa" w:w="1440"/>
          </w:tcPr>
          <w:p>
            <w:pPr>
              <w:jc w:val="center"/>
            </w:pPr>
            <w:r>
              <w:rPr>
                <w:b/>
                <w:sz w:val="18"/>
              </w:rPr>
              <w:t>Model Says</w:t>
            </w:r>
          </w:p>
        </w:tc>
        <w:tc>
          <w:tcPr>
            <w:tcW w:type="dxa" w:w="1440"/>
          </w:tcPr>
          <w:p>
            <w:pPr>
              <w:jc w:val="center"/>
            </w:pPr>
            <w:r>
              <w:rPr>
                <w:b/>
                <w:sz w:val="18"/>
              </w:rPr>
              <w:t>Actually</w:t>
            </w:r>
          </w:p>
        </w:tc>
        <w:tc>
          <w:tcPr>
            <w:tcW w:type="dxa" w:w="1440"/>
          </w:tcPr>
          <w:p>
            <w:pPr>
              <w:jc w:val="center"/>
            </w:pPr>
            <w:r>
              <w:rPr>
                <w:b/>
                <w:sz w:val="18"/>
              </w:rPr>
              <w:t>Misfit</w:t>
            </w:r>
          </w:p>
        </w:tc>
        <w:tc>
          <w:tcPr>
            <w:tcW w:type="dxa" w:w="1440"/>
          </w:tcPr>
          <w:p>
            <w:pPr>
              <w:jc w:val="center"/>
            </w:pPr>
            <w:r>
              <w:rPr>
                <w:b/>
                <w:sz w:val="18"/>
              </w:rPr>
              <w:t>Volatility</w:t>
            </w:r>
          </w:p>
        </w:tc>
      </w:tr>
      <w:tr>
        <w:tc>
          <w:tcPr>
            <w:tcW w:type="dxa" w:w="1440"/>
          </w:tcPr>
          <w:p>
            <w:pPr>
              <w:jc w:val="center"/>
            </w:pPr>
            <w:r>
              <w:rPr>
                <w:sz w:val="18"/>
              </w:rPr>
              <w:t>Leelanau</w:t>
            </w:r>
          </w:p>
        </w:tc>
        <w:tc>
          <w:tcPr>
            <w:tcW w:type="dxa" w:w="1440"/>
          </w:tcPr>
          <w:p>
            <w:pPr>
              <w:jc w:val="center"/>
            </w:pPr>
            <w:r>
              <w:rPr>
                <w:sz w:val="18"/>
              </w:rPr>
              <w:t>MI</w:t>
            </w:r>
          </w:p>
        </w:tc>
        <w:tc>
          <w:tcPr>
            <w:tcW w:type="dxa" w:w="1440"/>
          </w:tcPr>
          <w:p>
            <w:pPr>
              <w:jc w:val="center"/>
            </w:pPr>
            <w:r>
              <w:rPr>
                <w:sz w:val="18"/>
              </w:rPr>
              <w:t>96% Rep</w:t>
            </w:r>
          </w:p>
        </w:tc>
        <w:tc>
          <w:tcPr>
            <w:tcW w:type="dxa" w:w="1440"/>
          </w:tcPr>
          <w:p>
            <w:pPr>
              <w:jc w:val="center"/>
            </w:pPr>
            <w:r>
              <w:rPr>
                <w:sz w:val="18"/>
              </w:rPr>
              <w:t>Dem +8%</w:t>
            </w:r>
          </w:p>
        </w:tc>
        <w:tc>
          <w:tcPr>
            <w:tcW w:type="dxa" w:w="1440"/>
          </w:tcPr>
          <w:p>
            <w:pPr>
              <w:jc w:val="center"/>
            </w:pPr>
            <w:r>
              <w:rPr>
                <w:sz w:val="18"/>
              </w:rPr>
              <w:t>0.96</w:t>
            </w:r>
          </w:p>
        </w:tc>
        <w:tc>
          <w:tcPr>
            <w:tcW w:type="dxa" w:w="1440"/>
          </w:tcPr>
          <w:p>
            <w:pPr>
              <w:jc w:val="center"/>
            </w:pPr>
            <w:r>
              <w:rPr>
                <w:sz w:val="18"/>
              </w:rPr>
              <w:t>Highly Volatile</w:t>
            </w:r>
          </w:p>
        </w:tc>
      </w:tr>
      <w:tr>
        <w:tc>
          <w:tcPr>
            <w:tcW w:type="dxa" w:w="1440"/>
          </w:tcPr>
          <w:p>
            <w:pPr>
              <w:jc w:val="center"/>
            </w:pPr>
            <w:r>
              <w:rPr>
                <w:sz w:val="18"/>
              </w:rPr>
              <w:t>Marquette</w:t>
            </w:r>
          </w:p>
        </w:tc>
        <w:tc>
          <w:tcPr>
            <w:tcW w:type="dxa" w:w="1440"/>
          </w:tcPr>
          <w:p>
            <w:pPr>
              <w:jc w:val="center"/>
            </w:pPr>
            <w:r>
              <w:rPr>
                <w:sz w:val="18"/>
              </w:rPr>
              <w:t>MI</w:t>
            </w:r>
          </w:p>
        </w:tc>
        <w:tc>
          <w:tcPr>
            <w:tcW w:type="dxa" w:w="1440"/>
          </w:tcPr>
          <w:p>
            <w:pPr>
              <w:jc w:val="center"/>
            </w:pPr>
            <w:r>
              <w:rPr>
                <w:sz w:val="18"/>
              </w:rPr>
              <w:t>96% Rep</w:t>
            </w:r>
          </w:p>
        </w:tc>
        <w:tc>
          <w:tcPr>
            <w:tcW w:type="dxa" w:w="1440"/>
          </w:tcPr>
          <w:p>
            <w:pPr>
              <w:jc w:val="center"/>
            </w:pPr>
            <w:r>
              <w:rPr>
                <w:sz w:val="18"/>
              </w:rPr>
              <w:t>Dem +9%</w:t>
            </w:r>
          </w:p>
        </w:tc>
        <w:tc>
          <w:tcPr>
            <w:tcW w:type="dxa" w:w="1440"/>
          </w:tcPr>
          <w:p>
            <w:pPr>
              <w:jc w:val="center"/>
            </w:pPr>
            <w:r>
              <w:rPr>
                <w:sz w:val="18"/>
              </w:rPr>
              <w:t>0.96</w:t>
            </w:r>
          </w:p>
        </w:tc>
        <w:tc>
          <w:tcPr>
            <w:tcW w:type="dxa" w:w="1440"/>
          </w:tcPr>
          <w:p>
            <w:pPr>
              <w:jc w:val="center"/>
            </w:pPr>
            <w:r>
              <w:rPr>
                <w:sz w:val="18"/>
              </w:rPr>
              <w:t>Highly Volatile</w:t>
            </w:r>
          </w:p>
        </w:tc>
      </w:tr>
      <w:tr>
        <w:tc>
          <w:tcPr>
            <w:tcW w:type="dxa" w:w="1440"/>
          </w:tcPr>
          <w:p>
            <w:pPr>
              <w:jc w:val="center"/>
            </w:pPr>
            <w:r>
              <w:rPr>
                <w:sz w:val="18"/>
              </w:rPr>
              <w:t>Nash</w:t>
            </w:r>
          </w:p>
        </w:tc>
        <w:tc>
          <w:tcPr>
            <w:tcW w:type="dxa" w:w="1440"/>
          </w:tcPr>
          <w:p>
            <w:pPr>
              <w:jc w:val="center"/>
            </w:pPr>
            <w:r>
              <w:rPr>
                <w:sz w:val="18"/>
              </w:rPr>
              <w:t>NC</w:t>
            </w:r>
          </w:p>
        </w:tc>
        <w:tc>
          <w:tcPr>
            <w:tcW w:type="dxa" w:w="1440"/>
          </w:tcPr>
          <w:p>
            <w:pPr>
              <w:jc w:val="center"/>
            </w:pPr>
            <w:r>
              <w:rPr>
                <w:sz w:val="18"/>
              </w:rPr>
              <w:t>95% Dem</w:t>
            </w:r>
          </w:p>
        </w:tc>
        <w:tc>
          <w:tcPr>
            <w:tcW w:type="dxa" w:w="1440"/>
          </w:tcPr>
          <w:p>
            <w:pPr>
              <w:jc w:val="center"/>
            </w:pPr>
            <w:r>
              <w:rPr>
                <w:sz w:val="18"/>
              </w:rPr>
              <w:t>Rep −2%</w:t>
            </w:r>
          </w:p>
        </w:tc>
        <w:tc>
          <w:tcPr>
            <w:tcW w:type="dxa" w:w="1440"/>
          </w:tcPr>
          <w:p>
            <w:pPr>
              <w:jc w:val="center"/>
            </w:pPr>
            <w:r>
              <w:rPr>
                <w:sz w:val="18"/>
              </w:rPr>
              <w:t>0.95</w:t>
            </w:r>
          </w:p>
        </w:tc>
        <w:tc>
          <w:tcPr>
            <w:tcW w:type="dxa" w:w="1440"/>
          </w:tcPr>
          <w:p>
            <w:pPr>
              <w:jc w:val="center"/>
            </w:pPr>
            <w:r>
              <w:rPr>
                <w:sz w:val="18"/>
              </w:rPr>
              <w:t>Very Stable</w:t>
            </w:r>
          </w:p>
        </w:tc>
      </w:tr>
      <w:tr>
        <w:tc>
          <w:tcPr>
            <w:tcW w:type="dxa" w:w="1440"/>
          </w:tcPr>
          <w:p>
            <w:pPr>
              <w:jc w:val="center"/>
            </w:pPr>
            <w:r>
              <w:rPr>
                <w:sz w:val="18"/>
              </w:rPr>
              <w:t>Lenoir</w:t>
            </w:r>
          </w:p>
        </w:tc>
        <w:tc>
          <w:tcPr>
            <w:tcW w:type="dxa" w:w="1440"/>
          </w:tcPr>
          <w:p>
            <w:pPr>
              <w:jc w:val="center"/>
            </w:pPr>
            <w:r>
              <w:rPr>
                <w:sz w:val="18"/>
              </w:rPr>
              <w:t>NC</w:t>
            </w:r>
          </w:p>
        </w:tc>
        <w:tc>
          <w:tcPr>
            <w:tcW w:type="dxa" w:w="1440"/>
          </w:tcPr>
          <w:p>
            <w:pPr>
              <w:jc w:val="center"/>
            </w:pPr>
            <w:r>
              <w:rPr>
                <w:sz w:val="18"/>
              </w:rPr>
              <w:t>94% Dem</w:t>
            </w:r>
          </w:p>
        </w:tc>
        <w:tc>
          <w:tcPr>
            <w:tcW w:type="dxa" w:w="1440"/>
          </w:tcPr>
          <w:p>
            <w:pPr>
              <w:jc w:val="center"/>
            </w:pPr>
            <w:r>
              <w:rPr>
                <w:sz w:val="18"/>
              </w:rPr>
              <w:t>Rep −7%</w:t>
            </w:r>
          </w:p>
        </w:tc>
        <w:tc>
          <w:tcPr>
            <w:tcW w:type="dxa" w:w="1440"/>
          </w:tcPr>
          <w:p>
            <w:pPr>
              <w:jc w:val="center"/>
            </w:pPr>
            <w:r>
              <w:rPr>
                <w:sz w:val="18"/>
              </w:rPr>
              <w:t>0.94</w:t>
            </w:r>
          </w:p>
        </w:tc>
        <w:tc>
          <w:tcPr>
            <w:tcW w:type="dxa" w:w="1440"/>
          </w:tcPr>
          <w:p>
            <w:pPr>
              <w:jc w:val="center"/>
            </w:pPr>
            <w:r>
              <w:rPr>
                <w:sz w:val="18"/>
              </w:rPr>
              <w:t>Stable</w:t>
            </w:r>
          </w:p>
        </w:tc>
      </w:tr>
      <w:tr>
        <w:tc>
          <w:tcPr>
            <w:tcW w:type="dxa" w:w="1440"/>
          </w:tcPr>
          <w:p>
            <w:pPr>
              <w:jc w:val="center"/>
            </w:pPr>
            <w:r>
              <w:rPr>
                <w:sz w:val="18"/>
              </w:rPr>
              <w:t>Cabarrus</w:t>
            </w:r>
          </w:p>
        </w:tc>
        <w:tc>
          <w:tcPr>
            <w:tcW w:type="dxa" w:w="1440"/>
          </w:tcPr>
          <w:p>
            <w:pPr>
              <w:jc w:val="center"/>
            </w:pPr>
            <w:r>
              <w:rPr>
                <w:sz w:val="18"/>
              </w:rPr>
              <w:t>NC</w:t>
            </w:r>
          </w:p>
        </w:tc>
        <w:tc>
          <w:tcPr>
            <w:tcW w:type="dxa" w:w="1440"/>
          </w:tcPr>
          <w:p>
            <w:pPr>
              <w:jc w:val="center"/>
            </w:pPr>
            <w:r>
              <w:rPr>
                <w:sz w:val="18"/>
              </w:rPr>
              <w:t>87% Dem</w:t>
            </w:r>
          </w:p>
        </w:tc>
        <w:tc>
          <w:tcPr>
            <w:tcW w:type="dxa" w:w="1440"/>
          </w:tcPr>
          <w:p>
            <w:pPr>
              <w:jc w:val="center"/>
            </w:pPr>
            <w:r>
              <w:rPr>
                <w:sz w:val="18"/>
              </w:rPr>
              <w:t>Rep −8%</w:t>
            </w:r>
          </w:p>
        </w:tc>
        <w:tc>
          <w:tcPr>
            <w:tcW w:type="dxa" w:w="1440"/>
          </w:tcPr>
          <w:p>
            <w:pPr>
              <w:jc w:val="center"/>
            </w:pPr>
            <w:r>
              <w:rPr>
                <w:sz w:val="18"/>
              </w:rPr>
              <w:t>0.87</w:t>
            </w:r>
          </w:p>
        </w:tc>
        <w:tc>
          <w:tcPr>
            <w:tcW w:type="dxa" w:w="1440"/>
          </w:tcPr>
          <w:p>
            <w:pPr>
              <w:jc w:val="center"/>
            </w:pPr>
            <w:r>
              <w:rPr>
                <w:sz w:val="18"/>
              </w:rPr>
              <w:t>Highly Volatile</w:t>
            </w:r>
          </w:p>
        </w:tc>
      </w:tr>
    </w:tbl>
    <w:p/>
    <w:p>
      <w:pPr>
        <w:jc w:val="center"/>
      </w:pPr>
      <w:r>
        <w:drawing>
          <wp:inline xmlns:a="http://schemas.openxmlformats.org/drawingml/2006/main" xmlns:pic="http://schemas.openxmlformats.org/drawingml/2006/picture">
            <wp:extent cx="5303520" cy="3520824"/>
            <wp:docPr id="6" name="Picture 6"/>
            <wp:cNvGraphicFramePr>
              <a:graphicFrameLocks noChangeAspect="1"/>
            </wp:cNvGraphicFramePr>
            <a:graphic>
              <a:graphicData uri="http://schemas.openxmlformats.org/drawingml/2006/picture">
                <pic:pic>
                  <pic:nvPicPr>
                    <pic:cNvPr id="0" name="misfit_scatter.png"/>
                    <pic:cNvPicPr/>
                  </pic:nvPicPr>
                  <pic:blipFill>
                    <a:blip r:embed="rId14"/>
                    <a:stretch>
                      <a:fillRect/>
                    </a:stretch>
                  </pic:blipFill>
                  <pic:spPr>
                    <a:xfrm>
                      <a:off x="0" y="0"/>
                      <a:ext cx="5303520" cy="3520824"/>
                    </a:xfrm>
                    <a:prstGeom prst="rect"/>
                  </pic:spPr>
                </pic:pic>
              </a:graphicData>
            </a:graphic>
          </wp:inline>
        </w:drawing>
      </w:r>
    </w:p>
    <w:p>
      <w:pPr>
        <w:jc w:val="center"/>
      </w:pPr>
      <w:r>
        <w:rPr>
          <w:i/>
          <w:color w:val="555555"/>
          <w:sz w:val="18"/>
        </w:rPr>
        <w:t>Figure 6: P(Dem) vs actual margin. Dot size = volatility. Counties far from diagonal are misfits.</w:t>
      </w:r>
    </w:p>
    <w:p>
      <w:pPr>
        <w:pStyle w:val="Heading2"/>
      </w:pPr>
      <w:r>
        <w:t>Misfit-Volatility Link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Finding</w:t>
            </w:r>
          </w:p>
        </w:tc>
        <w:tc>
          <w:tcPr>
            <w:tcW w:type="dxa" w:w="2880"/>
          </w:tcPr>
          <w:p>
            <w:pPr>
              <w:jc w:val="center"/>
            </w:pPr>
            <w:r>
              <w:rPr>
                <w:b/>
                <w:sz w:val="18"/>
              </w:rPr>
              <w:t>Test</w:t>
            </w:r>
          </w:p>
        </w:tc>
        <w:tc>
          <w:tcPr>
            <w:tcW w:type="dxa" w:w="2880"/>
          </w:tcPr>
          <w:p>
            <w:pPr>
              <w:jc w:val="center"/>
            </w:pPr>
            <w:r>
              <w:rPr>
                <w:b/>
                <w:sz w:val="18"/>
              </w:rPr>
              <w:t>Value</w:t>
            </w:r>
          </w:p>
        </w:tc>
      </w:tr>
      <w:tr>
        <w:tc>
          <w:tcPr>
            <w:tcW w:type="dxa" w:w="2880"/>
          </w:tcPr>
          <w:p>
            <w:pPr>
              <w:jc w:val="center"/>
            </w:pPr>
            <w:r>
              <w:rPr>
                <w:sz w:val="18"/>
              </w:rPr>
              <w:t>Misfits are more volatile</w:t>
            </w:r>
          </w:p>
        </w:tc>
        <w:tc>
          <w:tcPr>
            <w:tcW w:type="dxa" w:w="2880"/>
          </w:tcPr>
          <w:p>
            <w:pPr>
              <w:jc w:val="center"/>
            </w:pPr>
            <w:r>
              <w:rPr>
                <w:sz w:val="18"/>
              </w:rPr>
              <w:t>Spearman ρ</w:t>
            </w:r>
          </w:p>
        </w:tc>
        <w:tc>
          <w:tcPr>
            <w:tcW w:type="dxa" w:w="2880"/>
          </w:tcPr>
          <w:p>
            <w:pPr>
              <w:jc w:val="center"/>
            </w:pPr>
            <w:r>
              <w:rPr>
                <w:sz w:val="18"/>
              </w:rPr>
              <w:t>0.408 (p &lt; 0.001)</w:t>
            </w:r>
          </w:p>
        </w:tc>
      </w:tr>
      <w:tr>
        <w:tc>
          <w:tcPr>
            <w:tcW w:type="dxa" w:w="2880"/>
          </w:tcPr>
          <w:p>
            <w:pPr>
              <w:jc w:val="center"/>
            </w:pPr>
            <w:r>
              <w:rPr>
                <w:sz w:val="18"/>
              </w:rPr>
              <w:t>Misfits don't lean one way</w:t>
            </w:r>
          </w:p>
        </w:tc>
        <w:tc>
          <w:tcPr>
            <w:tcW w:type="dxa" w:w="2880"/>
          </w:tcPr>
          <w:p>
            <w:pPr>
              <w:jc w:val="center"/>
            </w:pPr>
            <w:r>
              <w:rPr>
                <w:sz w:val="18"/>
              </w:rPr>
              <w:t>Pearson r</w:t>
            </w:r>
          </w:p>
        </w:tc>
        <w:tc>
          <w:tcPr>
            <w:tcW w:type="dxa" w:w="2880"/>
          </w:tcPr>
          <w:p>
            <w:pPr>
              <w:jc w:val="center"/>
            </w:pPr>
            <w:r>
              <w:rPr>
                <w:sz w:val="18"/>
              </w:rPr>
              <w:t>−0.017 (n.s.)</w:t>
            </w:r>
          </w:p>
        </w:tc>
      </w:tr>
    </w:tbl>
    <w:p/>
    <w:p>
      <w:pPr>
        <w:pStyle w:val="Heading2"/>
      </w:pPr>
      <w:r>
        <w:t>Misfit Profiling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Characteristic</w:t>
            </w:r>
          </w:p>
        </w:tc>
        <w:tc>
          <w:tcPr>
            <w:tcW w:type="dxa" w:w="2160"/>
          </w:tcPr>
          <w:p>
            <w:pPr>
              <w:jc w:val="center"/>
            </w:pPr>
            <w:r>
              <w:rPr>
                <w:b/>
                <w:sz w:val="18"/>
              </w:rPr>
              <w:t>Misfits</w:t>
            </w:r>
          </w:p>
        </w:tc>
        <w:tc>
          <w:tcPr>
            <w:tcW w:type="dxa" w:w="2160"/>
          </w:tcPr>
          <w:p>
            <w:pPr>
              <w:jc w:val="center"/>
            </w:pPr>
            <w:r>
              <w:rPr>
                <w:b/>
                <w:sz w:val="18"/>
              </w:rPr>
              <w:t>Non-Misfits</w:t>
            </w:r>
          </w:p>
        </w:tc>
        <w:tc>
          <w:tcPr>
            <w:tcW w:type="dxa" w:w="2160"/>
          </w:tcPr>
          <w:p>
            <w:pPr>
              <w:jc w:val="center"/>
            </w:pPr>
            <w:r>
              <w:rPr>
                <w:b/>
                <w:sz w:val="18"/>
              </w:rPr>
              <w:t>p-value</w:t>
            </w:r>
          </w:p>
        </w:tc>
      </w:tr>
      <w:tr>
        <w:tc>
          <w:tcPr>
            <w:tcW w:type="dxa" w:w="2160"/>
          </w:tcPr>
          <w:p>
            <w:pPr>
              <w:jc w:val="center"/>
            </w:pPr>
            <w:r>
              <w:rPr>
                <w:sz w:val="18"/>
              </w:rPr>
              <w:t>Racial diversity</w:t>
            </w:r>
          </w:p>
        </w:tc>
        <w:tc>
          <w:tcPr>
            <w:tcW w:type="dxa" w:w="2160"/>
          </w:tcPr>
          <w:p>
            <w:pPr>
              <w:jc w:val="center"/>
            </w:pPr>
            <w:r>
              <w:rPr>
                <w:sz w:val="18"/>
              </w:rPr>
              <w:t>0.567</w:t>
            </w:r>
          </w:p>
        </w:tc>
        <w:tc>
          <w:tcPr>
            <w:tcW w:type="dxa" w:w="2160"/>
          </w:tcPr>
          <w:p>
            <w:pPr>
              <w:jc w:val="center"/>
            </w:pPr>
            <w:r>
              <w:rPr>
                <w:sz w:val="18"/>
              </w:rPr>
              <w:t>0.419</w:t>
            </w:r>
          </w:p>
        </w:tc>
        <w:tc>
          <w:tcPr>
            <w:tcW w:type="dxa" w:w="2160"/>
          </w:tcPr>
          <w:p>
            <w:pPr>
              <w:jc w:val="center"/>
            </w:pPr>
            <w:r>
              <w:rPr>
                <w:sz w:val="18"/>
              </w:rPr>
              <w:t>&lt; 0.0001</w:t>
            </w:r>
          </w:p>
        </w:tc>
      </w:tr>
      <w:tr>
        <w:tc>
          <w:tcPr>
            <w:tcW w:type="dxa" w:w="2160"/>
          </w:tcPr>
          <w:p>
            <w:pPr>
              <w:jc w:val="center"/>
            </w:pPr>
            <w:r>
              <w:rPr>
                <w:sz w:val="18"/>
              </w:rPr>
              <w:t>Bachelor's+</w:t>
            </w:r>
          </w:p>
        </w:tc>
        <w:tc>
          <w:tcPr>
            <w:tcW w:type="dxa" w:w="2160"/>
          </w:tcPr>
          <w:p>
            <w:pPr>
              <w:jc w:val="center"/>
            </w:pPr>
            <w:r>
              <w:rPr>
                <w:sz w:val="18"/>
              </w:rPr>
              <w:t>30.9%</w:t>
            </w:r>
          </w:p>
        </w:tc>
        <w:tc>
          <w:tcPr>
            <w:tcW w:type="dxa" w:w="2160"/>
          </w:tcPr>
          <w:p>
            <w:pPr>
              <w:jc w:val="center"/>
            </w:pPr>
            <w:r>
              <w:rPr>
                <w:sz w:val="18"/>
              </w:rPr>
              <w:t>24.7%</w:t>
            </w:r>
          </w:p>
        </w:tc>
        <w:tc>
          <w:tcPr>
            <w:tcW w:type="dxa" w:w="2160"/>
          </w:tcPr>
          <w:p>
            <w:pPr>
              <w:jc w:val="center"/>
            </w:pPr>
            <w:r>
              <w:rPr>
                <w:sz w:val="18"/>
              </w:rPr>
              <w:t>&lt; 0.0001</w:t>
            </w:r>
          </w:p>
        </w:tc>
      </w:tr>
      <w:tr>
        <w:tc>
          <w:tcPr>
            <w:tcW w:type="dxa" w:w="2160"/>
          </w:tcPr>
          <w:p>
            <w:pPr>
              <w:jc w:val="center"/>
            </w:pPr>
            <w:r>
              <w:rPr>
                <w:sz w:val="18"/>
              </w:rPr>
              <w:t>Homeownership</w:t>
            </w:r>
          </w:p>
        </w:tc>
        <w:tc>
          <w:tcPr>
            <w:tcW w:type="dxa" w:w="2160"/>
          </w:tcPr>
          <w:p>
            <w:pPr>
              <w:jc w:val="center"/>
            </w:pPr>
            <w:r>
              <w:rPr>
                <w:sz w:val="18"/>
              </w:rPr>
              <w:t>71.1%</w:t>
            </w:r>
          </w:p>
        </w:tc>
        <w:tc>
          <w:tcPr>
            <w:tcW w:type="dxa" w:w="2160"/>
          </w:tcPr>
          <w:p>
            <w:pPr>
              <w:jc w:val="center"/>
            </w:pPr>
            <w:r>
              <w:rPr>
                <w:sz w:val="18"/>
              </w:rPr>
              <w:t>76.3%</w:t>
            </w:r>
          </w:p>
        </w:tc>
        <w:tc>
          <w:tcPr>
            <w:tcW w:type="dxa" w:w="2160"/>
          </w:tcPr>
          <w:p>
            <w:pPr>
              <w:jc w:val="center"/>
            </w:pPr>
            <w:r>
              <w:rPr>
                <w:sz w:val="18"/>
              </w:rPr>
              <w:t>&lt; 0.0001</w:t>
            </w:r>
          </w:p>
        </w:tc>
      </w:tr>
      <w:tr>
        <w:tc>
          <w:tcPr>
            <w:tcW w:type="dxa" w:w="2160"/>
          </w:tcPr>
          <w:p>
            <w:pPr>
              <w:jc w:val="center"/>
            </w:pPr>
            <w:r>
              <w:rPr>
                <w:sz w:val="18"/>
              </w:rPr>
              <w:t>Median rent</w:t>
            </w:r>
          </w:p>
        </w:tc>
        <w:tc>
          <w:tcPr>
            <w:tcW w:type="dxa" w:w="2160"/>
          </w:tcPr>
          <w:p>
            <w:pPr>
              <w:jc w:val="center"/>
            </w:pPr>
            <w:r>
              <w:rPr>
                <w:sz w:val="18"/>
              </w:rPr>
              <w:t>$1,056</w:t>
            </w:r>
          </w:p>
        </w:tc>
        <w:tc>
          <w:tcPr>
            <w:tcW w:type="dxa" w:w="2160"/>
          </w:tcPr>
          <w:p>
            <w:pPr>
              <w:jc w:val="center"/>
            </w:pPr>
            <w:r>
              <w:rPr>
                <w:sz w:val="18"/>
              </w:rPr>
              <w:t>$932</w:t>
            </w:r>
          </w:p>
        </w:tc>
        <w:tc>
          <w:tcPr>
            <w:tcW w:type="dxa" w:w="2160"/>
          </w:tcPr>
          <w:p>
            <w:pPr>
              <w:jc w:val="center"/>
            </w:pPr>
            <w:r>
              <w:rPr>
                <w:sz w:val="18"/>
              </w:rPr>
              <w:t>&lt; 0.0001</w:t>
            </w:r>
          </w:p>
        </w:tc>
      </w:tr>
      <w:tr>
        <w:tc>
          <w:tcPr>
            <w:tcW w:type="dxa" w:w="2160"/>
          </w:tcPr>
          <w:p>
            <w:pPr>
              <w:jc w:val="center"/>
            </w:pPr>
            <w:r>
              <w:rPr>
                <w:sz w:val="18"/>
              </w:rPr>
              <w:t>Median age</w:t>
            </w:r>
          </w:p>
        </w:tc>
        <w:tc>
          <w:tcPr>
            <w:tcW w:type="dxa" w:w="2160"/>
          </w:tcPr>
          <w:p>
            <w:pPr>
              <w:jc w:val="center"/>
            </w:pPr>
            <w:r>
              <w:rPr>
                <w:sz w:val="18"/>
              </w:rPr>
              <w:t>42.5</w:t>
            </w:r>
          </w:p>
        </w:tc>
        <w:tc>
          <w:tcPr>
            <w:tcW w:type="dxa" w:w="2160"/>
          </w:tcPr>
          <w:p>
            <w:pPr>
              <w:jc w:val="center"/>
            </w:pPr>
            <w:r>
              <w:rPr>
                <w:sz w:val="18"/>
              </w:rPr>
              <w:t>44.5</w:t>
            </w:r>
          </w:p>
        </w:tc>
        <w:tc>
          <w:tcPr>
            <w:tcW w:type="dxa" w:w="2160"/>
          </w:tcPr>
          <w:p>
            <w:pPr>
              <w:jc w:val="center"/>
            </w:pPr>
            <w:r>
              <w:rPr>
                <w:sz w:val="18"/>
              </w:rPr>
              <w:t>0.003</w:t>
            </w:r>
          </w:p>
        </w:tc>
      </w:tr>
    </w:tbl>
    <w:p/>
    <w:p>
      <w:r>
        <w:t>Misfits are younger, more diverse, more educated, higher-rent, and less rooted — communities "in flux."</w:t>
      </w:r>
    </w:p>
    <w:p>
      <w:pPr>
        <w:pStyle w:val="Heading2"/>
      </w:pPr>
      <w:r>
        <w:t>Two Types of Misfits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Type</w:t>
            </w:r>
          </w:p>
        </w:tc>
        <w:tc>
          <w:tcPr>
            <w:tcW w:type="dxa" w:w="2160"/>
          </w:tcPr>
          <w:p>
            <w:pPr>
              <w:jc w:val="center"/>
            </w:pPr>
            <w:r>
              <w:rPr>
                <w:b/>
                <w:sz w:val="18"/>
              </w:rPr>
              <w:t>Count</w:t>
            </w:r>
          </w:p>
        </w:tc>
        <w:tc>
          <w:tcPr>
            <w:tcW w:type="dxa" w:w="2160"/>
          </w:tcPr>
          <w:p>
            <w:pPr>
              <w:jc w:val="center"/>
            </w:pPr>
            <w:r>
              <w:rPr>
                <w:b/>
                <w:sz w:val="18"/>
              </w:rPr>
              <w:t>Avg Volatility</w:t>
            </w:r>
          </w:p>
        </w:tc>
        <w:tc>
          <w:tcPr>
            <w:tcW w:type="dxa" w:w="2160"/>
          </w:tcPr>
          <w:p>
            <w:pPr>
              <w:jc w:val="center"/>
            </w:pPr>
            <w:r>
              <w:rPr>
                <w:b/>
                <w:sz w:val="18"/>
              </w:rPr>
              <w:t>Where</w:t>
            </w:r>
          </w:p>
        </w:tc>
      </w:tr>
      <w:tr>
        <w:tc>
          <w:tcPr>
            <w:tcW w:type="dxa" w:w="2160"/>
          </w:tcPr>
          <w:p>
            <w:pPr>
              <w:jc w:val="center"/>
            </w:pPr>
            <w:r>
              <w:rPr>
                <w:sz w:val="18"/>
              </w:rPr>
              <w:t>"Surprise Dem"</w:t>
            </w:r>
          </w:p>
        </w:tc>
        <w:tc>
          <w:tcPr>
            <w:tcW w:type="dxa" w:w="2160"/>
          </w:tcPr>
          <w:p>
            <w:pPr>
              <w:jc w:val="center"/>
            </w:pPr>
            <w:r>
              <w:rPr>
                <w:sz w:val="18"/>
              </w:rPr>
              <w:t>8/30</w:t>
            </w:r>
          </w:p>
        </w:tc>
        <w:tc>
          <w:tcPr>
            <w:tcW w:type="dxa" w:w="2160"/>
          </w:tcPr>
          <w:p>
            <w:pPr>
              <w:jc w:val="center"/>
            </w:pPr>
            <w:r>
              <w:rPr>
                <w:sz w:val="18"/>
              </w:rPr>
              <w:t>0.807 (very high)</w:t>
            </w:r>
          </w:p>
        </w:tc>
        <w:tc>
          <w:tcPr>
            <w:tcW w:type="dxa" w:w="2160"/>
          </w:tcPr>
          <w:p>
            <w:pPr>
              <w:jc w:val="center"/>
            </w:pPr>
            <w:r>
              <w:rPr>
                <w:sz w:val="18"/>
              </w:rPr>
              <w:t>MI university/resort, PA Scranton</w:t>
            </w:r>
          </w:p>
        </w:tc>
      </w:tr>
      <w:tr>
        <w:tc>
          <w:tcPr>
            <w:tcW w:type="dxa" w:w="2160"/>
          </w:tcPr>
          <w:p>
            <w:pPr>
              <w:jc w:val="center"/>
            </w:pPr>
            <w:r>
              <w:rPr>
                <w:sz w:val="18"/>
              </w:rPr>
              <w:t>"Surprise Rep"</w:t>
            </w:r>
          </w:p>
        </w:tc>
        <w:tc>
          <w:tcPr>
            <w:tcW w:type="dxa" w:w="2160"/>
          </w:tcPr>
          <w:p>
            <w:pPr>
              <w:jc w:val="center"/>
            </w:pPr>
            <w:r>
              <w:rPr>
                <w:sz w:val="18"/>
              </w:rPr>
              <w:t>22/30</w:t>
            </w:r>
          </w:p>
        </w:tc>
        <w:tc>
          <w:tcPr>
            <w:tcW w:type="dxa" w:w="2160"/>
          </w:tcPr>
          <w:p>
            <w:pPr>
              <w:jc w:val="center"/>
            </w:pPr>
            <w:r>
              <w:rPr>
                <w:sz w:val="18"/>
              </w:rPr>
              <w:t>0.383 (moderate)</w:t>
            </w:r>
          </w:p>
        </w:tc>
        <w:tc>
          <w:tcPr>
            <w:tcW w:type="dxa" w:w="2160"/>
          </w:tcPr>
          <w:p>
            <w:pPr>
              <w:jc w:val="center"/>
            </w:pPr>
            <w:r>
              <w:rPr>
                <w:sz w:val="18"/>
              </w:rPr>
              <w:t>NC rural South</w:t>
            </w:r>
          </w:p>
        </w:tc>
      </w:tr>
    </w:tbl>
    <w:p/>
    <w:p>
      <w:r>
        <w:t>"Surprise Dem" misfits are 2× more volatile — university/resort towns voting against their rural demographics are the most unstable counties.</w:t>
      </w:r>
    </w:p>
    <w:p>
      <w:pPr>
        <w:jc w:val="center"/>
      </w:pPr>
      <w:r>
        <w:drawing>
          <wp:inline xmlns:a="http://schemas.openxmlformats.org/drawingml/2006/main" xmlns:pic="http://schemas.openxmlformats.org/drawingml/2006/picture">
            <wp:extent cx="5303520" cy="1869586"/>
            <wp:docPr id="7" name="Picture 7"/>
            <wp:cNvGraphicFramePr>
              <a:graphicFrameLocks noChangeAspect="1"/>
            </wp:cNvGraphicFramePr>
            <a:graphic>
              <a:graphicData uri="http://schemas.openxmlformats.org/drawingml/2006/picture">
                <pic:pic>
                  <pic:nvPicPr>
                    <pic:cNvPr id="0" name="deepdive_misfit_by_volatility.png"/>
                    <pic:cNvPicPr/>
                  </pic:nvPicPr>
                  <pic:blipFill>
                    <a:blip r:embed="rId15"/>
                    <a:stretch>
                      <a:fillRect/>
                    </a:stretch>
                  </pic:blipFill>
                  <pic:spPr>
                    <a:xfrm>
                      <a:off x="0" y="0"/>
                      <a:ext cx="5303520" cy="1869586"/>
                    </a:xfrm>
                    <a:prstGeom prst="rect"/>
                  </pic:spPr>
                </pic:pic>
              </a:graphicData>
            </a:graphic>
          </wp:inline>
        </w:drawing>
      </w:r>
    </w:p>
    <w:p>
      <w:pPr>
        <w:jc w:val="center"/>
      </w:pPr>
      <w:r>
        <w:rPr>
          <w:i/>
          <w:color w:val="555555"/>
          <w:sz w:val="18"/>
        </w:rPr>
        <w:t>Figure 7: Misfit proportion rises from 6% (Very Stable) to 34% (Highly Volatile). Kruskal-Wallis p &lt; 0.000001.</w:t>
      </w:r>
    </w:p>
    <w:p>
      <w:pPr>
        <w:spacing w:before="120" w:after="120"/>
      </w:pPr>
      <w:r>
        <w:rPr>
          <w:b/>
          <w:color w:val="1A3C6E"/>
          <w:sz w:val="20"/>
        </w:rPr>
        <w:t xml:space="preserve">▶ Takeaway: </w:t>
      </w:r>
      <w:r>
        <w:rPr>
          <w:sz w:val="20"/>
        </w:rPr>
        <w:t>Counties that defy demographic expectations are significantly more volatile (ρ=0.408). Misfits are younger, diverse, educated, transient — communities in transition. "Surprise Dem" misfits are the most volatile of all.</w:t>
      </w:r>
    </w:p>
    <w:p>
      <w:r>
        <w:br w:type="page"/>
      </w:r>
    </w:p>
    <w:p>
      <w:pPr>
        <w:pStyle w:val="Heading1"/>
      </w:pPr>
      <w:r>
        <w:t>6. Binary Classification — High vs Low Volatility</w:t>
      </w:r>
    </w:p>
    <w:p>
      <w:r>
        <w:t>The 5-class task (F1~0.39) is limited by middle-class overlap. Collapsing to binary — High (Q4+Q5) vs Low (Q1–Q3) — answers the actionable question: "Will this county swing significantly?"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Model</w:t>
            </w:r>
          </w:p>
        </w:tc>
        <w:tc>
          <w:tcPr>
            <w:tcW w:type="dxa" w:w="1440"/>
          </w:tcPr>
          <w:p>
            <w:pPr>
              <w:jc w:val="center"/>
            </w:pPr>
            <w:r>
              <w:rPr>
                <w:b/>
                <w:sz w:val="18"/>
              </w:rPr>
              <w:t>Accuracy</w:t>
            </w:r>
          </w:p>
        </w:tc>
        <w:tc>
          <w:tcPr>
            <w:tcW w:type="dxa" w:w="1440"/>
          </w:tcPr>
          <w:p>
            <w:pPr>
              <w:jc w:val="center"/>
            </w:pPr>
            <w:r>
              <w:rPr>
                <w:b/>
                <w:sz w:val="18"/>
              </w:rPr>
              <w:t>F1</w:t>
            </w:r>
          </w:p>
        </w:tc>
        <w:tc>
          <w:tcPr>
            <w:tcW w:type="dxa" w:w="1440"/>
          </w:tcPr>
          <w:p>
            <w:pPr>
              <w:jc w:val="center"/>
            </w:pPr>
            <w:r>
              <w:rPr>
                <w:b/>
                <w:sz w:val="18"/>
              </w:rPr>
              <w:t>Precision</w:t>
            </w:r>
          </w:p>
        </w:tc>
        <w:tc>
          <w:tcPr>
            <w:tcW w:type="dxa" w:w="1440"/>
          </w:tcPr>
          <w:p>
            <w:pPr>
              <w:jc w:val="center"/>
            </w:pPr>
            <w:r>
              <w:rPr>
                <w:b/>
                <w:sz w:val="18"/>
              </w:rPr>
              <w:t>Recall</w:t>
            </w:r>
          </w:p>
        </w:tc>
        <w:tc>
          <w:tcPr>
            <w:tcW w:type="dxa" w:w="1440"/>
          </w:tcPr>
          <w:p>
            <w:pPr>
              <w:jc w:val="center"/>
            </w:pPr>
            <w:r>
              <w:rPr>
                <w:b/>
                <w:sz w:val="18"/>
              </w:rPr>
              <w:t>AUC</w:t>
            </w:r>
          </w:p>
        </w:tc>
      </w:tr>
      <w:tr>
        <w:tc>
          <w:tcPr>
            <w:tcW w:type="dxa" w:w="1440"/>
          </w:tcPr>
          <w:p>
            <w:pPr>
              <w:jc w:val="center"/>
            </w:pPr>
            <w:r>
              <w:rPr>
                <w:sz w:val="18"/>
              </w:rPr>
              <w:t>Random Forest</w:t>
            </w:r>
          </w:p>
        </w:tc>
        <w:tc>
          <w:tcPr>
            <w:tcW w:type="dxa" w:w="1440"/>
          </w:tcPr>
          <w:p>
            <w:pPr>
              <w:jc w:val="center"/>
            </w:pPr>
            <w:r>
              <w:rPr>
                <w:sz w:val="18"/>
              </w:rPr>
              <w:t>0.780</w:t>
            </w:r>
          </w:p>
        </w:tc>
        <w:tc>
          <w:tcPr>
            <w:tcW w:type="dxa" w:w="1440"/>
          </w:tcPr>
          <w:p>
            <w:pPr>
              <w:jc w:val="center"/>
            </w:pPr>
            <w:r>
              <w:rPr>
                <w:sz w:val="18"/>
              </w:rPr>
              <w:t>0.718</w:t>
            </w:r>
          </w:p>
        </w:tc>
        <w:tc>
          <w:tcPr>
            <w:tcW w:type="dxa" w:w="1440"/>
          </w:tcPr>
          <w:p>
            <w:pPr>
              <w:jc w:val="center"/>
            </w:pPr>
            <w:r>
              <w:rPr>
                <w:sz w:val="18"/>
              </w:rPr>
              <w:t>0.726</w:t>
            </w:r>
          </w:p>
        </w:tc>
        <w:tc>
          <w:tcPr>
            <w:tcW w:type="dxa" w:w="1440"/>
          </w:tcPr>
          <w:p>
            <w:pPr>
              <w:jc w:val="center"/>
            </w:pPr>
            <w:r>
              <w:rPr>
                <w:sz w:val="18"/>
              </w:rPr>
              <w:t>0.690</w:t>
            </w:r>
          </w:p>
        </w:tc>
        <w:tc>
          <w:tcPr>
            <w:tcW w:type="dxa" w:w="1440"/>
          </w:tcPr>
          <w:p>
            <w:pPr>
              <w:jc w:val="center"/>
            </w:pPr>
            <w:r>
              <w:rPr>
                <w:sz w:val="18"/>
              </w:rPr>
              <w:t>0.828</w:t>
            </w:r>
          </w:p>
        </w:tc>
      </w:tr>
      <w:tr>
        <w:tc>
          <w:tcPr>
            <w:tcW w:type="dxa" w:w="1440"/>
          </w:tcPr>
          <w:p>
            <w:pPr>
              <w:jc w:val="center"/>
            </w:pPr>
            <w:r>
              <w:rPr>
                <w:sz w:val="18"/>
              </w:rPr>
              <w:t>XGBoost</w:t>
            </w:r>
          </w:p>
        </w:tc>
        <w:tc>
          <w:tcPr>
            <w:tcW w:type="dxa" w:w="1440"/>
          </w:tcPr>
          <w:p>
            <w:pPr>
              <w:jc w:val="center"/>
            </w:pPr>
            <w:r>
              <w:rPr>
                <w:sz w:val="18"/>
              </w:rPr>
              <w:t>0.748</w:t>
            </w:r>
          </w:p>
        </w:tc>
        <w:tc>
          <w:tcPr>
            <w:tcW w:type="dxa" w:w="1440"/>
          </w:tcPr>
          <w:p>
            <w:pPr>
              <w:jc w:val="center"/>
            </w:pPr>
            <w:r>
              <w:rPr>
                <w:sz w:val="18"/>
              </w:rPr>
              <w:t>0.667</w:t>
            </w:r>
          </w:p>
        </w:tc>
        <w:tc>
          <w:tcPr>
            <w:tcW w:type="dxa" w:w="1440"/>
          </w:tcPr>
          <w:p>
            <w:pPr>
              <w:jc w:val="center"/>
            </w:pPr>
            <w:r>
              <w:rPr>
                <w:sz w:val="18"/>
              </w:rPr>
              <w:t>0.718</w:t>
            </w:r>
          </w:p>
        </w:tc>
        <w:tc>
          <w:tcPr>
            <w:tcW w:type="dxa" w:w="1440"/>
          </w:tcPr>
          <w:p>
            <w:pPr>
              <w:jc w:val="center"/>
            </w:pPr>
            <w:r>
              <w:rPr>
                <w:sz w:val="18"/>
              </w:rPr>
              <w:t>0.610</w:t>
            </w:r>
          </w:p>
        </w:tc>
        <w:tc>
          <w:tcPr>
            <w:tcW w:type="dxa" w:w="1440"/>
          </w:tcPr>
          <w:p>
            <w:pPr>
              <w:jc w:val="center"/>
            </w:pPr>
            <w:r>
              <w:rPr>
                <w:sz w:val="18"/>
              </w:rPr>
              <w:t>0.803</w:t>
            </w:r>
          </w:p>
        </w:tc>
      </w:tr>
      <w:tr>
        <w:tc>
          <w:tcPr>
            <w:tcW w:type="dxa" w:w="1440"/>
          </w:tcPr>
          <w:p>
            <w:pPr>
              <w:jc w:val="center"/>
            </w:pPr>
            <w:r>
              <w:rPr>
                <w:sz w:val="18"/>
              </w:rPr>
              <w:t>SVM (RBF)</w:t>
            </w:r>
          </w:p>
        </w:tc>
        <w:tc>
          <w:tcPr>
            <w:tcW w:type="dxa" w:w="1440"/>
          </w:tcPr>
          <w:p>
            <w:pPr>
              <w:jc w:val="center"/>
            </w:pPr>
            <w:r>
              <w:rPr>
                <w:sz w:val="18"/>
              </w:rPr>
              <w:t>0.760</w:t>
            </w:r>
          </w:p>
        </w:tc>
        <w:tc>
          <w:tcPr>
            <w:tcW w:type="dxa" w:w="1440"/>
          </w:tcPr>
          <w:p>
            <w:pPr>
              <w:jc w:val="center"/>
            </w:pPr>
            <w:r>
              <w:rPr>
                <w:sz w:val="18"/>
              </w:rPr>
              <w:t>0.674</w:t>
            </w:r>
          </w:p>
        </w:tc>
        <w:tc>
          <w:tcPr>
            <w:tcW w:type="dxa" w:w="1440"/>
          </w:tcPr>
          <w:p>
            <w:pPr>
              <w:jc w:val="center"/>
            </w:pPr>
            <w:r>
              <w:rPr>
                <w:sz w:val="18"/>
              </w:rPr>
              <w:t>0.724</w:t>
            </w:r>
          </w:p>
        </w:tc>
        <w:tc>
          <w:tcPr>
            <w:tcW w:type="dxa" w:w="1440"/>
          </w:tcPr>
          <w:p>
            <w:pPr>
              <w:jc w:val="center"/>
            </w:pPr>
            <w:r>
              <w:rPr>
                <w:sz w:val="18"/>
              </w:rPr>
              <w:t>0.630</w:t>
            </w:r>
          </w:p>
        </w:tc>
        <w:tc>
          <w:tcPr>
            <w:tcW w:type="dxa" w:w="1440"/>
          </w:tcPr>
          <w:p>
            <w:pPr>
              <w:jc w:val="center"/>
            </w:pPr>
            <w:r>
              <w:rPr>
                <w:sz w:val="18"/>
              </w:rPr>
              <w:t>0.789</w:t>
            </w:r>
          </w:p>
        </w:tc>
      </w:tr>
      <w:tr>
        <w:tc>
          <w:tcPr>
            <w:tcW w:type="dxa" w:w="1440"/>
          </w:tcPr>
          <w:p>
            <w:pPr>
              <w:jc w:val="center"/>
            </w:pPr>
            <w:r>
              <w:rPr>
                <w:sz w:val="18"/>
              </w:rPr>
              <w:t>Logistic Regression</w:t>
            </w:r>
          </w:p>
        </w:tc>
        <w:tc>
          <w:tcPr>
            <w:tcW w:type="dxa" w:w="1440"/>
          </w:tcPr>
          <w:p>
            <w:pPr>
              <w:jc w:val="center"/>
            </w:pPr>
            <w:r>
              <w:rPr>
                <w:sz w:val="18"/>
              </w:rPr>
              <w:t>0.680</w:t>
            </w:r>
          </w:p>
        </w:tc>
        <w:tc>
          <w:tcPr>
            <w:tcW w:type="dxa" w:w="1440"/>
          </w:tcPr>
          <w:p>
            <w:pPr>
              <w:jc w:val="center"/>
            </w:pPr>
            <w:r>
              <w:rPr>
                <w:sz w:val="18"/>
              </w:rPr>
              <w:t>0.604</w:t>
            </w:r>
          </w:p>
        </w:tc>
        <w:tc>
          <w:tcPr>
            <w:tcW w:type="dxa" w:w="1440"/>
          </w:tcPr>
          <w:p>
            <w:pPr>
              <w:jc w:val="center"/>
            </w:pPr>
            <w:r>
              <w:rPr>
                <w:sz w:val="18"/>
              </w:rPr>
              <w:t>0.598</w:t>
            </w:r>
          </w:p>
        </w:tc>
        <w:tc>
          <w:tcPr>
            <w:tcW w:type="dxa" w:w="1440"/>
          </w:tcPr>
          <w:p>
            <w:pPr>
              <w:jc w:val="center"/>
            </w:pPr>
            <w:r>
              <w:rPr>
                <w:sz w:val="18"/>
              </w:rPr>
              <w:t>0.610</w:t>
            </w:r>
          </w:p>
        </w:tc>
        <w:tc>
          <w:tcPr>
            <w:tcW w:type="dxa" w:w="1440"/>
          </w:tcPr>
          <w:p>
            <w:pPr>
              <w:jc w:val="center"/>
            </w:pPr>
            <w:r>
              <w:rPr>
                <w:sz w:val="18"/>
              </w:rPr>
              <w:t>0.745</w:t>
            </w:r>
          </w:p>
        </w:tc>
      </w:tr>
      <w:tr>
        <w:tc>
          <w:tcPr>
            <w:tcW w:type="dxa" w:w="1440"/>
          </w:tcPr>
          <w:p>
            <w:pPr>
              <w:jc w:val="center"/>
            </w:pPr>
            <w:r>
              <w:rPr>
                <w:sz w:val="18"/>
              </w:rPr>
              <w:t>SVM (Linear)</w:t>
            </w:r>
          </w:p>
        </w:tc>
        <w:tc>
          <w:tcPr>
            <w:tcW w:type="dxa" w:w="1440"/>
          </w:tcPr>
          <w:p>
            <w:pPr>
              <w:jc w:val="center"/>
            </w:pPr>
            <w:r>
              <w:rPr>
                <w:sz w:val="18"/>
              </w:rPr>
              <w:t>0.688</w:t>
            </w:r>
          </w:p>
        </w:tc>
        <w:tc>
          <w:tcPr>
            <w:tcW w:type="dxa" w:w="1440"/>
          </w:tcPr>
          <w:p>
            <w:pPr>
              <w:jc w:val="center"/>
            </w:pPr>
            <w:r>
              <w:rPr>
                <w:sz w:val="18"/>
              </w:rPr>
              <w:t>0.610</w:t>
            </w:r>
          </w:p>
        </w:tc>
        <w:tc>
          <w:tcPr>
            <w:tcW w:type="dxa" w:w="1440"/>
          </w:tcPr>
          <w:p>
            <w:pPr>
              <w:jc w:val="center"/>
            </w:pPr>
            <w:r>
              <w:rPr>
                <w:sz w:val="18"/>
              </w:rPr>
              <w:t>0.610</w:t>
            </w:r>
          </w:p>
        </w:tc>
        <w:tc>
          <w:tcPr>
            <w:tcW w:type="dxa" w:w="1440"/>
          </w:tcPr>
          <w:p>
            <w:pPr>
              <w:jc w:val="center"/>
            </w:pPr>
            <w:r>
              <w:rPr>
                <w:sz w:val="18"/>
              </w:rPr>
              <w:t>0.610</w:t>
            </w:r>
          </w:p>
        </w:tc>
        <w:tc>
          <w:tcPr>
            <w:tcW w:type="dxa" w:w="1440"/>
          </w:tcPr>
          <w:p>
            <w:pPr>
              <w:jc w:val="center"/>
            </w:pPr>
            <w:r>
              <w:rPr>
                <w:sz w:val="18"/>
              </w:rPr>
              <w:t>0.734</w:t>
            </w:r>
          </w:p>
        </w:tc>
      </w:tr>
    </w:tbl>
    <w:p/>
    <w:p>
      <w:pPr>
        <w:pStyle w:val="Heading2"/>
      </w:pPr>
      <w:r>
        <w:t>5-Class → Binary Improvement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5-Class Best</w:t>
            </w:r>
          </w:p>
        </w:tc>
        <w:tc>
          <w:tcPr>
            <w:tcW w:type="dxa" w:w="2160"/>
          </w:tcPr>
          <w:p>
            <w:pPr>
              <w:jc w:val="center"/>
            </w:pPr>
            <w:r>
              <w:rPr>
                <w:b/>
                <w:sz w:val="18"/>
              </w:rPr>
              <w:t>Binary Best</w:t>
            </w:r>
          </w:p>
        </w:tc>
        <w:tc>
          <w:tcPr>
            <w:tcW w:type="dxa" w:w="2160"/>
          </w:tcPr>
          <w:p>
            <w:pPr>
              <w:jc w:val="center"/>
            </w:pPr>
            <w:r>
              <w:rPr>
                <w:b/>
                <w:sz w:val="18"/>
              </w:rPr>
              <w:t>Improvement</w:t>
            </w:r>
          </w:p>
        </w:tc>
      </w:tr>
      <w:tr>
        <w:tc>
          <w:tcPr>
            <w:tcW w:type="dxa" w:w="2160"/>
          </w:tcPr>
          <w:p>
            <w:pPr>
              <w:jc w:val="center"/>
            </w:pPr>
            <w:r>
              <w:rPr>
                <w:sz w:val="18"/>
              </w:rPr>
              <w:t>F1</w:t>
            </w:r>
          </w:p>
        </w:tc>
        <w:tc>
          <w:tcPr>
            <w:tcW w:type="dxa" w:w="2160"/>
          </w:tcPr>
          <w:p>
            <w:pPr>
              <w:jc w:val="center"/>
            </w:pPr>
            <w:r>
              <w:rPr>
                <w:sz w:val="18"/>
              </w:rPr>
              <w:t>0.387 (XGBoost)</w:t>
            </w:r>
          </w:p>
        </w:tc>
        <w:tc>
          <w:tcPr>
            <w:tcW w:type="dxa" w:w="2160"/>
          </w:tcPr>
          <w:p>
            <w:pPr>
              <w:jc w:val="center"/>
            </w:pPr>
            <w:r>
              <w:rPr>
                <w:sz w:val="18"/>
              </w:rPr>
              <w:t>0.718 (RF)</w:t>
            </w:r>
          </w:p>
        </w:tc>
        <w:tc>
          <w:tcPr>
            <w:tcW w:type="dxa" w:w="2160"/>
          </w:tcPr>
          <w:p>
            <w:pPr>
              <w:jc w:val="center"/>
            </w:pPr>
            <w:r>
              <w:rPr>
                <w:sz w:val="18"/>
              </w:rPr>
              <w:t>+85%</w:t>
            </w:r>
          </w:p>
        </w:tc>
      </w:tr>
      <w:tr>
        <w:tc>
          <w:tcPr>
            <w:tcW w:type="dxa" w:w="2160"/>
          </w:tcPr>
          <w:p>
            <w:pPr>
              <w:jc w:val="center"/>
            </w:pPr>
            <w:r>
              <w:rPr>
                <w:sz w:val="18"/>
              </w:rPr>
              <w:t>AUC</w:t>
            </w:r>
          </w:p>
        </w:tc>
        <w:tc>
          <w:tcPr>
            <w:tcW w:type="dxa" w:w="2160"/>
          </w:tcPr>
          <w:p>
            <w:pPr>
              <w:jc w:val="center"/>
            </w:pPr>
            <w:r>
              <w:rPr>
                <w:sz w:val="18"/>
              </w:rPr>
              <w:t>0.803 (RF)</w:t>
            </w:r>
          </w:p>
        </w:tc>
        <w:tc>
          <w:tcPr>
            <w:tcW w:type="dxa" w:w="2160"/>
          </w:tcPr>
          <w:p>
            <w:pPr>
              <w:jc w:val="center"/>
            </w:pPr>
            <w:r>
              <w:rPr>
                <w:sz w:val="18"/>
              </w:rPr>
              <w:t>0.828 (RF)</w:t>
            </w:r>
          </w:p>
        </w:tc>
        <w:tc>
          <w:tcPr>
            <w:tcW w:type="dxa" w:w="2160"/>
          </w:tcPr>
          <w:p>
            <w:pPr>
              <w:jc w:val="center"/>
            </w:pPr>
            <w:r>
              <w:rPr>
                <w:sz w:val="18"/>
              </w:rPr>
              <w:t>+3%</w:t>
            </w:r>
          </w:p>
        </w:tc>
      </w:tr>
    </w:tbl>
    <w:p/>
    <w:p>
      <w:r>
        <w:t>Simplifying from 5 to 2 classes nearly doubles F1. Problem framing matters more than algorithm choice.</w:t>
      </w:r>
    </w:p>
    <w:p>
      <w:pPr>
        <w:jc w:val="center"/>
      </w:pPr>
      <w:r>
        <w:drawing>
          <wp:inline xmlns:a="http://schemas.openxmlformats.org/drawingml/2006/main" xmlns:pic="http://schemas.openxmlformats.org/drawingml/2006/picture">
            <wp:extent cx="5303520" cy="4632188"/>
            <wp:docPr id="8" name="Picture 8"/>
            <wp:cNvGraphicFramePr>
              <a:graphicFrameLocks noChangeAspect="1"/>
            </wp:cNvGraphicFramePr>
            <a:graphic>
              <a:graphicData uri="http://schemas.openxmlformats.org/drawingml/2006/picture">
                <pic:pic>
                  <pic:nvPicPr>
                    <pic:cNvPr id="0" name="deepdive_binary_roc_all_models.png"/>
                    <pic:cNvPicPr/>
                  </pic:nvPicPr>
                  <pic:blipFill>
                    <a:blip r:embed="rId16"/>
                    <a:stretch>
                      <a:fillRect/>
                    </a:stretch>
                  </pic:blipFill>
                  <pic:spPr>
                    <a:xfrm>
                      <a:off x="0" y="0"/>
                      <a:ext cx="5303520" cy="4632188"/>
                    </a:xfrm>
                    <a:prstGeom prst="rect"/>
                  </pic:spPr>
                </pic:pic>
              </a:graphicData>
            </a:graphic>
          </wp:inline>
        </w:drawing>
      </w:r>
    </w:p>
    <w:p>
      <w:pPr>
        <w:jc w:val="center"/>
      </w:pPr>
      <w:r>
        <w:rPr>
          <w:i/>
          <w:color w:val="555555"/>
          <w:sz w:val="18"/>
        </w:rPr>
        <w:t>Figure 8: Binary ROC curves. RF (blue) achieves AUC = 0.828.</w:t>
      </w:r>
    </w:p>
    <w:p>
      <w:pPr>
        <w:pStyle w:val="Heading2"/>
      </w:pPr>
      <w:r>
        <w:t>Bootstrap Confidence Intervals (200 iterations × 5-fold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Model</w:t>
            </w:r>
          </w:p>
        </w:tc>
        <w:tc>
          <w:tcPr>
            <w:tcW w:type="dxa" w:w="2160"/>
          </w:tcPr>
          <w:p>
            <w:pPr>
              <w:jc w:val="center"/>
            </w:pPr>
            <w:r>
              <w:rPr>
                <w:b/>
                <w:sz w:val="18"/>
              </w:rPr>
              <w:t>F1 [95% CI]</w:t>
            </w:r>
          </w:p>
        </w:tc>
        <w:tc>
          <w:tcPr>
            <w:tcW w:type="dxa" w:w="2160"/>
          </w:tcPr>
          <w:p>
            <w:pPr>
              <w:jc w:val="center"/>
            </w:pPr>
            <w:r>
              <w:rPr>
                <w:b/>
                <w:sz w:val="18"/>
              </w:rPr>
              <w:t>AUC [95% CI]</w:t>
            </w:r>
          </w:p>
        </w:tc>
        <w:tc>
          <w:tcPr>
            <w:tcW w:type="dxa" w:w="2160"/>
          </w:tcPr>
          <w:p>
            <w:pPr>
              <w:jc w:val="center"/>
            </w:pPr>
            <w:r>
              <w:rPr>
                <w:b/>
                <w:sz w:val="18"/>
              </w:rPr>
              <w:t>Accuracy [95% CI]</w:t>
            </w:r>
          </w:p>
        </w:tc>
      </w:tr>
      <w:tr>
        <w:tc>
          <w:tcPr>
            <w:tcW w:type="dxa" w:w="2160"/>
          </w:tcPr>
          <w:p>
            <w:pPr>
              <w:jc w:val="center"/>
            </w:pPr>
            <w:r>
              <w:rPr>
                <w:sz w:val="18"/>
              </w:rPr>
              <w:t>Random Forest</w:t>
            </w:r>
          </w:p>
        </w:tc>
        <w:tc>
          <w:tcPr>
            <w:tcW w:type="dxa" w:w="2160"/>
          </w:tcPr>
          <w:p>
            <w:pPr>
              <w:jc w:val="center"/>
            </w:pPr>
            <w:r>
              <w:rPr>
                <w:sz w:val="18"/>
              </w:rPr>
              <w:t>0.818 [0.764, 0.872]</w:t>
            </w:r>
          </w:p>
        </w:tc>
        <w:tc>
          <w:tcPr>
            <w:tcW w:type="dxa" w:w="2160"/>
          </w:tcPr>
          <w:p>
            <w:pPr>
              <w:jc w:val="center"/>
            </w:pPr>
            <w:r>
              <w:rPr>
                <w:sz w:val="18"/>
              </w:rPr>
              <w:t>0.918 [0.882, 0.946]</w:t>
            </w:r>
          </w:p>
        </w:tc>
        <w:tc>
          <w:tcPr>
            <w:tcW w:type="dxa" w:w="2160"/>
          </w:tcPr>
          <w:p>
            <w:pPr>
              <w:jc w:val="center"/>
            </w:pPr>
            <w:r>
              <w:rPr>
                <w:sz w:val="18"/>
              </w:rPr>
              <w:t>0.856 [0.816, 0.900]</w:t>
            </w:r>
          </w:p>
        </w:tc>
      </w:tr>
      <w:tr>
        <w:tc>
          <w:tcPr>
            <w:tcW w:type="dxa" w:w="2160"/>
          </w:tcPr>
          <w:p>
            <w:pPr>
              <w:jc w:val="center"/>
            </w:pPr>
            <w:r>
              <w:rPr>
                <w:sz w:val="18"/>
              </w:rPr>
              <w:t>XGBoost</w:t>
            </w:r>
          </w:p>
        </w:tc>
        <w:tc>
          <w:tcPr>
            <w:tcW w:type="dxa" w:w="2160"/>
          </w:tcPr>
          <w:p>
            <w:pPr>
              <w:jc w:val="center"/>
            </w:pPr>
            <w:r>
              <w:rPr>
                <w:sz w:val="18"/>
              </w:rPr>
              <w:t>0.845 [0.789, 0.899]</w:t>
            </w:r>
          </w:p>
        </w:tc>
        <w:tc>
          <w:tcPr>
            <w:tcW w:type="dxa" w:w="2160"/>
          </w:tcPr>
          <w:p>
            <w:pPr>
              <w:jc w:val="center"/>
            </w:pPr>
            <w:r>
              <w:rPr>
                <w:sz w:val="18"/>
              </w:rPr>
              <w:t>0.932 [0.894, 0.966]</w:t>
            </w:r>
          </w:p>
        </w:tc>
        <w:tc>
          <w:tcPr>
            <w:tcW w:type="dxa" w:w="2160"/>
          </w:tcPr>
          <w:p>
            <w:pPr>
              <w:jc w:val="center"/>
            </w:pPr>
            <w:r>
              <w:rPr>
                <w:sz w:val="18"/>
              </w:rPr>
              <w:t>0.880 [0.840, 0.920]</w:t>
            </w:r>
          </w:p>
        </w:tc>
      </w:tr>
    </w:tbl>
    <w:p/>
    <w:p>
      <w:r>
        <w:t>Tight CIs confirm results are robust, not artifacts of a lucky split.</w:t>
      </w:r>
    </w:p>
    <w:p>
      <w:pPr>
        <w:pStyle w:val="Heading2"/>
      </w:pPr>
      <w:r>
        <w:t>Feature Group Ablation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Group</w:t>
            </w:r>
          </w:p>
        </w:tc>
        <w:tc>
          <w:tcPr>
            <w:tcW w:type="dxa" w:w="1728"/>
          </w:tcPr>
          <w:p>
            <w:pPr>
              <w:jc w:val="center"/>
            </w:pPr>
            <w:r>
              <w:rPr>
                <w:b/>
                <w:sz w:val="18"/>
              </w:rPr>
              <w:t>n</w:t>
            </w:r>
          </w:p>
        </w:tc>
        <w:tc>
          <w:tcPr>
            <w:tcW w:type="dxa" w:w="1728"/>
          </w:tcPr>
          <w:p>
            <w:pPr>
              <w:jc w:val="center"/>
            </w:pPr>
            <w:r>
              <w:rPr>
                <w:b/>
                <w:sz w:val="18"/>
              </w:rPr>
              <w:t>F1 without</w:t>
            </w:r>
          </w:p>
        </w:tc>
        <w:tc>
          <w:tcPr>
            <w:tcW w:type="dxa" w:w="1728"/>
          </w:tcPr>
          <w:p>
            <w:pPr>
              <w:jc w:val="center"/>
            </w:pPr>
            <w:r>
              <w:rPr>
                <w:b/>
                <w:sz w:val="18"/>
              </w:rPr>
              <w:t>F1 drop</w:t>
            </w:r>
          </w:p>
        </w:tc>
        <w:tc>
          <w:tcPr>
            <w:tcW w:type="dxa" w:w="1728"/>
          </w:tcPr>
          <w:p>
            <w:pPr>
              <w:jc w:val="center"/>
            </w:pPr>
            <w:r>
              <w:rPr>
                <w:b/>
                <w:sz w:val="18"/>
              </w:rPr>
              <w:t>F1 alone</w:t>
            </w:r>
          </w:p>
        </w:tc>
      </w:tr>
      <w:tr>
        <w:tc>
          <w:tcPr>
            <w:tcW w:type="dxa" w:w="1728"/>
          </w:tcPr>
          <w:p>
            <w:pPr>
              <w:jc w:val="center"/>
            </w:pPr>
            <w:r>
              <w:rPr>
                <w:sz w:val="18"/>
              </w:rPr>
              <w:t>Race / Ethnicity</w:t>
            </w:r>
          </w:p>
        </w:tc>
        <w:tc>
          <w:tcPr>
            <w:tcW w:type="dxa" w:w="1728"/>
          </w:tcPr>
          <w:p>
            <w:pPr>
              <w:jc w:val="center"/>
            </w:pPr>
            <w:r>
              <w:rPr>
                <w:sz w:val="18"/>
              </w:rPr>
              <w:t>6</w:t>
            </w:r>
          </w:p>
        </w:tc>
        <w:tc>
          <w:tcPr>
            <w:tcW w:type="dxa" w:w="1728"/>
          </w:tcPr>
          <w:p>
            <w:pPr>
              <w:jc w:val="center"/>
            </w:pPr>
            <w:r>
              <w:rPr>
                <w:sz w:val="18"/>
              </w:rPr>
              <w:t>0.626</w:t>
            </w:r>
          </w:p>
        </w:tc>
        <w:tc>
          <w:tcPr>
            <w:tcW w:type="dxa" w:w="1728"/>
          </w:tcPr>
          <w:p>
            <w:pPr>
              <w:jc w:val="center"/>
            </w:pPr>
            <w:r>
              <w:rPr>
                <w:sz w:val="18"/>
              </w:rPr>
              <w:t>+0.092 (biggest)</w:t>
            </w:r>
          </w:p>
        </w:tc>
        <w:tc>
          <w:tcPr>
            <w:tcW w:type="dxa" w:w="1728"/>
          </w:tcPr>
          <w:p>
            <w:pPr>
              <w:jc w:val="center"/>
            </w:pPr>
            <w:r>
              <w:rPr>
                <w:sz w:val="18"/>
              </w:rPr>
              <w:t>0.619 (86%)</w:t>
            </w:r>
          </w:p>
        </w:tc>
      </w:tr>
      <w:tr>
        <w:tc>
          <w:tcPr>
            <w:tcW w:type="dxa" w:w="1728"/>
          </w:tcPr>
          <w:p>
            <w:pPr>
              <w:jc w:val="center"/>
            </w:pPr>
            <w:r>
              <w:rPr>
                <w:sz w:val="18"/>
              </w:rPr>
              <w:t>Urbanization</w:t>
            </w:r>
          </w:p>
        </w:tc>
        <w:tc>
          <w:tcPr>
            <w:tcW w:type="dxa" w:w="1728"/>
          </w:tcPr>
          <w:p>
            <w:pPr>
              <w:jc w:val="center"/>
            </w:pPr>
            <w:r>
              <w:rPr>
                <w:sz w:val="18"/>
              </w:rPr>
              <w:t>6</w:t>
            </w:r>
          </w:p>
        </w:tc>
        <w:tc>
          <w:tcPr>
            <w:tcW w:type="dxa" w:w="1728"/>
          </w:tcPr>
          <w:p>
            <w:pPr>
              <w:jc w:val="center"/>
            </w:pPr>
            <w:r>
              <w:rPr>
                <w:sz w:val="18"/>
              </w:rPr>
              <w:t>0.684</w:t>
            </w:r>
          </w:p>
        </w:tc>
        <w:tc>
          <w:tcPr>
            <w:tcW w:type="dxa" w:w="1728"/>
          </w:tcPr>
          <w:p>
            <w:pPr>
              <w:jc w:val="center"/>
            </w:pPr>
            <w:r>
              <w:rPr>
                <w:sz w:val="18"/>
              </w:rPr>
              <w:t>+0.034</w:t>
            </w:r>
          </w:p>
        </w:tc>
        <w:tc>
          <w:tcPr>
            <w:tcW w:type="dxa" w:w="1728"/>
          </w:tcPr>
          <w:p>
            <w:pPr>
              <w:jc w:val="center"/>
            </w:pPr>
            <w:r>
              <w:rPr>
                <w:sz w:val="18"/>
              </w:rPr>
              <w:t>0.583</w:t>
            </w:r>
          </w:p>
        </w:tc>
      </w:tr>
      <w:tr>
        <w:tc>
          <w:tcPr>
            <w:tcW w:type="dxa" w:w="1728"/>
          </w:tcPr>
          <w:p>
            <w:pPr>
              <w:jc w:val="center"/>
            </w:pPr>
            <w:r>
              <w:rPr>
                <w:sz w:val="18"/>
              </w:rPr>
              <w:t>Education</w:t>
            </w:r>
          </w:p>
        </w:tc>
        <w:tc>
          <w:tcPr>
            <w:tcW w:type="dxa" w:w="1728"/>
          </w:tcPr>
          <w:p>
            <w:pPr>
              <w:jc w:val="center"/>
            </w:pPr>
            <w:r>
              <w:rPr>
                <w:sz w:val="18"/>
              </w:rPr>
              <w:t>2</w:t>
            </w:r>
          </w:p>
        </w:tc>
        <w:tc>
          <w:tcPr>
            <w:tcW w:type="dxa" w:w="1728"/>
          </w:tcPr>
          <w:p>
            <w:pPr>
              <w:jc w:val="center"/>
            </w:pPr>
            <w:r>
              <w:rPr>
                <w:sz w:val="18"/>
              </w:rPr>
              <w:t>0.708</w:t>
            </w:r>
          </w:p>
        </w:tc>
        <w:tc>
          <w:tcPr>
            <w:tcW w:type="dxa" w:w="1728"/>
          </w:tcPr>
          <w:p>
            <w:pPr>
              <w:jc w:val="center"/>
            </w:pPr>
            <w:r>
              <w:rPr>
                <w:sz w:val="18"/>
              </w:rPr>
              <w:t>+0.010</w:t>
            </w:r>
          </w:p>
        </w:tc>
        <w:tc>
          <w:tcPr>
            <w:tcW w:type="dxa" w:w="1728"/>
          </w:tcPr>
          <w:p>
            <w:pPr>
              <w:jc w:val="center"/>
            </w:pPr>
            <w:r>
              <w:rPr>
                <w:sz w:val="18"/>
              </w:rPr>
              <w:t>0.583</w:t>
            </w:r>
          </w:p>
        </w:tc>
      </w:tr>
      <w:tr>
        <w:tc>
          <w:tcPr>
            <w:tcW w:type="dxa" w:w="1728"/>
          </w:tcPr>
          <w:p>
            <w:pPr>
              <w:jc w:val="center"/>
            </w:pPr>
            <w:r>
              <w:rPr>
                <w:sz w:val="18"/>
              </w:rPr>
              <w:t>Housing</w:t>
            </w:r>
          </w:p>
        </w:tc>
        <w:tc>
          <w:tcPr>
            <w:tcW w:type="dxa" w:w="1728"/>
          </w:tcPr>
          <w:p>
            <w:pPr>
              <w:jc w:val="center"/>
            </w:pPr>
            <w:r>
              <w:rPr>
                <w:sz w:val="18"/>
              </w:rPr>
              <w:t>3</w:t>
            </w:r>
          </w:p>
        </w:tc>
        <w:tc>
          <w:tcPr>
            <w:tcW w:type="dxa" w:w="1728"/>
          </w:tcPr>
          <w:p>
            <w:pPr>
              <w:jc w:val="center"/>
            </w:pPr>
            <w:r>
              <w:rPr>
                <w:sz w:val="18"/>
              </w:rPr>
              <w:t>0.712</w:t>
            </w:r>
          </w:p>
        </w:tc>
        <w:tc>
          <w:tcPr>
            <w:tcW w:type="dxa" w:w="1728"/>
          </w:tcPr>
          <w:p>
            <w:pPr>
              <w:jc w:val="center"/>
            </w:pPr>
            <w:r>
              <w:rPr>
                <w:sz w:val="18"/>
              </w:rPr>
              <w:t>+0.006</w:t>
            </w:r>
          </w:p>
        </w:tc>
        <w:tc>
          <w:tcPr>
            <w:tcW w:type="dxa" w:w="1728"/>
          </w:tcPr>
          <w:p>
            <w:pPr>
              <w:jc w:val="center"/>
            </w:pPr>
            <w:r>
              <w:rPr>
                <w:sz w:val="18"/>
              </w:rPr>
              <w:t>0.612</w:t>
            </w:r>
          </w:p>
        </w:tc>
      </w:tr>
      <w:tr>
        <w:tc>
          <w:tcPr>
            <w:tcW w:type="dxa" w:w="1728"/>
          </w:tcPr>
          <w:p>
            <w:pPr>
              <w:jc w:val="center"/>
            </w:pPr>
            <w:r>
              <w:rPr>
                <w:sz w:val="18"/>
              </w:rPr>
              <w:t>Economic</w:t>
            </w:r>
          </w:p>
        </w:tc>
        <w:tc>
          <w:tcPr>
            <w:tcW w:type="dxa" w:w="1728"/>
          </w:tcPr>
          <w:p>
            <w:pPr>
              <w:jc w:val="center"/>
            </w:pPr>
            <w:r>
              <w:rPr>
                <w:sz w:val="18"/>
              </w:rPr>
              <w:t>5</w:t>
            </w:r>
          </w:p>
        </w:tc>
        <w:tc>
          <w:tcPr>
            <w:tcW w:type="dxa" w:w="1728"/>
          </w:tcPr>
          <w:p>
            <w:pPr>
              <w:jc w:val="center"/>
            </w:pPr>
            <w:r>
              <w:rPr>
                <w:sz w:val="18"/>
              </w:rPr>
              <w:t>0.722</w:t>
            </w:r>
          </w:p>
        </w:tc>
        <w:tc>
          <w:tcPr>
            <w:tcW w:type="dxa" w:w="1728"/>
          </w:tcPr>
          <w:p>
            <w:pPr>
              <w:jc w:val="center"/>
            </w:pPr>
            <w:r>
              <w:rPr>
                <w:sz w:val="18"/>
              </w:rPr>
              <w:t>−0.004</w:t>
            </w:r>
          </w:p>
        </w:tc>
        <w:tc>
          <w:tcPr>
            <w:tcW w:type="dxa" w:w="1728"/>
          </w:tcPr>
          <w:p>
            <w:pPr>
              <w:jc w:val="center"/>
            </w:pPr>
            <w:r>
              <w:rPr>
                <w:sz w:val="18"/>
              </w:rPr>
              <w:t>0.570</w:t>
            </w:r>
          </w:p>
        </w:tc>
      </w:tr>
      <w:tr>
        <w:tc>
          <w:tcPr>
            <w:tcW w:type="dxa" w:w="1728"/>
          </w:tcPr>
          <w:p>
            <w:pPr>
              <w:jc w:val="center"/>
            </w:pPr>
            <w:r>
              <w:rPr>
                <w:sz w:val="18"/>
              </w:rPr>
              <w:t>Household / Age</w:t>
            </w:r>
          </w:p>
        </w:tc>
        <w:tc>
          <w:tcPr>
            <w:tcW w:type="dxa" w:w="1728"/>
          </w:tcPr>
          <w:p>
            <w:pPr>
              <w:jc w:val="center"/>
            </w:pPr>
            <w:r>
              <w:rPr>
                <w:sz w:val="18"/>
              </w:rPr>
              <w:t>6</w:t>
            </w:r>
          </w:p>
        </w:tc>
        <w:tc>
          <w:tcPr>
            <w:tcW w:type="dxa" w:w="1728"/>
          </w:tcPr>
          <w:p>
            <w:pPr>
              <w:jc w:val="center"/>
            </w:pPr>
            <w:r>
              <w:rPr>
                <w:sz w:val="18"/>
              </w:rPr>
              <w:t>0.728</w:t>
            </w:r>
          </w:p>
        </w:tc>
        <w:tc>
          <w:tcPr>
            <w:tcW w:type="dxa" w:w="1728"/>
          </w:tcPr>
          <w:p>
            <w:pPr>
              <w:jc w:val="center"/>
            </w:pPr>
            <w:r>
              <w:rPr>
                <w:sz w:val="18"/>
              </w:rPr>
              <w:t>−0.010</w:t>
            </w:r>
          </w:p>
        </w:tc>
        <w:tc>
          <w:tcPr>
            <w:tcW w:type="dxa" w:w="1728"/>
          </w:tcPr>
          <w:p>
            <w:pPr>
              <w:jc w:val="center"/>
            </w:pPr>
            <w:r>
              <w:rPr>
                <w:sz w:val="18"/>
              </w:rPr>
              <w:t>0.471</w:t>
            </w:r>
          </w:p>
        </w:tc>
      </w:tr>
    </w:tbl>
    <w:p/>
    <w:p>
      <w:pPr>
        <w:jc w:val="center"/>
      </w:pPr>
      <w:r>
        <w:drawing>
          <wp:inline xmlns:a="http://schemas.openxmlformats.org/drawingml/2006/main" xmlns:pic="http://schemas.openxmlformats.org/drawingml/2006/picture">
            <wp:extent cx="5303520" cy="2335132"/>
            <wp:docPr id="9" name="Picture 9"/>
            <wp:cNvGraphicFramePr>
              <a:graphicFrameLocks noChangeAspect="1"/>
            </wp:cNvGraphicFramePr>
            <a:graphic>
              <a:graphicData uri="http://schemas.openxmlformats.org/drawingml/2006/picture">
                <pic:pic>
                  <pic:nvPicPr>
                    <pic:cNvPr id="0" name="deepdive2_feature_ablation.png"/>
                    <pic:cNvPicPr/>
                  </pic:nvPicPr>
                  <pic:blipFill>
                    <a:blip r:embed="rId17"/>
                    <a:stretch>
                      <a:fillRect/>
                    </a:stretch>
                  </pic:blipFill>
                  <pic:spPr>
                    <a:xfrm>
                      <a:off x="0" y="0"/>
                      <a:ext cx="5303520" cy="2335132"/>
                    </a:xfrm>
                    <a:prstGeom prst="rect"/>
                  </pic:spPr>
                </pic:pic>
              </a:graphicData>
            </a:graphic>
          </wp:inline>
        </w:drawing>
      </w:r>
    </w:p>
    <w:p>
      <w:pPr>
        <w:jc w:val="center"/>
      </w:pPr>
      <w:r>
        <w:rPr>
          <w:i/>
          <w:color w:val="555555"/>
          <w:sz w:val="18"/>
        </w:rPr>
        <w:t>Figure 9: Feature ablation (left) and permutation importance with 95% CIs (right).</w:t>
      </w:r>
    </w:p>
    <w:p>
      <w:pPr>
        <w:spacing w:before="120" w:after="120"/>
      </w:pPr>
      <w:r>
        <w:rPr>
          <w:b/>
          <w:color w:val="1A3C6E"/>
          <w:sz w:val="20"/>
        </w:rPr>
        <w:t xml:space="preserve">▶ Takeaway: </w:t>
      </w:r>
      <w:r>
        <w:rPr>
          <w:sz w:val="20"/>
        </w:rPr>
        <w:t>Binary RF achieves F1=0.718 (AUC=0.828). Race/Ethnicity is both the most necessary (biggest F1 drop when removed) and most sufficient (86% of full alone) feature group. Economic and age variables are dispensable.</w:t>
      </w:r>
    </w:p>
    <w:p>
      <w:r>
        <w:br w:type="page"/>
      </w:r>
    </w:p>
    <w:p>
      <w:pPr>
        <w:pStyle w:val="Heading1"/>
      </w:pPr>
      <w:r>
        <w:t>7. Model Comparison &amp; Cross-State Generalization</w:t>
      </w:r>
    </w:p>
    <w:p>
      <w:pPr>
        <w:pStyle w:val="Heading2"/>
      </w:pPr>
      <w:r>
        <w:t>7.1 Full Model Comparison</w:t>
      </w:r>
    </w:p>
    <w:p>
      <w:r>
        <w:rPr>
          <w:b/>
        </w:rPr>
        <w:t>5-Class: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Model</w:t>
            </w:r>
          </w:p>
        </w:tc>
        <w:tc>
          <w:tcPr>
            <w:tcW w:type="dxa" w:w="1728"/>
          </w:tcPr>
          <w:p>
            <w:pPr>
              <w:jc w:val="center"/>
            </w:pPr>
            <w:r>
              <w:rPr>
                <w:b/>
                <w:sz w:val="18"/>
              </w:rPr>
              <w:t>Accuracy</w:t>
            </w:r>
          </w:p>
        </w:tc>
        <w:tc>
          <w:tcPr>
            <w:tcW w:type="dxa" w:w="1728"/>
          </w:tcPr>
          <w:p>
            <w:pPr>
              <w:jc w:val="center"/>
            </w:pPr>
            <w:r>
              <w:rPr>
                <w:b/>
                <w:sz w:val="18"/>
              </w:rPr>
              <w:t>F1-macro</w:t>
            </w:r>
          </w:p>
        </w:tc>
        <w:tc>
          <w:tcPr>
            <w:tcW w:type="dxa" w:w="1728"/>
          </w:tcPr>
          <w:p>
            <w:pPr>
              <w:jc w:val="center"/>
            </w:pPr>
            <w:r>
              <w:rPr>
                <w:b/>
                <w:sz w:val="18"/>
              </w:rPr>
              <w:t>ROC-AUC</w:t>
            </w:r>
          </w:p>
        </w:tc>
        <w:tc>
          <w:tcPr>
            <w:tcW w:type="dxa" w:w="1728"/>
          </w:tcPr>
          <w:p>
            <w:pPr>
              <w:jc w:val="center"/>
            </w:pPr>
            <w:r>
              <w:rPr>
                <w:b/>
                <w:sz w:val="18"/>
              </w:rPr>
              <w:t>Best At</w:t>
            </w:r>
          </w:p>
        </w:tc>
      </w:tr>
      <w:tr>
        <w:tc>
          <w:tcPr>
            <w:tcW w:type="dxa" w:w="1728"/>
          </w:tcPr>
          <w:p>
            <w:pPr>
              <w:jc w:val="center"/>
            </w:pPr>
            <w:r>
              <w:rPr>
                <w:sz w:val="18"/>
              </w:rPr>
              <w:t>XGBoost</w:t>
            </w:r>
          </w:p>
        </w:tc>
        <w:tc>
          <w:tcPr>
            <w:tcW w:type="dxa" w:w="1728"/>
          </w:tcPr>
          <w:p>
            <w:pPr>
              <w:jc w:val="center"/>
            </w:pPr>
            <w:r>
              <w:rPr>
                <w:sz w:val="18"/>
              </w:rPr>
              <w:t>0.388</w:t>
            </w:r>
          </w:p>
        </w:tc>
        <w:tc>
          <w:tcPr>
            <w:tcW w:type="dxa" w:w="1728"/>
          </w:tcPr>
          <w:p>
            <w:pPr>
              <w:jc w:val="center"/>
            </w:pPr>
            <w:r>
              <w:rPr>
                <w:sz w:val="18"/>
              </w:rPr>
              <w:t>0.387</w:t>
            </w:r>
          </w:p>
        </w:tc>
        <w:tc>
          <w:tcPr>
            <w:tcW w:type="dxa" w:w="1728"/>
          </w:tcPr>
          <w:p>
            <w:pPr>
              <w:jc w:val="center"/>
            </w:pPr>
            <w:r>
              <w:rPr>
                <w:sz w:val="18"/>
              </w:rPr>
              <w:t>0.783</w:t>
            </w:r>
          </w:p>
        </w:tc>
        <w:tc>
          <w:tcPr>
            <w:tcW w:type="dxa" w:w="1728"/>
          </w:tcPr>
          <w:p>
            <w:pPr>
              <w:jc w:val="center"/>
            </w:pPr>
            <w:r>
              <w:rPr>
                <w:sz w:val="18"/>
              </w:rPr>
              <w:t>Best overall</w:t>
            </w:r>
          </w:p>
        </w:tc>
      </w:tr>
      <w:tr>
        <w:tc>
          <w:tcPr>
            <w:tcW w:type="dxa" w:w="1728"/>
          </w:tcPr>
          <w:p>
            <w:pPr>
              <w:jc w:val="center"/>
            </w:pPr>
            <w:r>
              <w:rPr>
                <w:sz w:val="18"/>
              </w:rPr>
              <w:t>SVM (Linear)</w:t>
            </w:r>
          </w:p>
        </w:tc>
        <w:tc>
          <w:tcPr>
            <w:tcW w:type="dxa" w:w="1728"/>
          </w:tcPr>
          <w:p>
            <w:pPr>
              <w:jc w:val="center"/>
            </w:pPr>
            <w:r>
              <w:rPr>
                <w:sz w:val="18"/>
              </w:rPr>
              <w:t>0.368</w:t>
            </w:r>
          </w:p>
        </w:tc>
        <w:tc>
          <w:tcPr>
            <w:tcW w:type="dxa" w:w="1728"/>
          </w:tcPr>
          <w:p>
            <w:pPr>
              <w:jc w:val="center"/>
            </w:pPr>
            <w:r>
              <w:rPr>
                <w:sz w:val="18"/>
              </w:rPr>
              <w:t>0.364</w:t>
            </w:r>
          </w:p>
        </w:tc>
        <w:tc>
          <w:tcPr>
            <w:tcW w:type="dxa" w:w="1728"/>
          </w:tcPr>
          <w:p>
            <w:pPr>
              <w:jc w:val="center"/>
            </w:pPr>
            <w:r>
              <w:rPr>
                <w:sz w:val="18"/>
              </w:rPr>
              <w:t>0.765</w:t>
            </w:r>
          </w:p>
        </w:tc>
        <w:tc>
          <w:tcPr>
            <w:tcW w:type="dxa" w:w="1728"/>
          </w:tcPr>
          <w:p>
            <w:pPr>
              <w:jc w:val="center"/>
            </w:pPr>
            <w:r>
              <w:rPr>
                <w:sz w:val="18"/>
              </w:rPr>
              <w:t>Middle classes</w:t>
            </w:r>
          </w:p>
        </w:tc>
      </w:tr>
      <w:tr>
        <w:tc>
          <w:tcPr>
            <w:tcW w:type="dxa" w:w="1728"/>
          </w:tcPr>
          <w:p>
            <w:pPr>
              <w:jc w:val="center"/>
            </w:pPr>
            <w:r>
              <w:rPr>
                <w:sz w:val="18"/>
              </w:rPr>
              <w:t>Random Forest</w:t>
            </w:r>
          </w:p>
        </w:tc>
        <w:tc>
          <w:tcPr>
            <w:tcW w:type="dxa" w:w="1728"/>
          </w:tcPr>
          <w:p>
            <w:pPr>
              <w:jc w:val="center"/>
            </w:pPr>
            <w:r>
              <w:rPr>
                <w:sz w:val="18"/>
              </w:rPr>
              <w:t>0.368</w:t>
            </w:r>
          </w:p>
        </w:tc>
        <w:tc>
          <w:tcPr>
            <w:tcW w:type="dxa" w:w="1728"/>
          </w:tcPr>
          <w:p>
            <w:pPr>
              <w:jc w:val="center"/>
            </w:pPr>
            <w:r>
              <w:rPr>
                <w:sz w:val="18"/>
              </w:rPr>
              <w:t>0.362</w:t>
            </w:r>
          </w:p>
        </w:tc>
        <w:tc>
          <w:tcPr>
            <w:tcW w:type="dxa" w:w="1728"/>
          </w:tcPr>
          <w:p>
            <w:pPr>
              <w:jc w:val="center"/>
            </w:pPr>
            <w:r>
              <w:rPr>
                <w:sz w:val="18"/>
              </w:rPr>
              <w:t>0.803</w:t>
            </w:r>
          </w:p>
        </w:tc>
        <w:tc>
          <w:tcPr>
            <w:tcW w:type="dxa" w:w="1728"/>
          </w:tcPr>
          <w:p>
            <w:pPr>
              <w:jc w:val="center"/>
            </w:pPr>
            <w:r>
              <w:rPr>
                <w:sz w:val="18"/>
              </w:rPr>
              <w:t>Best ROC-AUC</w:t>
            </w:r>
          </w:p>
        </w:tc>
      </w:tr>
    </w:tbl>
    <w:p/>
    <w:p>
      <w:r>
        <w:rPr>
          <w:b/>
        </w:rPr>
        <w:t>Binary (including ensemble attempts):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Model</w:t>
            </w:r>
          </w:p>
        </w:tc>
        <w:tc>
          <w:tcPr>
            <w:tcW w:type="dxa" w:w="2160"/>
          </w:tcPr>
          <w:p>
            <w:pPr>
              <w:jc w:val="center"/>
            </w:pPr>
            <w:r>
              <w:rPr>
                <w:b/>
                <w:sz w:val="18"/>
              </w:rPr>
              <w:t>F1</w:t>
            </w:r>
          </w:p>
        </w:tc>
        <w:tc>
          <w:tcPr>
            <w:tcW w:type="dxa" w:w="2160"/>
          </w:tcPr>
          <w:p>
            <w:pPr>
              <w:jc w:val="center"/>
            </w:pPr>
            <w:r>
              <w:rPr>
                <w:b/>
                <w:sz w:val="18"/>
              </w:rPr>
              <w:t>AUC</w:t>
            </w:r>
          </w:p>
        </w:tc>
        <w:tc>
          <w:tcPr>
            <w:tcW w:type="dxa" w:w="2160"/>
          </w:tcPr>
          <w:p>
            <w:pPr>
              <w:jc w:val="center"/>
            </w:pPr>
            <w:r>
              <w:rPr>
                <w:b/>
                <w:sz w:val="18"/>
              </w:rPr>
              <w:t>Type</w:t>
            </w:r>
          </w:p>
        </w:tc>
      </w:tr>
      <w:tr>
        <w:tc>
          <w:tcPr>
            <w:tcW w:type="dxa" w:w="2160"/>
          </w:tcPr>
          <w:p>
            <w:pPr>
              <w:jc w:val="center"/>
            </w:pPr>
            <w:r>
              <w:rPr>
                <w:sz w:val="18"/>
              </w:rPr>
              <w:t>Random Forest</w:t>
            </w:r>
          </w:p>
        </w:tc>
        <w:tc>
          <w:tcPr>
            <w:tcW w:type="dxa" w:w="2160"/>
          </w:tcPr>
          <w:p>
            <w:pPr>
              <w:jc w:val="center"/>
            </w:pPr>
            <w:r>
              <w:rPr>
                <w:sz w:val="18"/>
              </w:rPr>
              <w:t>0.718</w:t>
            </w:r>
          </w:p>
        </w:tc>
        <w:tc>
          <w:tcPr>
            <w:tcW w:type="dxa" w:w="2160"/>
          </w:tcPr>
          <w:p>
            <w:pPr>
              <w:jc w:val="center"/>
            </w:pPr>
            <w:r>
              <w:rPr>
                <w:sz w:val="18"/>
              </w:rPr>
              <w:t>0.828</w:t>
            </w:r>
          </w:p>
        </w:tc>
        <w:tc>
          <w:tcPr>
            <w:tcW w:type="dxa" w:w="2160"/>
          </w:tcPr>
          <w:p>
            <w:pPr>
              <w:jc w:val="center"/>
            </w:pPr>
            <w:r>
              <w:rPr>
                <w:sz w:val="18"/>
              </w:rPr>
              <w:t>Best overall</w:t>
            </w:r>
          </w:p>
        </w:tc>
      </w:tr>
      <w:tr>
        <w:tc>
          <w:tcPr>
            <w:tcW w:type="dxa" w:w="2160"/>
          </w:tcPr>
          <w:p>
            <w:pPr>
              <w:jc w:val="center"/>
            </w:pPr>
            <w:r>
              <w:rPr>
                <w:sz w:val="18"/>
              </w:rPr>
              <w:t>Soft Voting</w:t>
            </w:r>
          </w:p>
        </w:tc>
        <w:tc>
          <w:tcPr>
            <w:tcW w:type="dxa" w:w="2160"/>
          </w:tcPr>
          <w:p>
            <w:pPr>
              <w:jc w:val="center"/>
            </w:pPr>
            <w:r>
              <w:rPr>
                <w:sz w:val="18"/>
              </w:rPr>
              <w:t>0.691</w:t>
            </w:r>
          </w:p>
        </w:tc>
        <w:tc>
          <w:tcPr>
            <w:tcW w:type="dxa" w:w="2160"/>
          </w:tcPr>
          <w:p>
            <w:pPr>
              <w:jc w:val="center"/>
            </w:pPr>
            <w:r>
              <w:rPr>
                <w:sz w:val="18"/>
              </w:rPr>
              <w:t>0.826</w:t>
            </w:r>
          </w:p>
        </w:tc>
        <w:tc>
          <w:tcPr>
            <w:tcW w:type="dxa" w:w="2160"/>
          </w:tcPr>
          <w:p>
            <w:pPr>
              <w:jc w:val="center"/>
            </w:pPr>
            <w:r>
              <w:rPr>
                <w:sz w:val="18"/>
              </w:rPr>
              <w:t>Ensemble (no improvement)</w:t>
            </w:r>
          </w:p>
        </w:tc>
      </w:tr>
      <w:tr>
        <w:tc>
          <w:tcPr>
            <w:tcW w:type="dxa" w:w="2160"/>
          </w:tcPr>
          <w:p>
            <w:pPr>
              <w:jc w:val="center"/>
            </w:pPr>
            <w:r>
              <w:rPr>
                <w:sz w:val="18"/>
              </w:rPr>
              <w:t>XGBoost</w:t>
            </w:r>
          </w:p>
        </w:tc>
        <w:tc>
          <w:tcPr>
            <w:tcW w:type="dxa" w:w="2160"/>
          </w:tcPr>
          <w:p>
            <w:pPr>
              <w:jc w:val="center"/>
            </w:pPr>
            <w:r>
              <w:rPr>
                <w:sz w:val="18"/>
              </w:rPr>
              <w:t>0.667</w:t>
            </w:r>
          </w:p>
        </w:tc>
        <w:tc>
          <w:tcPr>
            <w:tcW w:type="dxa" w:w="2160"/>
          </w:tcPr>
          <w:p>
            <w:pPr>
              <w:jc w:val="center"/>
            </w:pPr>
            <w:r>
              <w:rPr>
                <w:sz w:val="18"/>
              </w:rPr>
              <w:t>0.803</w:t>
            </w:r>
          </w:p>
        </w:tc>
        <w:tc>
          <w:tcPr>
            <w:tcW w:type="dxa" w:w="2160"/>
          </w:tcPr>
          <w:p>
            <w:pPr>
              <w:jc w:val="center"/>
            </w:pPr>
            <w:r>
              <w:rPr>
                <w:sz w:val="18"/>
              </w:rPr>
              <w:t>Individual</w:t>
            </w:r>
          </w:p>
        </w:tc>
      </w:tr>
      <w:tr>
        <w:tc>
          <w:tcPr>
            <w:tcW w:type="dxa" w:w="2160"/>
          </w:tcPr>
          <w:p>
            <w:pPr>
              <w:jc w:val="center"/>
            </w:pPr>
            <w:r>
              <w:rPr>
                <w:sz w:val="18"/>
              </w:rPr>
              <w:t>SVM (RBF)</w:t>
            </w:r>
          </w:p>
        </w:tc>
        <w:tc>
          <w:tcPr>
            <w:tcW w:type="dxa" w:w="2160"/>
          </w:tcPr>
          <w:p>
            <w:pPr>
              <w:jc w:val="center"/>
            </w:pPr>
            <w:r>
              <w:rPr>
                <w:sz w:val="18"/>
              </w:rPr>
              <w:t>0.663</w:t>
            </w:r>
          </w:p>
        </w:tc>
        <w:tc>
          <w:tcPr>
            <w:tcW w:type="dxa" w:w="2160"/>
          </w:tcPr>
          <w:p>
            <w:pPr>
              <w:jc w:val="center"/>
            </w:pPr>
            <w:r>
              <w:rPr>
                <w:sz w:val="18"/>
              </w:rPr>
              <w:t>0.819</w:t>
            </w:r>
          </w:p>
        </w:tc>
        <w:tc>
          <w:tcPr>
            <w:tcW w:type="dxa" w:w="2160"/>
          </w:tcPr>
          <w:p>
            <w:pPr>
              <w:jc w:val="center"/>
            </w:pPr>
            <w:r>
              <w:rPr>
                <w:sz w:val="18"/>
              </w:rPr>
              <w:t>Individual</w:t>
            </w:r>
          </w:p>
        </w:tc>
      </w:tr>
      <w:tr>
        <w:tc>
          <w:tcPr>
            <w:tcW w:type="dxa" w:w="2160"/>
          </w:tcPr>
          <w:p>
            <w:pPr>
              <w:jc w:val="center"/>
            </w:pPr>
            <w:r>
              <w:rPr>
                <w:sz w:val="18"/>
              </w:rPr>
              <w:t>Stacking</w:t>
            </w:r>
          </w:p>
        </w:tc>
        <w:tc>
          <w:tcPr>
            <w:tcW w:type="dxa" w:w="2160"/>
          </w:tcPr>
          <w:p>
            <w:pPr>
              <w:jc w:val="center"/>
            </w:pPr>
            <w:r>
              <w:rPr>
                <w:sz w:val="18"/>
              </w:rPr>
              <w:t>0.647</w:t>
            </w:r>
          </w:p>
        </w:tc>
        <w:tc>
          <w:tcPr>
            <w:tcW w:type="dxa" w:w="2160"/>
          </w:tcPr>
          <w:p>
            <w:pPr>
              <w:jc w:val="center"/>
            </w:pPr>
            <w:r>
              <w:rPr>
                <w:sz w:val="18"/>
              </w:rPr>
              <w:t>0.816</w:t>
            </w:r>
          </w:p>
        </w:tc>
        <w:tc>
          <w:tcPr>
            <w:tcW w:type="dxa" w:w="2160"/>
          </w:tcPr>
          <w:p>
            <w:pPr>
              <w:jc w:val="center"/>
            </w:pPr>
            <w:r>
              <w:rPr>
                <w:sz w:val="18"/>
              </w:rPr>
              <w:t>Ensemble (hurts)</w:t>
            </w:r>
          </w:p>
        </w:tc>
      </w:tr>
      <w:tr>
        <w:tc>
          <w:tcPr>
            <w:tcW w:type="dxa" w:w="2160"/>
          </w:tcPr>
          <w:p>
            <w:pPr>
              <w:jc w:val="center"/>
            </w:pPr>
            <w:r>
              <w:rPr>
                <w:sz w:val="18"/>
              </w:rPr>
              <w:t>Logistic Regression</w:t>
            </w:r>
          </w:p>
        </w:tc>
        <w:tc>
          <w:tcPr>
            <w:tcW w:type="dxa" w:w="2160"/>
          </w:tcPr>
          <w:p>
            <w:pPr>
              <w:jc w:val="center"/>
            </w:pPr>
            <w:r>
              <w:rPr>
                <w:sz w:val="18"/>
              </w:rPr>
              <w:t>0.604</w:t>
            </w:r>
          </w:p>
        </w:tc>
        <w:tc>
          <w:tcPr>
            <w:tcW w:type="dxa" w:w="2160"/>
          </w:tcPr>
          <w:p>
            <w:pPr>
              <w:jc w:val="center"/>
            </w:pPr>
            <w:r>
              <w:rPr>
                <w:sz w:val="18"/>
              </w:rPr>
              <w:t>0.745</w:t>
            </w:r>
          </w:p>
        </w:tc>
        <w:tc>
          <w:tcPr>
            <w:tcW w:type="dxa" w:w="2160"/>
          </w:tcPr>
          <w:p>
            <w:pPr>
              <w:jc w:val="center"/>
            </w:pPr>
            <w:r>
              <w:rPr>
                <w:sz w:val="18"/>
              </w:rPr>
              <w:t>Individual</w:t>
            </w:r>
          </w:p>
        </w:tc>
      </w:tr>
    </w:tbl>
    <w:p/>
    <w:p>
      <w:r>
        <w:t>Ensembles do not improve on RF. Stacking hurts (F1: 0.718→0.647) because the meta-learner oversmooths with only n=250. The performance ceiling is dataset size, not algorithm sophistication.</w:t>
      </w:r>
    </w:p>
    <w:p>
      <w:pPr>
        <w:jc w:val="center"/>
      </w:pPr>
      <w:r>
        <w:drawing>
          <wp:inline xmlns:a="http://schemas.openxmlformats.org/drawingml/2006/main" xmlns:pic="http://schemas.openxmlformats.org/drawingml/2006/picture">
            <wp:extent cx="5303520" cy="3128481"/>
            <wp:docPr id="10" name="Picture 10"/>
            <wp:cNvGraphicFramePr>
              <a:graphicFrameLocks noChangeAspect="1"/>
            </wp:cNvGraphicFramePr>
            <a:graphic>
              <a:graphicData uri="http://schemas.openxmlformats.org/drawingml/2006/picture">
                <pic:pic>
                  <pic:nvPicPr>
                    <pic:cNvPr id="0" name="per_class_f1_heatmap.png"/>
                    <pic:cNvPicPr/>
                  </pic:nvPicPr>
                  <pic:blipFill>
                    <a:blip r:embed="rId18"/>
                    <a:stretch>
                      <a:fillRect/>
                    </a:stretch>
                  </pic:blipFill>
                  <pic:spPr>
                    <a:xfrm>
                      <a:off x="0" y="0"/>
                      <a:ext cx="5303520" cy="3128481"/>
                    </a:xfrm>
                    <a:prstGeom prst="rect"/>
                  </pic:spPr>
                </pic:pic>
              </a:graphicData>
            </a:graphic>
          </wp:inline>
        </w:drawing>
      </w:r>
    </w:p>
    <w:p>
      <w:pPr>
        <w:jc w:val="center"/>
      </w:pPr>
      <w:r>
        <w:rPr>
          <w:i/>
          <w:color w:val="555555"/>
          <w:sz w:val="18"/>
        </w:rPr>
        <w:t>Figure 10: Per-class F1 heatmap. All models excel at extremes, struggle in the middle.</w:t>
      </w:r>
    </w:p>
    <w:p>
      <w:pPr>
        <w:pStyle w:val="Heading2"/>
      </w:pPr>
      <w:r>
        <w:t>7.2 Cross-State Generalization — Do Demographics Transfer?</w:t>
      </w:r>
    </w:p>
    <w:p>
      <w:r>
        <w:t>LOSO: Train on 2 states, test on the 3rd. Scaler refit on training states only.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Test State</w:t>
            </w:r>
          </w:p>
        </w:tc>
        <w:tc>
          <w:tcPr>
            <w:tcW w:type="dxa" w:w="2160"/>
          </w:tcPr>
          <w:p>
            <w:pPr>
              <w:jc w:val="center"/>
            </w:pPr>
            <w:r>
              <w:rPr>
                <w:b/>
                <w:sz w:val="18"/>
              </w:rPr>
              <w:t>Train States</w:t>
            </w:r>
          </w:p>
        </w:tc>
        <w:tc>
          <w:tcPr>
            <w:tcW w:type="dxa" w:w="2160"/>
          </w:tcPr>
          <w:p>
            <w:pPr>
              <w:jc w:val="center"/>
            </w:pPr>
            <w:r>
              <w:rPr>
                <w:b/>
                <w:sz w:val="18"/>
              </w:rPr>
              <w:t>Accuracy</w:t>
            </w:r>
          </w:p>
        </w:tc>
        <w:tc>
          <w:tcPr>
            <w:tcW w:type="dxa" w:w="2160"/>
          </w:tcPr>
          <w:p>
            <w:pPr>
              <w:jc w:val="center"/>
            </w:pPr>
            <w:r>
              <w:rPr>
                <w:b/>
                <w:sz w:val="18"/>
              </w:rPr>
              <w:t>F1-macro</w:t>
            </w:r>
          </w:p>
        </w:tc>
      </w:tr>
      <w:tr>
        <w:tc>
          <w:tcPr>
            <w:tcW w:type="dxa" w:w="2160"/>
          </w:tcPr>
          <w:p>
            <w:pPr>
              <w:jc w:val="center"/>
            </w:pPr>
            <w:r>
              <w:rPr>
                <w:sz w:val="18"/>
              </w:rPr>
              <w:t>Michigan</w:t>
            </w:r>
          </w:p>
        </w:tc>
        <w:tc>
          <w:tcPr>
            <w:tcW w:type="dxa" w:w="2160"/>
          </w:tcPr>
          <w:p>
            <w:pPr>
              <w:jc w:val="center"/>
            </w:pPr>
            <w:r>
              <w:rPr>
                <w:sz w:val="18"/>
              </w:rPr>
              <w:t>PA + NC</w:t>
            </w:r>
          </w:p>
        </w:tc>
        <w:tc>
          <w:tcPr>
            <w:tcW w:type="dxa" w:w="2160"/>
          </w:tcPr>
          <w:p>
            <w:pPr>
              <w:jc w:val="center"/>
            </w:pPr>
            <w:r>
              <w:rPr>
                <w:sz w:val="18"/>
              </w:rPr>
              <w:t>0.205</w:t>
            </w:r>
          </w:p>
        </w:tc>
        <w:tc>
          <w:tcPr>
            <w:tcW w:type="dxa" w:w="2160"/>
          </w:tcPr>
          <w:p>
            <w:pPr>
              <w:jc w:val="center"/>
            </w:pPr>
            <w:r>
              <w:rPr>
                <w:sz w:val="18"/>
              </w:rPr>
              <w:t>0.182</w:t>
            </w:r>
          </w:p>
        </w:tc>
      </w:tr>
      <w:tr>
        <w:tc>
          <w:tcPr>
            <w:tcW w:type="dxa" w:w="2160"/>
          </w:tcPr>
          <w:p>
            <w:pPr>
              <w:jc w:val="center"/>
            </w:pPr>
            <w:r>
              <w:rPr>
                <w:sz w:val="18"/>
              </w:rPr>
              <w:t>North Carolina</w:t>
            </w:r>
          </w:p>
        </w:tc>
        <w:tc>
          <w:tcPr>
            <w:tcW w:type="dxa" w:w="2160"/>
          </w:tcPr>
          <w:p>
            <w:pPr>
              <w:jc w:val="center"/>
            </w:pPr>
            <w:r>
              <w:rPr>
                <w:sz w:val="18"/>
              </w:rPr>
              <w:t>PA + MI</w:t>
            </w:r>
          </w:p>
        </w:tc>
        <w:tc>
          <w:tcPr>
            <w:tcW w:type="dxa" w:w="2160"/>
          </w:tcPr>
          <w:p>
            <w:pPr>
              <w:jc w:val="center"/>
            </w:pPr>
            <w:r>
              <w:rPr>
                <w:sz w:val="18"/>
              </w:rPr>
              <w:t>0.210</w:t>
            </w:r>
          </w:p>
        </w:tc>
        <w:tc>
          <w:tcPr>
            <w:tcW w:type="dxa" w:w="2160"/>
          </w:tcPr>
          <w:p>
            <w:pPr>
              <w:jc w:val="center"/>
            </w:pPr>
            <w:r>
              <w:rPr>
                <w:sz w:val="18"/>
              </w:rPr>
              <w:t>0.213</w:t>
            </w:r>
          </w:p>
        </w:tc>
      </w:tr>
      <w:tr>
        <w:tc>
          <w:tcPr>
            <w:tcW w:type="dxa" w:w="2160"/>
          </w:tcPr>
          <w:p>
            <w:pPr>
              <w:jc w:val="center"/>
            </w:pPr>
            <w:r>
              <w:rPr>
                <w:sz w:val="18"/>
              </w:rPr>
              <w:t>Pennsylvania</w:t>
            </w:r>
          </w:p>
        </w:tc>
        <w:tc>
          <w:tcPr>
            <w:tcW w:type="dxa" w:w="2160"/>
          </w:tcPr>
          <w:p>
            <w:pPr>
              <w:jc w:val="center"/>
            </w:pPr>
            <w:r>
              <w:rPr>
                <w:sz w:val="18"/>
              </w:rPr>
              <w:t>MI + NC</w:t>
            </w:r>
          </w:p>
        </w:tc>
        <w:tc>
          <w:tcPr>
            <w:tcW w:type="dxa" w:w="2160"/>
          </w:tcPr>
          <w:p>
            <w:pPr>
              <w:jc w:val="center"/>
            </w:pPr>
            <w:r>
              <w:rPr>
                <w:sz w:val="18"/>
              </w:rPr>
              <w:t>0.209</w:t>
            </w:r>
          </w:p>
        </w:tc>
        <w:tc>
          <w:tcPr>
            <w:tcW w:type="dxa" w:w="2160"/>
          </w:tcPr>
          <w:p>
            <w:pPr>
              <w:jc w:val="center"/>
            </w:pPr>
            <w:r>
              <w:rPr>
                <w:sz w:val="18"/>
              </w:rPr>
              <w:t>0.189</w:t>
            </w:r>
          </w:p>
        </w:tc>
      </w:tr>
      <w:tr>
        <w:tc>
          <w:tcPr>
            <w:tcW w:type="dxa" w:w="2160"/>
          </w:tcPr>
          <w:p>
            <w:pPr>
              <w:jc w:val="center"/>
            </w:pPr>
            <w:r>
              <w:rPr>
                <w:sz w:val="18"/>
              </w:rPr>
            </w:r>
          </w:p>
        </w:tc>
        <w:tc>
          <w:tcPr>
            <w:tcW w:type="dxa" w:w="2160"/>
          </w:tcPr>
          <w:p>
            <w:pPr>
              <w:jc w:val="center"/>
            </w:pPr>
            <w:r>
              <w:rPr>
                <w:sz w:val="18"/>
              </w:rPr>
              <w:t>Random baseline (1/5)</w:t>
            </w:r>
          </w:p>
        </w:tc>
        <w:tc>
          <w:tcPr>
            <w:tcW w:type="dxa" w:w="2160"/>
          </w:tcPr>
          <w:p>
            <w:pPr>
              <w:jc w:val="center"/>
            </w:pPr>
            <w:r>
              <w:rPr>
                <w:sz w:val="18"/>
              </w:rPr>
              <w:t>0.200</w:t>
            </w:r>
          </w:p>
        </w:tc>
        <w:tc>
          <w:tcPr>
            <w:tcW w:type="dxa" w:w="2160"/>
          </w:tcPr>
          <w:p>
            <w:pPr>
              <w:jc w:val="center"/>
            </w:pPr>
            <w:r>
              <w:rPr>
                <w:sz w:val="18"/>
              </w:rPr>
              <w:t>0.200</w:t>
            </w:r>
          </w:p>
        </w:tc>
      </w:tr>
    </w:tbl>
    <w:p/>
    <w:p>
      <w:r>
        <w:rPr>
          <w:b/>
        </w:rPr>
        <w:t>Cross-state prediction collapses to random guessing.</w:t>
      </w:r>
      <w:r>
        <w:t xml:space="preserve"> Each state has a fundamentally different volatility signature: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Rank</w:t>
            </w:r>
          </w:p>
        </w:tc>
        <w:tc>
          <w:tcPr>
            <w:tcW w:type="dxa" w:w="2160"/>
          </w:tcPr>
          <w:p>
            <w:pPr>
              <w:jc w:val="center"/>
            </w:pPr>
            <w:r>
              <w:rPr>
                <w:b/>
                <w:sz w:val="18"/>
              </w:rPr>
              <w:t>PA (Diversity)</w:t>
            </w:r>
          </w:p>
        </w:tc>
        <w:tc>
          <w:tcPr>
            <w:tcW w:type="dxa" w:w="2160"/>
          </w:tcPr>
          <w:p>
            <w:pPr>
              <w:jc w:val="center"/>
            </w:pPr>
            <w:r>
              <w:rPr>
                <w:b/>
                <w:sz w:val="18"/>
              </w:rPr>
              <w:t>MI (Education)</w:t>
            </w:r>
          </w:p>
        </w:tc>
        <w:tc>
          <w:tcPr>
            <w:tcW w:type="dxa" w:w="2160"/>
          </w:tcPr>
          <w:p>
            <w:pPr>
              <w:jc w:val="center"/>
            </w:pPr>
            <w:r>
              <w:rPr>
                <w:b/>
                <w:sz w:val="18"/>
              </w:rPr>
              <w:t>NC (Poverty)</w:t>
            </w:r>
          </w:p>
        </w:tc>
      </w:tr>
      <w:tr>
        <w:tc>
          <w:tcPr>
            <w:tcW w:type="dxa" w:w="2160"/>
          </w:tcPr>
          <w:p>
            <w:pPr>
              <w:jc w:val="center"/>
            </w:pPr>
            <w:r>
              <w:rPr>
                <w:sz w:val="18"/>
              </w:rPr>
              <w:t>#1</w:t>
            </w:r>
          </w:p>
        </w:tc>
        <w:tc>
          <w:tcPr>
            <w:tcW w:type="dxa" w:w="2160"/>
          </w:tcPr>
          <w:p>
            <w:pPr>
              <w:jc w:val="center"/>
            </w:pPr>
            <w:r>
              <w:rPr>
                <w:sz w:val="18"/>
              </w:rPr>
              <w:t>race_entropy_norm</w:t>
            </w:r>
          </w:p>
        </w:tc>
        <w:tc>
          <w:tcPr>
            <w:tcW w:type="dxa" w:w="2160"/>
          </w:tcPr>
          <w:p>
            <w:pPr>
              <w:jc w:val="center"/>
            </w:pPr>
            <w:r>
              <w:rPr>
                <w:sz w:val="18"/>
              </w:rPr>
              <w:t>pct_bachelors_plus</w:t>
            </w:r>
          </w:p>
        </w:tc>
        <w:tc>
          <w:tcPr>
            <w:tcW w:type="dxa" w:w="2160"/>
          </w:tcPr>
          <w:p>
            <w:pPr>
              <w:jc w:val="center"/>
            </w:pPr>
            <w:r>
              <w:rPr>
                <w:sz w:val="18"/>
              </w:rPr>
              <w:t>pct_below_poverty</w:t>
            </w:r>
          </w:p>
        </w:tc>
      </w:tr>
      <w:tr>
        <w:tc>
          <w:tcPr>
            <w:tcW w:type="dxa" w:w="2160"/>
          </w:tcPr>
          <w:p>
            <w:pPr>
              <w:jc w:val="center"/>
            </w:pPr>
            <w:r>
              <w:rPr>
                <w:sz w:val="18"/>
              </w:rPr>
              <w:t>#2</w:t>
            </w:r>
          </w:p>
        </w:tc>
        <w:tc>
          <w:tcPr>
            <w:tcW w:type="dxa" w:w="2160"/>
          </w:tcPr>
          <w:p>
            <w:pPr>
              <w:jc w:val="center"/>
            </w:pPr>
            <w:r>
              <w:rPr>
                <w:sz w:val="18"/>
              </w:rPr>
              <w:t>log_median_gross_rent</w:t>
            </w:r>
          </w:p>
        </w:tc>
        <w:tc>
          <w:tcPr>
            <w:tcW w:type="dxa" w:w="2160"/>
          </w:tcPr>
          <w:p>
            <w:pPr>
              <w:jc w:val="center"/>
            </w:pPr>
            <w:r>
              <w:rPr>
                <w:sz w:val="18"/>
              </w:rPr>
              <w:t>log_median_gross_rent</w:t>
            </w:r>
          </w:p>
        </w:tc>
        <w:tc>
          <w:tcPr>
            <w:tcW w:type="dxa" w:w="2160"/>
          </w:tcPr>
          <w:p>
            <w:pPr>
              <w:jc w:val="center"/>
            </w:pPr>
            <w:r>
              <w:rPr>
                <w:sz w:val="18"/>
              </w:rPr>
              <w:t>log_median_gross_rent</w:t>
            </w:r>
          </w:p>
        </w:tc>
      </w:tr>
      <w:tr>
        <w:tc>
          <w:tcPr>
            <w:tcW w:type="dxa" w:w="2160"/>
          </w:tcPr>
          <w:p>
            <w:pPr>
              <w:jc w:val="center"/>
            </w:pPr>
            <w:r>
              <w:rPr>
                <w:sz w:val="18"/>
              </w:rPr>
              <w:t>#3</w:t>
            </w:r>
          </w:p>
        </w:tc>
        <w:tc>
          <w:tcPr>
            <w:tcW w:type="dxa" w:w="2160"/>
          </w:tcPr>
          <w:p>
            <w:pPr>
              <w:jc w:val="center"/>
            </w:pPr>
            <w:r>
              <w:rPr>
                <w:sz w:val="18"/>
              </w:rPr>
              <w:t>pct_foreign_born</w:t>
            </w:r>
          </w:p>
        </w:tc>
        <w:tc>
          <w:tcPr>
            <w:tcW w:type="dxa" w:w="2160"/>
          </w:tcPr>
          <w:p>
            <w:pPr>
              <w:jc w:val="center"/>
            </w:pPr>
            <w:r>
              <w:rPr>
                <w:sz w:val="18"/>
              </w:rPr>
              <w:t>pct_work_from_home</w:t>
            </w:r>
          </w:p>
        </w:tc>
        <w:tc>
          <w:tcPr>
            <w:tcW w:type="dxa" w:w="2160"/>
          </w:tcPr>
          <w:p>
            <w:pPr>
              <w:jc w:val="center"/>
            </w:pPr>
            <w:r>
              <w:rPr>
                <w:sz w:val="18"/>
              </w:rPr>
              <w:t>log_population_density</w:t>
            </w:r>
          </w:p>
        </w:tc>
      </w:tr>
    </w:tbl>
    <w:p/>
    <w:p>
      <w:r>
        <w:t>Only log_median_gross_rent (housing cost) predicts volatility in all 3 states.</w:t>
      </w:r>
    </w:p>
    <w:p>
      <w:pPr>
        <w:jc w:val="center"/>
      </w:pPr>
      <w:r>
        <w:drawing>
          <wp:inline xmlns:a="http://schemas.openxmlformats.org/drawingml/2006/main" xmlns:pic="http://schemas.openxmlformats.org/drawingml/2006/picture">
            <wp:extent cx="5303520" cy="1910495"/>
            <wp:docPr id="11" name="Picture 11"/>
            <wp:cNvGraphicFramePr>
              <a:graphicFrameLocks noChangeAspect="1"/>
            </wp:cNvGraphicFramePr>
            <a:graphic>
              <a:graphicData uri="http://schemas.openxmlformats.org/drawingml/2006/picture">
                <pic:pic>
                  <pic:nvPicPr>
                    <pic:cNvPr id="0" name="deepdive_state_feature_importance.png"/>
                    <pic:cNvPicPr/>
                  </pic:nvPicPr>
                  <pic:blipFill>
                    <a:blip r:embed="rId19"/>
                    <a:stretch>
                      <a:fillRect/>
                    </a:stretch>
                  </pic:blipFill>
                  <pic:spPr>
                    <a:xfrm>
                      <a:off x="0" y="0"/>
                      <a:ext cx="5303520" cy="1910495"/>
                    </a:xfrm>
                    <a:prstGeom prst="rect"/>
                  </pic:spPr>
                </pic:pic>
              </a:graphicData>
            </a:graphic>
          </wp:inline>
        </w:drawing>
      </w:r>
    </w:p>
    <w:p>
      <w:pPr>
        <w:jc w:val="center"/>
      </w:pPr>
      <w:r>
        <w:rPr>
          <w:i/>
          <w:color w:val="555555"/>
          <w:sz w:val="18"/>
        </w:rPr>
        <w:t>Figure 11: Per-state feature importance. Dramatically different rankings in each state.</w:t>
      </w:r>
    </w:p>
    <w:p>
      <w:pPr>
        <w:jc w:val="center"/>
      </w:pPr>
      <w:r>
        <w:drawing>
          <wp:inline xmlns:a="http://schemas.openxmlformats.org/drawingml/2006/main" xmlns:pic="http://schemas.openxmlformats.org/drawingml/2006/picture">
            <wp:extent cx="5303520" cy="1607511"/>
            <wp:docPr id="12" name="Picture 12"/>
            <wp:cNvGraphicFramePr>
              <a:graphicFrameLocks noChangeAspect="1"/>
            </wp:cNvGraphicFramePr>
            <a:graphic>
              <a:graphicData uri="http://schemas.openxmlformats.org/drawingml/2006/picture">
                <pic:pic>
                  <pic:nvPicPr>
                    <pic:cNvPr id="0" name="loso_confusion_matrices.png"/>
                    <pic:cNvPicPr/>
                  </pic:nvPicPr>
                  <pic:blipFill>
                    <a:blip r:embed="rId20"/>
                    <a:stretch>
                      <a:fillRect/>
                    </a:stretch>
                  </pic:blipFill>
                  <pic:spPr>
                    <a:xfrm>
                      <a:off x="0" y="0"/>
                      <a:ext cx="5303520" cy="1607511"/>
                    </a:xfrm>
                    <a:prstGeom prst="rect"/>
                  </pic:spPr>
                </pic:pic>
              </a:graphicData>
            </a:graphic>
          </wp:inline>
        </w:drawing>
      </w:r>
    </w:p>
    <w:p>
      <w:pPr>
        <w:jc w:val="center"/>
      </w:pPr>
      <w:r>
        <w:rPr>
          <w:i/>
          <w:color w:val="555555"/>
          <w:sz w:val="18"/>
        </w:rPr>
        <w:t>Figure 12: LOSO confusion matrices. All three rotations = near-random.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State</w:t>
            </w:r>
          </w:p>
        </w:tc>
        <w:tc>
          <w:tcPr>
            <w:tcW w:type="dxa" w:w="2160"/>
          </w:tcPr>
          <w:p>
            <w:pPr>
              <w:jc w:val="center"/>
            </w:pPr>
            <w:r>
              <w:rPr>
                <w:b/>
                <w:sz w:val="18"/>
              </w:rPr>
              <w:t>n</w:t>
            </w:r>
          </w:p>
        </w:tc>
        <w:tc>
          <w:tcPr>
            <w:tcW w:type="dxa" w:w="2160"/>
          </w:tcPr>
          <w:p>
            <w:pPr>
              <w:jc w:val="center"/>
            </w:pPr>
            <w:r>
              <w:rPr>
                <w:b/>
                <w:sz w:val="18"/>
              </w:rPr>
              <w:t>Within-State AUC</w:t>
            </w:r>
          </w:p>
        </w:tc>
        <w:tc>
          <w:tcPr>
            <w:tcW w:type="dxa" w:w="2160"/>
          </w:tcPr>
          <w:p>
            <w:pPr>
              <w:jc w:val="center"/>
            </w:pPr>
            <w:r>
              <w:rPr>
                <w:b/>
                <w:sz w:val="18"/>
              </w:rPr>
              <w:t>Within-State F1</w:t>
            </w:r>
          </w:p>
        </w:tc>
      </w:tr>
      <w:tr>
        <w:tc>
          <w:tcPr>
            <w:tcW w:type="dxa" w:w="2160"/>
          </w:tcPr>
          <w:p>
            <w:pPr>
              <w:jc w:val="center"/>
            </w:pPr>
            <w:r>
              <w:rPr>
                <w:sz w:val="18"/>
              </w:rPr>
              <w:t>PA</w:t>
            </w:r>
          </w:p>
        </w:tc>
        <w:tc>
          <w:tcPr>
            <w:tcW w:type="dxa" w:w="2160"/>
          </w:tcPr>
          <w:p>
            <w:pPr>
              <w:jc w:val="center"/>
            </w:pPr>
            <w:r>
              <w:rPr>
                <w:sz w:val="18"/>
              </w:rPr>
              <w:t>67</w:t>
            </w:r>
          </w:p>
        </w:tc>
        <w:tc>
          <w:tcPr>
            <w:tcW w:type="dxa" w:w="2160"/>
          </w:tcPr>
          <w:p>
            <w:pPr>
              <w:jc w:val="center"/>
            </w:pPr>
            <w:r>
              <w:rPr>
                <w:sz w:val="18"/>
              </w:rPr>
              <w:t>0.838</w:t>
            </w:r>
          </w:p>
        </w:tc>
        <w:tc>
          <w:tcPr>
            <w:tcW w:type="dxa" w:w="2160"/>
          </w:tcPr>
          <w:p>
            <w:pPr>
              <w:jc w:val="center"/>
            </w:pPr>
            <w:r>
              <w:rPr>
                <w:sz w:val="18"/>
              </w:rPr>
              <w:t>0.591</w:t>
            </w:r>
          </w:p>
        </w:tc>
      </w:tr>
      <w:tr>
        <w:tc>
          <w:tcPr>
            <w:tcW w:type="dxa" w:w="2160"/>
          </w:tcPr>
          <w:p>
            <w:pPr>
              <w:jc w:val="center"/>
            </w:pPr>
            <w:r>
              <w:rPr>
                <w:sz w:val="18"/>
              </w:rPr>
              <w:t>MI</w:t>
            </w:r>
          </w:p>
        </w:tc>
        <w:tc>
          <w:tcPr>
            <w:tcW w:type="dxa" w:w="2160"/>
          </w:tcPr>
          <w:p>
            <w:pPr>
              <w:jc w:val="center"/>
            </w:pPr>
            <w:r>
              <w:rPr>
                <w:sz w:val="18"/>
              </w:rPr>
              <w:t>83</w:t>
            </w:r>
          </w:p>
        </w:tc>
        <w:tc>
          <w:tcPr>
            <w:tcW w:type="dxa" w:w="2160"/>
          </w:tcPr>
          <w:p>
            <w:pPr>
              <w:jc w:val="center"/>
            </w:pPr>
            <w:r>
              <w:rPr>
                <w:sz w:val="18"/>
              </w:rPr>
              <w:t>0.778</w:t>
            </w:r>
          </w:p>
        </w:tc>
        <w:tc>
          <w:tcPr>
            <w:tcW w:type="dxa" w:w="2160"/>
          </w:tcPr>
          <w:p>
            <w:pPr>
              <w:jc w:val="center"/>
            </w:pPr>
            <w:r>
              <w:rPr>
                <w:sz w:val="18"/>
              </w:rPr>
              <w:t>0.636</w:t>
            </w:r>
          </w:p>
        </w:tc>
      </w:tr>
      <w:tr>
        <w:tc>
          <w:tcPr>
            <w:tcW w:type="dxa" w:w="2160"/>
          </w:tcPr>
          <w:p>
            <w:pPr>
              <w:jc w:val="center"/>
            </w:pPr>
            <w:r>
              <w:rPr>
                <w:sz w:val="18"/>
              </w:rPr>
              <w:t>NC</w:t>
            </w:r>
          </w:p>
        </w:tc>
        <w:tc>
          <w:tcPr>
            <w:tcW w:type="dxa" w:w="2160"/>
          </w:tcPr>
          <w:p>
            <w:pPr>
              <w:jc w:val="center"/>
            </w:pPr>
            <w:r>
              <w:rPr>
                <w:sz w:val="18"/>
              </w:rPr>
              <w:t>100</w:t>
            </w:r>
          </w:p>
        </w:tc>
        <w:tc>
          <w:tcPr>
            <w:tcW w:type="dxa" w:w="2160"/>
          </w:tcPr>
          <w:p>
            <w:pPr>
              <w:jc w:val="center"/>
            </w:pPr>
            <w:r>
              <w:rPr>
                <w:sz w:val="18"/>
              </w:rPr>
              <w:t>0.829</w:t>
            </w:r>
          </w:p>
        </w:tc>
        <w:tc>
          <w:tcPr>
            <w:tcW w:type="dxa" w:w="2160"/>
          </w:tcPr>
          <w:p>
            <w:pPr>
              <w:jc w:val="center"/>
            </w:pPr>
            <w:r>
              <w:rPr>
                <w:sz w:val="18"/>
              </w:rPr>
              <w:t>0.736</w:t>
            </w:r>
          </w:p>
        </w:tc>
      </w:tr>
    </w:tbl>
    <w:p/>
    <w:p>
      <w:pPr>
        <w:spacing w:before="120" w:after="120"/>
      </w:pPr>
      <w:r>
        <w:rPr>
          <w:b/>
          <w:color w:val="1A3C6E"/>
          <w:sz w:val="20"/>
        </w:rPr>
        <w:t xml:space="preserve">▶ Takeaway: </w:t>
      </w:r>
      <w:r>
        <w:rPr>
          <w:sz w:val="20"/>
        </w:rPr>
        <w:t>Demographics predict volatility well within states (AUC 0.78–0.84) but fail across state lines. National models are fundamentally limited. Housing cost is the only universal predictor. Ensembles don't help at n=250.</w:t>
      </w:r>
    </w:p>
    <w:p>
      <w:r>
        <w:br w:type="page"/>
      </w:r>
    </w:p>
    <w:p>
      <w:pPr>
        <w:pStyle w:val="Heading1"/>
      </w:pPr>
      <w:r>
        <w:t>8. Hypothesis Testing</w:t>
      </w:r>
    </w:p>
    <w:p>
      <w:pPr>
        <w:pStyle w:val="Heading2"/>
      </w:pPr>
      <w:r>
        <w:t>H1: Wealth-Volatility Inverse — CONFIRMED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Evidence</w:t>
            </w:r>
          </w:p>
        </w:tc>
        <w:tc>
          <w:tcPr>
            <w:tcW w:type="dxa" w:w="2880"/>
          </w:tcPr>
          <w:p>
            <w:pPr>
              <w:jc w:val="center"/>
            </w:pPr>
            <w:r>
              <w:rPr>
                <w:b/>
                <w:sz w:val="18"/>
              </w:rPr>
              <w:t>Method</w:t>
            </w:r>
          </w:p>
        </w:tc>
        <w:tc>
          <w:tcPr>
            <w:tcW w:type="dxa" w:w="2880"/>
          </w:tcPr>
          <w:p>
            <w:pPr>
              <w:jc w:val="center"/>
            </w:pPr>
            <w:r>
              <w:rPr>
                <w:b/>
                <w:sz w:val="18"/>
              </w:rPr>
              <w:t>Result</w:t>
            </w:r>
          </w:p>
        </w:tc>
      </w:tr>
      <w:tr>
        <w:tc>
          <w:tcPr>
            <w:tcW w:type="dxa" w:w="2880"/>
          </w:tcPr>
          <w:p>
            <w:pPr>
              <w:jc w:val="center"/>
            </w:pPr>
            <w:r>
              <w:rPr>
                <w:sz w:val="18"/>
              </w:rPr>
              <w:t>SHAP direction</w:t>
            </w:r>
          </w:p>
        </w:tc>
        <w:tc>
          <w:tcPr>
            <w:tcW w:type="dxa" w:w="2880"/>
          </w:tcPr>
          <w:p>
            <w:pPr>
              <w:jc w:val="center"/>
            </w:pPr>
            <w:r>
              <w:rPr>
                <w:sz w:val="18"/>
              </w:rPr>
              <w:t>Income SHAP vs Q5</w:t>
            </w:r>
          </w:p>
        </w:tc>
        <w:tc>
          <w:tcPr>
            <w:tcW w:type="dxa" w:w="2880"/>
          </w:tcPr>
          <w:p>
            <w:pPr>
              <w:jc w:val="center"/>
            </w:pPr>
            <w:r>
              <w:rPr>
                <w:sz w:val="18"/>
              </w:rPr>
              <w:t>r = −0.602 (p &lt; 0.0001)</w:t>
            </w:r>
          </w:p>
        </w:tc>
      </w:tr>
      <w:tr>
        <w:tc>
          <w:tcPr>
            <w:tcW w:type="dxa" w:w="2880"/>
          </w:tcPr>
          <w:p>
            <w:pPr>
              <w:jc w:val="center"/>
            </w:pPr>
            <w:r>
              <w:rPr>
                <w:sz w:val="18"/>
              </w:rPr>
              <w:t>Feature importance</w:t>
            </w:r>
          </w:p>
        </w:tc>
        <w:tc>
          <w:tcPr>
            <w:tcW w:type="dxa" w:w="2880"/>
          </w:tcPr>
          <w:p>
            <w:pPr>
              <w:jc w:val="center"/>
            </w:pPr>
            <w:r>
              <w:rPr>
                <w:sz w:val="18"/>
              </w:rPr>
              <w:t>Poverty rank</w:t>
            </w:r>
          </w:p>
        </w:tc>
        <w:tc>
          <w:tcPr>
            <w:tcW w:type="dxa" w:w="2880"/>
          </w:tcPr>
          <w:p>
            <w:pPr>
              <w:jc w:val="center"/>
            </w:pPr>
            <w:r>
              <w:rPr>
                <w:sz w:val="18"/>
              </w:rPr>
              <w:t>Top 5 in all models</w:t>
            </w:r>
          </w:p>
        </w:tc>
      </w:tr>
      <w:tr>
        <w:tc>
          <w:tcPr>
            <w:tcW w:type="dxa" w:w="2880"/>
          </w:tcPr>
          <w:p>
            <w:pPr>
              <w:jc w:val="center"/>
            </w:pPr>
            <w:r>
              <w:rPr>
                <w:sz w:val="18"/>
              </w:rPr>
              <w:t>Partial dependence</w:t>
            </w:r>
          </w:p>
        </w:tc>
        <w:tc>
          <w:tcPr>
            <w:tcW w:type="dxa" w:w="2880"/>
          </w:tcPr>
          <w:p>
            <w:pPr>
              <w:jc w:val="center"/>
            </w:pPr>
            <w:r>
              <w:rPr>
                <w:sz w:val="18"/>
              </w:rPr>
              <w:t>Rent effect</w:t>
            </w:r>
          </w:p>
        </w:tc>
        <w:tc>
          <w:tcPr>
            <w:tcW w:type="dxa" w:w="2880"/>
          </w:tcPr>
          <w:p>
            <w:pPr>
              <w:jc w:val="center"/>
            </w:pPr>
            <w:r>
              <w:rPr>
                <w:sz w:val="18"/>
              </w:rPr>
              <w:t>Monotonic increase</w:t>
            </w:r>
          </w:p>
        </w:tc>
      </w:tr>
      <w:tr>
        <w:tc>
          <w:tcPr>
            <w:tcW w:type="dxa" w:w="2880"/>
          </w:tcPr>
          <w:p>
            <w:pPr>
              <w:jc w:val="center"/>
            </w:pPr>
            <w:r>
              <w:rPr>
                <w:sz w:val="18"/>
              </w:rPr>
              <w:t>Ablation</w:t>
            </w:r>
          </w:p>
        </w:tc>
        <w:tc>
          <w:tcPr>
            <w:tcW w:type="dxa" w:w="2880"/>
          </w:tcPr>
          <w:p>
            <w:pPr>
              <w:jc w:val="center"/>
            </w:pPr>
            <w:r>
              <w:rPr>
                <w:sz w:val="18"/>
              </w:rPr>
              <w:t>Economic alone</w:t>
            </w:r>
          </w:p>
        </w:tc>
        <w:tc>
          <w:tcPr>
            <w:tcW w:type="dxa" w:w="2880"/>
          </w:tcPr>
          <w:p>
            <w:pPr>
              <w:jc w:val="center"/>
            </w:pPr>
            <w:r>
              <w:rPr>
                <w:sz w:val="18"/>
              </w:rPr>
              <w:t>F1 = 0.570 (insufficient alone)</w:t>
            </w:r>
          </w:p>
        </w:tc>
      </w:tr>
    </w:tbl>
    <w:p/>
    <w:p>
      <w:r>
        <w:t>Wealthier counties are more stable. But income alone is insufficient — it interacts with diversity (wealthy diverse suburbs are volatile; wealthy homogeneous exurbs are not).</w:t>
      </w:r>
    </w:p>
    <w:p>
      <w:pPr>
        <w:pStyle w:val="Heading2"/>
      </w:pPr>
      <w:r>
        <w:t>H2: Diversity Index &gt; Individual Race — CONFIRMED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Evidence</w:t>
            </w:r>
          </w:p>
        </w:tc>
        <w:tc>
          <w:tcPr>
            <w:tcW w:type="dxa" w:w="2880"/>
          </w:tcPr>
          <w:p>
            <w:pPr>
              <w:jc w:val="center"/>
            </w:pPr>
            <w:r>
              <w:rPr>
                <w:b/>
                <w:sz w:val="18"/>
              </w:rPr>
              <w:t>Method</w:t>
            </w:r>
          </w:p>
        </w:tc>
        <w:tc>
          <w:tcPr>
            <w:tcW w:type="dxa" w:w="2880"/>
          </w:tcPr>
          <w:p>
            <w:pPr>
              <w:jc w:val="center"/>
            </w:pPr>
            <w:r>
              <w:rPr>
                <w:b/>
                <w:sz w:val="18"/>
              </w:rPr>
              <w:t>Result</w:t>
            </w:r>
          </w:p>
        </w:tc>
      </w:tr>
      <w:tr>
        <w:tc>
          <w:tcPr>
            <w:tcW w:type="dxa" w:w="2880"/>
          </w:tcPr>
          <w:p>
            <w:pPr>
              <w:jc w:val="center"/>
            </w:pPr>
            <w:r>
              <w:rPr>
                <w:sz w:val="18"/>
              </w:rPr>
              <w:t>Permutation importance</w:t>
            </w:r>
          </w:p>
        </w:tc>
        <w:tc>
          <w:tcPr>
            <w:tcW w:type="dxa" w:w="2880"/>
          </w:tcPr>
          <w:p>
            <w:pPr>
              <w:jc w:val="center"/>
            </w:pPr>
            <w:r>
              <w:rPr>
                <w:sz w:val="18"/>
              </w:rPr>
              <w:t>RF, 30 repeats</w:t>
            </w:r>
          </w:p>
        </w:tc>
        <w:tc>
          <w:tcPr>
            <w:tcW w:type="dxa" w:w="2880"/>
          </w:tcPr>
          <w:p>
            <w:pPr>
              <w:jc w:val="center"/>
            </w:pPr>
            <w:r>
              <w:rPr>
                <w:sz w:val="18"/>
              </w:rPr>
              <w:t>race_entropy_norm = #1</w:t>
            </w:r>
          </w:p>
        </w:tc>
      </w:tr>
      <w:tr>
        <w:tc>
          <w:tcPr>
            <w:tcW w:type="dxa" w:w="2880"/>
          </w:tcPr>
          <w:p>
            <w:pPr>
              <w:jc w:val="center"/>
            </w:pPr>
            <w:r>
              <w:rPr>
                <w:sz w:val="18"/>
              </w:rPr>
              <w:t>SHAP importance</w:t>
            </w:r>
          </w:p>
        </w:tc>
        <w:tc>
          <w:tcPr>
            <w:tcW w:type="dxa" w:w="2880"/>
          </w:tcPr>
          <w:p>
            <w:pPr>
              <w:jc w:val="center"/>
            </w:pPr>
            <w:r>
              <w:rPr>
                <w:sz w:val="18"/>
              </w:rPr>
              <w:t>XGBoost</w:t>
            </w:r>
          </w:p>
        </w:tc>
        <w:tc>
          <w:tcPr>
            <w:tcW w:type="dxa" w:w="2880"/>
          </w:tcPr>
          <w:p>
            <w:pPr>
              <w:jc w:val="center"/>
            </w:pPr>
            <w:r>
              <w:rPr>
                <w:sz w:val="18"/>
              </w:rPr>
              <w:t>entropy 0.397 &gt; pct_black 0.347</w:t>
            </w:r>
          </w:p>
        </w:tc>
      </w:tr>
      <w:tr>
        <w:tc>
          <w:tcPr>
            <w:tcW w:type="dxa" w:w="2880"/>
          </w:tcPr>
          <w:p>
            <w:pPr>
              <w:jc w:val="center"/>
            </w:pPr>
            <w:r>
              <w:rPr>
                <w:sz w:val="18"/>
              </w:rPr>
              <w:t>PDP range</w:t>
            </w:r>
          </w:p>
        </w:tc>
        <w:tc>
          <w:tcPr>
            <w:tcW w:type="dxa" w:w="2880"/>
          </w:tcPr>
          <w:p>
            <w:pPr>
              <w:jc w:val="center"/>
            </w:pPr>
            <w:r>
              <w:rPr>
                <w:sz w:val="18"/>
              </w:rPr>
              <w:t>Probability swing</w:t>
            </w:r>
          </w:p>
        </w:tc>
        <w:tc>
          <w:tcPr>
            <w:tcW w:type="dxa" w:w="2880"/>
          </w:tcPr>
          <w:p>
            <w:pPr>
              <w:jc w:val="center"/>
            </w:pPr>
            <w:r>
              <w:rPr>
                <w:sz w:val="18"/>
              </w:rPr>
              <w:t>entropy = 0.14 (largest)</w:t>
            </w:r>
          </w:p>
        </w:tc>
      </w:tr>
      <w:tr>
        <w:tc>
          <w:tcPr>
            <w:tcW w:type="dxa" w:w="2880"/>
          </w:tcPr>
          <w:p>
            <w:pPr>
              <w:jc w:val="center"/>
            </w:pPr>
            <w:r>
              <w:rPr>
                <w:sz w:val="18"/>
              </w:rPr>
              <w:t>Ablation</w:t>
            </w:r>
          </w:p>
        </w:tc>
        <w:tc>
          <w:tcPr>
            <w:tcW w:type="dxa" w:w="2880"/>
          </w:tcPr>
          <w:p>
            <w:pPr>
              <w:jc w:val="center"/>
            </w:pPr>
            <w:r>
              <w:rPr>
                <w:sz w:val="18"/>
              </w:rPr>
              <w:t>Race group alone</w:t>
            </w:r>
          </w:p>
        </w:tc>
        <w:tc>
          <w:tcPr>
            <w:tcW w:type="dxa" w:w="2880"/>
          </w:tcPr>
          <w:p>
            <w:pPr>
              <w:jc w:val="center"/>
            </w:pPr>
            <w:r>
              <w:rPr>
                <w:sz w:val="18"/>
              </w:rPr>
              <w:t>F1 = 0.619 (86% of baseline)</w:t>
            </w:r>
          </w:p>
        </w:tc>
      </w:tr>
      <w:tr>
        <w:tc>
          <w:tcPr>
            <w:tcW w:type="dxa" w:w="2880"/>
          </w:tcPr>
          <w:p>
            <w:pPr>
              <w:jc w:val="center"/>
            </w:pPr>
            <w:r>
              <w:rPr>
                <w:sz w:val="18"/>
              </w:rPr>
              <w:t>Interactions</w:t>
            </w:r>
          </w:p>
        </w:tc>
        <w:tc>
          <w:tcPr>
            <w:tcW w:type="dxa" w:w="2880"/>
          </w:tcPr>
          <w:p>
            <w:pPr>
              <w:jc w:val="center"/>
            </w:pPr>
            <w:r>
              <w:rPr>
                <w:sz w:val="18"/>
              </w:rPr>
              <w:t>SHAP</w:t>
            </w:r>
          </w:p>
        </w:tc>
        <w:tc>
          <w:tcPr>
            <w:tcW w:type="dxa" w:w="2880"/>
          </w:tcPr>
          <w:p>
            <w:pPr>
              <w:jc w:val="center"/>
            </w:pPr>
            <w:r>
              <w:rPr>
                <w:sz w:val="18"/>
              </w:rPr>
              <w:t>entropy in 6/10 top interactions</w:t>
            </w:r>
          </w:p>
        </w:tc>
      </w:tr>
      <w:tr>
        <w:tc>
          <w:tcPr>
            <w:tcW w:type="dxa" w:w="2880"/>
          </w:tcPr>
          <w:p>
            <w:pPr>
              <w:jc w:val="center"/>
            </w:pPr>
            <w:r>
              <w:rPr>
                <w:sz w:val="18"/>
              </w:rPr>
              <w:t>Threshold</w:t>
            </w:r>
          </w:p>
        </w:tc>
        <w:tc>
          <w:tcPr>
            <w:tcW w:type="dxa" w:w="2880"/>
          </w:tcPr>
          <w:p>
            <w:pPr>
              <w:jc w:val="center"/>
            </w:pPr>
            <w:r>
              <w:rPr>
                <w:sz w:val="18"/>
              </w:rPr>
              <w:t>Bootstrap</w:t>
            </w:r>
          </w:p>
        </w:tc>
        <w:tc>
          <w:tcPr>
            <w:tcW w:type="dxa" w:w="2880"/>
          </w:tcPr>
          <w:p>
            <w:pPr>
              <w:jc w:val="center"/>
            </w:pPr>
            <w:r>
              <w:rPr>
                <w:sz w:val="18"/>
              </w:rPr>
              <w:t>Odds ratio = 7.15×</w:t>
            </w:r>
          </w:p>
        </w:tc>
      </w:tr>
    </w:tbl>
    <w:p/>
    <w:p>
      <w:r>
        <w:t>Confirmed across 6 independent evidence streams. It's racial mixing — not any single group — that predicts volatility.</w:t>
      </w:r>
    </w:p>
    <w:p>
      <w:pPr>
        <w:spacing w:before="120" w:after="120"/>
      </w:pPr>
      <w:r>
        <w:rPr>
          <w:b/>
          <w:color w:val="1A3C6E"/>
          <w:sz w:val="20"/>
        </w:rPr>
        <w:t xml:space="preserve">▶ Takeaway: </w:t>
      </w:r>
      <w:r>
        <w:rPr>
          <w:sz w:val="20"/>
        </w:rPr>
        <w:t>Both hypotheses confirmed. Wealth → stability (r=−0.602). Diversity index &gt; all individual race vars (7× odds ratio above threshold).</w:t>
      </w:r>
    </w:p>
    <w:p>
      <w:r>
        <w:br w:type="page"/>
      </w:r>
    </w:p>
    <w:p>
      <w:pPr>
        <w:pStyle w:val="Heading1"/>
      </w:pPr>
      <w:r>
        <w:t>9. Advanced Analysis — Deep-Dives</w:t>
      </w:r>
    </w:p>
    <w:p>
      <w:pPr>
        <w:pStyle w:val="Heading2"/>
      </w:pPr>
      <w:r>
        <w:t>9.1 Temporal Demographic Shifts (2016 → 2024)</w:t>
      </w:r>
    </w:p>
    <w:p>
      <w:r>
        <w:t>Demographic change over 8 years also predicts volatility: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Change</w:t>
            </w:r>
          </w:p>
        </w:tc>
        <w:tc>
          <w:tcPr>
            <w:tcW w:type="dxa" w:w="2160"/>
          </w:tcPr>
          <w:p>
            <w:pPr>
              <w:jc w:val="center"/>
            </w:pPr>
            <w:r>
              <w:rPr>
                <w:b/>
                <w:sz w:val="18"/>
              </w:rPr>
              <w:t>ρ</w:t>
            </w:r>
          </w:p>
        </w:tc>
        <w:tc>
          <w:tcPr>
            <w:tcW w:type="dxa" w:w="2160"/>
          </w:tcPr>
          <w:p>
            <w:pPr>
              <w:jc w:val="center"/>
            </w:pPr>
            <w:r>
              <w:rPr>
                <w:b/>
                <w:sz w:val="18"/>
              </w:rPr>
              <w:t>p-value</w:t>
            </w:r>
          </w:p>
        </w:tc>
        <w:tc>
          <w:tcPr>
            <w:tcW w:type="dxa" w:w="2160"/>
          </w:tcPr>
          <w:p>
            <w:pPr>
              <w:jc w:val="center"/>
            </w:pPr>
            <w:r>
              <w:rPr>
                <w:b/>
                <w:sz w:val="18"/>
              </w:rPr>
              <w:t>Meaning</w:t>
            </w:r>
          </w:p>
        </w:tc>
      </w:tr>
      <w:tr>
        <w:tc>
          <w:tcPr>
            <w:tcW w:type="dxa" w:w="2160"/>
          </w:tcPr>
          <w:p>
            <w:pPr>
              <w:jc w:val="center"/>
            </w:pPr>
            <w:r>
              <w:rPr>
                <w:sz w:val="18"/>
              </w:rPr>
              <w:t>Δ pct_hispanic</w:t>
            </w:r>
          </w:p>
        </w:tc>
        <w:tc>
          <w:tcPr>
            <w:tcW w:type="dxa" w:w="2160"/>
          </w:tcPr>
          <w:p>
            <w:pPr>
              <w:jc w:val="center"/>
            </w:pPr>
            <w:r>
              <w:rPr>
                <w:sz w:val="18"/>
              </w:rPr>
              <w:t>+0.220</w:t>
            </w:r>
          </w:p>
        </w:tc>
        <w:tc>
          <w:tcPr>
            <w:tcW w:type="dxa" w:w="2160"/>
          </w:tcPr>
          <w:p>
            <w:pPr>
              <w:jc w:val="center"/>
            </w:pPr>
            <w:r>
              <w:rPr>
                <w:sz w:val="18"/>
              </w:rPr>
              <w:t>0.0005</w:t>
            </w:r>
          </w:p>
        </w:tc>
        <w:tc>
          <w:tcPr>
            <w:tcW w:type="dxa" w:w="2160"/>
          </w:tcPr>
          <w:p>
            <w:pPr>
              <w:jc w:val="center"/>
            </w:pPr>
            <w:r>
              <w:rPr>
                <w:sz w:val="18"/>
              </w:rPr>
              <w:t>Growing Hispanic pop → more volatile</w:t>
            </w:r>
          </w:p>
        </w:tc>
      </w:tr>
      <w:tr>
        <w:tc>
          <w:tcPr>
            <w:tcW w:type="dxa" w:w="2160"/>
          </w:tcPr>
          <w:p>
            <w:pPr>
              <w:jc w:val="center"/>
            </w:pPr>
            <w:r>
              <w:rPr>
                <w:sz w:val="18"/>
              </w:rPr>
              <w:t>Δ median_gross_rent</w:t>
            </w:r>
          </w:p>
        </w:tc>
        <w:tc>
          <w:tcPr>
            <w:tcW w:type="dxa" w:w="2160"/>
          </w:tcPr>
          <w:p>
            <w:pPr>
              <w:jc w:val="center"/>
            </w:pPr>
            <w:r>
              <w:rPr>
                <w:sz w:val="18"/>
              </w:rPr>
              <w:t>+0.209</w:t>
            </w:r>
          </w:p>
        </w:tc>
        <w:tc>
          <w:tcPr>
            <w:tcW w:type="dxa" w:w="2160"/>
          </w:tcPr>
          <w:p>
            <w:pPr>
              <w:jc w:val="center"/>
            </w:pPr>
            <w:r>
              <w:rPr>
                <w:sz w:val="18"/>
              </w:rPr>
              <w:t>0.0009</w:t>
            </w:r>
          </w:p>
        </w:tc>
        <w:tc>
          <w:tcPr>
            <w:tcW w:type="dxa" w:w="2160"/>
          </w:tcPr>
          <w:p>
            <w:pPr>
              <w:jc w:val="center"/>
            </w:pPr>
            <w:r>
              <w:rPr>
                <w:sz w:val="18"/>
              </w:rPr>
              <w:t>Rising rents → more volatile</w:t>
            </w:r>
          </w:p>
        </w:tc>
      </w:tr>
      <w:tr>
        <w:tc>
          <w:tcPr>
            <w:tcW w:type="dxa" w:w="2160"/>
          </w:tcPr>
          <w:p>
            <w:pPr>
              <w:jc w:val="center"/>
            </w:pPr>
            <w:r>
              <w:rPr>
                <w:sz w:val="18"/>
              </w:rPr>
              <w:t>Δ pct_two_or_more_races</w:t>
            </w:r>
          </w:p>
        </w:tc>
        <w:tc>
          <w:tcPr>
            <w:tcW w:type="dxa" w:w="2160"/>
          </w:tcPr>
          <w:p>
            <w:pPr>
              <w:jc w:val="center"/>
            </w:pPr>
            <w:r>
              <w:rPr>
                <w:sz w:val="18"/>
              </w:rPr>
              <w:t>+0.209</w:t>
            </w:r>
          </w:p>
        </w:tc>
        <w:tc>
          <w:tcPr>
            <w:tcW w:type="dxa" w:w="2160"/>
          </w:tcPr>
          <w:p>
            <w:pPr>
              <w:jc w:val="center"/>
            </w:pPr>
            <w:r>
              <w:rPr>
                <w:sz w:val="18"/>
              </w:rPr>
              <w:t>0.0009</w:t>
            </w:r>
          </w:p>
        </w:tc>
        <w:tc>
          <w:tcPr>
            <w:tcW w:type="dxa" w:w="2160"/>
          </w:tcPr>
          <w:p>
            <w:pPr>
              <w:jc w:val="center"/>
            </w:pPr>
            <w:r>
              <w:rPr>
                <w:sz w:val="18"/>
              </w:rPr>
              <w:t>Growing multiracial pop → more volatile</w:t>
            </w:r>
          </w:p>
        </w:tc>
      </w:tr>
      <w:tr>
        <w:tc>
          <w:tcPr>
            <w:tcW w:type="dxa" w:w="2160"/>
          </w:tcPr>
          <w:p>
            <w:pPr>
              <w:jc w:val="center"/>
            </w:pPr>
            <w:r>
              <w:rPr>
                <w:sz w:val="18"/>
              </w:rPr>
              <w:t>Δ pct_black</w:t>
            </w:r>
          </w:p>
        </w:tc>
        <w:tc>
          <w:tcPr>
            <w:tcW w:type="dxa" w:w="2160"/>
          </w:tcPr>
          <w:p>
            <w:pPr>
              <w:jc w:val="center"/>
            </w:pPr>
            <w:r>
              <w:rPr>
                <w:sz w:val="18"/>
              </w:rPr>
              <w:t>−0.194</w:t>
            </w:r>
          </w:p>
        </w:tc>
        <w:tc>
          <w:tcPr>
            <w:tcW w:type="dxa" w:w="2160"/>
          </w:tcPr>
          <w:p>
            <w:pPr>
              <w:jc w:val="center"/>
            </w:pPr>
            <w:r>
              <w:rPr>
                <w:sz w:val="18"/>
              </w:rPr>
              <w:t>0.0020</w:t>
            </w:r>
          </w:p>
        </w:tc>
        <w:tc>
          <w:tcPr>
            <w:tcW w:type="dxa" w:w="2160"/>
          </w:tcPr>
          <w:p>
            <w:pPr>
              <w:jc w:val="center"/>
            </w:pPr>
            <w:r>
              <w:rPr>
                <w:sz w:val="18"/>
              </w:rPr>
              <w:t>Growing single group → less volatile</w:t>
            </w:r>
          </w:p>
        </w:tc>
      </w:tr>
    </w:tbl>
    <w:p/>
    <w:p>
      <w:r>
        <w:t>Diversification predicts volatility; growth of a single group does not.</w:t>
      </w:r>
    </w:p>
    <w:p>
      <w:pPr>
        <w:jc w:val="center"/>
      </w:pPr>
      <w:r>
        <w:drawing>
          <wp:inline xmlns:a="http://schemas.openxmlformats.org/drawingml/2006/main" xmlns:pic="http://schemas.openxmlformats.org/drawingml/2006/picture">
            <wp:extent cx="5303520" cy="2335132"/>
            <wp:docPr id="13" name="Picture 13"/>
            <wp:cNvGraphicFramePr>
              <a:graphicFrameLocks noChangeAspect="1"/>
            </wp:cNvGraphicFramePr>
            <a:graphic>
              <a:graphicData uri="http://schemas.openxmlformats.org/drawingml/2006/picture">
                <pic:pic>
                  <pic:nvPicPr>
                    <pic:cNvPr id="0" name="deepdive2_temporal_demographic_shifts.png"/>
                    <pic:cNvPicPr/>
                  </pic:nvPicPr>
                  <pic:blipFill>
                    <a:blip r:embed="rId21"/>
                    <a:stretch>
                      <a:fillRect/>
                    </a:stretch>
                  </pic:blipFill>
                  <pic:spPr>
                    <a:xfrm>
                      <a:off x="0" y="0"/>
                      <a:ext cx="5303520" cy="2335132"/>
                    </a:xfrm>
                    <a:prstGeom prst="rect"/>
                  </pic:spPr>
                </pic:pic>
              </a:graphicData>
            </a:graphic>
          </wp:inline>
        </w:drawing>
      </w:r>
    </w:p>
    <w:p>
      <w:pPr>
        <w:jc w:val="center"/>
      </w:pPr>
      <w:r>
        <w:rPr>
          <w:i/>
          <w:color w:val="555555"/>
          <w:sz w:val="18"/>
        </w:rPr>
        <w:t>Figure 13: Temporal shifts vs volatility. Correlations (left) and top scatter plots (right).</w:t>
      </w:r>
    </w:p>
    <w:p>
      <w:pPr>
        <w:pStyle w:val="Heading2"/>
      </w:pPr>
      <w:r>
        <w:t>9.2 Election Margin Trajectories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Trajectory</w:t>
            </w:r>
          </w:p>
        </w:tc>
        <w:tc>
          <w:tcPr>
            <w:tcW w:type="dxa" w:w="1728"/>
          </w:tcPr>
          <w:p>
            <w:pPr>
              <w:jc w:val="center"/>
            </w:pPr>
            <w:r>
              <w:rPr>
                <w:b/>
                <w:sz w:val="18"/>
              </w:rPr>
              <w:t>n</w:t>
            </w:r>
          </w:p>
        </w:tc>
        <w:tc>
          <w:tcPr>
            <w:tcW w:type="dxa" w:w="1728"/>
          </w:tcPr>
          <w:p>
            <w:pPr>
              <w:jc w:val="center"/>
            </w:pPr>
            <w:r>
              <w:rPr>
                <w:b/>
                <w:sz w:val="18"/>
              </w:rPr>
              <w:t>Mean Vol</w:t>
            </w:r>
          </w:p>
        </w:tc>
        <w:tc>
          <w:tcPr>
            <w:tcW w:type="dxa" w:w="1728"/>
          </w:tcPr>
          <w:p>
            <w:pPr>
              <w:jc w:val="center"/>
            </w:pPr>
            <w:r>
              <w:rPr>
                <w:b/>
                <w:sz w:val="18"/>
              </w:rPr>
              <w:t>% High Vol</w:t>
            </w:r>
          </w:p>
        </w:tc>
        <w:tc>
          <w:tcPr>
            <w:tcW w:type="dxa" w:w="1728"/>
          </w:tcPr>
          <w:p>
            <w:pPr>
              <w:jc w:val="center"/>
            </w:pPr>
            <w:r>
              <w:rPr>
                <w:b/>
                <w:sz w:val="18"/>
              </w:rPr>
              <w:t>Pattern</w:t>
            </w:r>
          </w:p>
        </w:tc>
      </w:tr>
      <w:tr>
        <w:tc>
          <w:tcPr>
            <w:tcW w:type="dxa" w:w="1728"/>
          </w:tcPr>
          <w:p>
            <w:pPr>
              <w:jc w:val="center"/>
            </w:pPr>
            <w:r>
              <w:rPr>
                <w:sz w:val="18"/>
              </w:rPr>
              <w:t>Blue Bounceback</w:t>
            </w:r>
          </w:p>
        </w:tc>
        <w:tc>
          <w:tcPr>
            <w:tcW w:type="dxa" w:w="1728"/>
          </w:tcPr>
          <w:p>
            <w:pPr>
              <w:jc w:val="center"/>
            </w:pPr>
            <w:r>
              <w:rPr>
                <w:sz w:val="18"/>
              </w:rPr>
              <w:t>117 (47%)</w:t>
            </w:r>
          </w:p>
        </w:tc>
        <w:tc>
          <w:tcPr>
            <w:tcW w:type="dxa" w:w="1728"/>
          </w:tcPr>
          <w:p>
            <w:pPr>
              <w:jc w:val="center"/>
            </w:pPr>
            <w:r>
              <w:rPr>
                <w:sz w:val="18"/>
              </w:rPr>
              <w:t>−0.17</w:t>
            </w:r>
          </w:p>
        </w:tc>
        <w:tc>
          <w:tcPr>
            <w:tcW w:type="dxa" w:w="1728"/>
          </w:tcPr>
          <w:p>
            <w:pPr>
              <w:jc w:val="center"/>
            </w:pPr>
            <w:r>
              <w:rPr>
                <w:sz w:val="18"/>
              </w:rPr>
              <w:t>34%</w:t>
            </w:r>
          </w:p>
        </w:tc>
        <w:tc>
          <w:tcPr>
            <w:tcW w:type="dxa" w:w="1728"/>
          </w:tcPr>
          <w:p>
            <w:pPr>
              <w:jc w:val="center"/>
            </w:pPr>
            <w:r>
              <w:rPr>
                <w:sz w:val="18"/>
              </w:rPr>
              <w:t>D in 2020, snapped back 2024</w:t>
            </w:r>
          </w:p>
        </w:tc>
      </w:tr>
      <w:tr>
        <w:tc>
          <w:tcPr>
            <w:tcW w:type="dxa" w:w="1728"/>
          </w:tcPr>
          <w:p>
            <w:pPr>
              <w:jc w:val="center"/>
            </w:pPr>
            <w:r>
              <w:rPr>
                <w:sz w:val="18"/>
              </w:rPr>
              <w:t>Steady Red Drift</w:t>
            </w:r>
          </w:p>
        </w:tc>
        <w:tc>
          <w:tcPr>
            <w:tcW w:type="dxa" w:w="1728"/>
          </w:tcPr>
          <w:p>
            <w:pPr>
              <w:jc w:val="center"/>
            </w:pPr>
            <w:r>
              <w:rPr>
                <w:sz w:val="18"/>
              </w:rPr>
              <w:t>94 (38%)</w:t>
            </w:r>
          </w:p>
        </w:tc>
        <w:tc>
          <w:tcPr>
            <w:tcW w:type="dxa" w:w="1728"/>
          </w:tcPr>
          <w:p>
            <w:pPr>
              <w:jc w:val="center"/>
            </w:pPr>
            <w:r>
              <w:rPr>
                <w:sz w:val="18"/>
              </w:rPr>
              <w:t>+0.39</w:t>
            </w:r>
          </w:p>
        </w:tc>
        <w:tc>
          <w:tcPr>
            <w:tcW w:type="dxa" w:w="1728"/>
          </w:tcPr>
          <w:p>
            <w:pPr>
              <w:jc w:val="center"/>
            </w:pPr>
            <w:r>
              <w:rPr>
                <w:sz w:val="18"/>
              </w:rPr>
              <w:t>50%</w:t>
            </w:r>
          </w:p>
        </w:tc>
        <w:tc>
          <w:tcPr>
            <w:tcW w:type="dxa" w:w="1728"/>
          </w:tcPr>
          <w:p>
            <w:pPr>
              <w:jc w:val="center"/>
            </w:pPr>
            <w:r>
              <w:rPr>
                <w:sz w:val="18"/>
              </w:rPr>
              <w:t>R in both — most volatile</w:t>
            </w:r>
          </w:p>
        </w:tc>
      </w:tr>
      <w:tr>
        <w:tc>
          <w:tcPr>
            <w:tcW w:type="dxa" w:w="1728"/>
          </w:tcPr>
          <w:p>
            <w:pPr>
              <w:jc w:val="center"/>
            </w:pPr>
            <w:r>
              <w:rPr>
                <w:sz w:val="18"/>
              </w:rPr>
              <w:t>Steady Blue Drift</w:t>
            </w:r>
          </w:p>
        </w:tc>
        <w:tc>
          <w:tcPr>
            <w:tcW w:type="dxa" w:w="1728"/>
          </w:tcPr>
          <w:p>
            <w:pPr>
              <w:jc w:val="center"/>
            </w:pPr>
            <w:r>
              <w:rPr>
                <w:sz w:val="18"/>
              </w:rPr>
              <w:t>35 (14%)</w:t>
            </w:r>
          </w:p>
        </w:tc>
        <w:tc>
          <w:tcPr>
            <w:tcW w:type="dxa" w:w="1728"/>
          </w:tcPr>
          <w:p>
            <w:pPr>
              <w:jc w:val="center"/>
            </w:pPr>
            <w:r>
              <w:rPr>
                <w:sz w:val="18"/>
              </w:rPr>
              <w:t>−0.28</w:t>
            </w:r>
          </w:p>
        </w:tc>
        <w:tc>
          <w:tcPr>
            <w:tcW w:type="dxa" w:w="1728"/>
          </w:tcPr>
          <w:p>
            <w:pPr>
              <w:jc w:val="center"/>
            </w:pPr>
            <w:r>
              <w:rPr>
                <w:sz w:val="18"/>
              </w:rPr>
              <w:t>37%</w:t>
            </w:r>
          </w:p>
        </w:tc>
        <w:tc>
          <w:tcPr>
            <w:tcW w:type="dxa" w:w="1728"/>
          </w:tcPr>
          <w:p>
            <w:pPr>
              <w:jc w:val="center"/>
            </w:pPr>
            <w:r>
              <w:rPr>
                <w:sz w:val="18"/>
              </w:rPr>
              <w:t>D in both cycles</w:t>
            </w:r>
          </w:p>
        </w:tc>
      </w:tr>
      <w:tr>
        <w:tc>
          <w:tcPr>
            <w:tcW w:type="dxa" w:w="1728"/>
          </w:tcPr>
          <w:p>
            <w:pPr>
              <w:jc w:val="center"/>
            </w:pPr>
            <w:r>
              <w:rPr>
                <w:sz w:val="18"/>
              </w:rPr>
              <w:t>Red Bounceback</w:t>
            </w:r>
          </w:p>
        </w:tc>
        <w:tc>
          <w:tcPr>
            <w:tcW w:type="dxa" w:w="1728"/>
          </w:tcPr>
          <w:p>
            <w:pPr>
              <w:jc w:val="center"/>
            </w:pPr>
            <w:r>
              <w:rPr>
                <w:sz w:val="18"/>
              </w:rPr>
              <w:t>4 (2%)</w:t>
            </w:r>
          </w:p>
        </w:tc>
        <w:tc>
          <w:tcPr>
            <w:tcW w:type="dxa" w:w="1728"/>
          </w:tcPr>
          <w:p>
            <w:pPr>
              <w:jc w:val="center"/>
            </w:pPr>
            <w:r>
              <w:rPr>
                <w:sz w:val="18"/>
              </w:rPr>
              <w:t>−1.82</w:t>
            </w:r>
          </w:p>
        </w:tc>
        <w:tc>
          <w:tcPr>
            <w:tcW w:type="dxa" w:w="1728"/>
          </w:tcPr>
          <w:p>
            <w:pPr>
              <w:jc w:val="center"/>
            </w:pPr>
            <w:r>
              <w:rPr>
                <w:sz w:val="18"/>
              </w:rPr>
              <w:t>0%</w:t>
            </w:r>
          </w:p>
        </w:tc>
        <w:tc>
          <w:tcPr>
            <w:tcW w:type="dxa" w:w="1728"/>
          </w:tcPr>
          <w:p>
            <w:pPr>
              <w:jc w:val="center"/>
            </w:pPr>
            <w:r>
              <w:rPr>
                <w:sz w:val="18"/>
              </w:rPr>
              <w:t>Extremely rare</w:t>
            </w:r>
          </w:p>
        </w:tc>
      </w:tr>
    </w:tbl>
    <w:p/>
    <w:p>
      <w:r>
        <w:t>Blue Bounceback is dominant (47%) — the 2020 Biden surge was temporary. Steady Red Drift is the most volatile (50%). NC is different: 49% Steady Red Drift vs 27–33% in PA/MI.</w:t>
      </w:r>
    </w:p>
    <w:p>
      <w:pPr>
        <w:jc w:val="center"/>
      </w:pPr>
      <w:r>
        <w:drawing>
          <wp:inline xmlns:a="http://schemas.openxmlformats.org/drawingml/2006/main" xmlns:pic="http://schemas.openxmlformats.org/drawingml/2006/picture">
            <wp:extent cx="5303520" cy="2054283"/>
            <wp:docPr id="14" name="Picture 14"/>
            <wp:cNvGraphicFramePr>
              <a:graphicFrameLocks noChangeAspect="1"/>
            </wp:cNvGraphicFramePr>
            <a:graphic>
              <a:graphicData uri="http://schemas.openxmlformats.org/drawingml/2006/picture">
                <pic:pic>
                  <pic:nvPicPr>
                    <pic:cNvPr id="0" name="deepdive2_margin_trajectories.png"/>
                    <pic:cNvPicPr/>
                  </pic:nvPicPr>
                  <pic:blipFill>
                    <a:blip r:embed="rId22"/>
                    <a:stretch>
                      <a:fillRect/>
                    </a:stretch>
                  </pic:blipFill>
                  <pic:spPr>
                    <a:xfrm>
                      <a:off x="0" y="0"/>
                      <a:ext cx="5303520" cy="2054283"/>
                    </a:xfrm>
                    <a:prstGeom prst="rect"/>
                  </pic:spPr>
                </pic:pic>
              </a:graphicData>
            </a:graphic>
          </wp:inline>
        </w:drawing>
      </w:r>
    </w:p>
    <w:p>
      <w:pPr>
        <w:jc w:val="center"/>
      </w:pPr>
      <w:r>
        <w:rPr>
          <w:i/>
          <w:color w:val="555555"/>
          <w:sz w:val="18"/>
        </w:rPr>
        <w:t>Figure 14: Spaghetti trajectories by state. Each line = one county, colored by trajectory type.</w:t>
      </w:r>
    </w:p>
    <w:p>
      <w:pPr>
        <w:pStyle w:val="Heading2"/>
      </w:pPr>
      <w:r>
        <w:t>9.3 The Diversity Threshold</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Metric</w:t>
            </w:r>
          </w:p>
        </w:tc>
        <w:tc>
          <w:tcPr>
            <w:tcW w:type="dxa" w:w="4320"/>
          </w:tcPr>
          <w:p>
            <w:pPr>
              <w:jc w:val="center"/>
            </w:pPr>
            <w:r>
              <w:rPr>
                <w:b/>
                <w:sz w:val="18"/>
              </w:rPr>
              <w:t>Value</w:t>
            </w:r>
          </w:p>
        </w:tc>
      </w:tr>
      <w:tr>
        <w:tc>
          <w:tcPr>
            <w:tcW w:type="dxa" w:w="4320"/>
          </w:tcPr>
          <w:p>
            <w:pPr>
              <w:jc w:val="center"/>
            </w:pPr>
            <w:r>
              <w:rPr>
                <w:sz w:val="18"/>
              </w:rPr>
              <w:t>Optimal threshold</w:t>
            </w:r>
          </w:p>
        </w:tc>
        <w:tc>
          <w:tcPr>
            <w:tcW w:type="dxa" w:w="4320"/>
          </w:tcPr>
          <w:p>
            <w:pPr>
              <w:jc w:val="center"/>
            </w:pPr>
            <w:r>
              <w:rPr>
                <w:sz w:val="18"/>
              </w:rPr>
              <w:t>race_entropy_norm = 0.552</w:t>
            </w:r>
          </w:p>
        </w:tc>
      </w:tr>
      <w:tr>
        <w:tc>
          <w:tcPr>
            <w:tcW w:type="dxa" w:w="4320"/>
          </w:tcPr>
          <w:p>
            <w:pPr>
              <w:jc w:val="center"/>
            </w:pPr>
            <w:r>
              <w:rPr>
                <w:sz w:val="18"/>
              </w:rPr>
              <w:t>95% Bootstrap CI</w:t>
            </w:r>
          </w:p>
        </w:tc>
        <w:tc>
          <w:tcPr>
            <w:tcW w:type="dxa" w:w="4320"/>
          </w:tcPr>
          <w:p>
            <w:pPr>
              <w:jc w:val="center"/>
            </w:pPr>
            <w:r>
              <w:rPr>
                <w:sz w:val="18"/>
              </w:rPr>
              <w:t>[0.397, 0.642]</w:t>
            </w:r>
          </w:p>
        </w:tc>
      </w:tr>
      <w:tr>
        <w:tc>
          <w:tcPr>
            <w:tcW w:type="dxa" w:w="4320"/>
          </w:tcPr>
          <w:p>
            <w:pPr>
              <w:jc w:val="center"/>
            </w:pPr>
            <w:r>
              <w:rPr>
                <w:sz w:val="18"/>
              </w:rPr>
              <w:t>Below: % high vol</w:t>
            </w:r>
          </w:p>
        </w:tc>
        <w:tc>
          <w:tcPr>
            <w:tcW w:type="dxa" w:w="4320"/>
          </w:tcPr>
          <w:p>
            <w:pPr>
              <w:jc w:val="center"/>
            </w:pPr>
            <w:r>
              <w:rPr>
                <w:sz w:val="18"/>
              </w:rPr>
              <w:t>24.4%</w:t>
            </w:r>
          </w:p>
        </w:tc>
      </w:tr>
      <w:tr>
        <w:tc>
          <w:tcPr>
            <w:tcW w:type="dxa" w:w="4320"/>
          </w:tcPr>
          <w:p>
            <w:pPr>
              <w:jc w:val="center"/>
            </w:pPr>
            <w:r>
              <w:rPr>
                <w:sz w:val="18"/>
              </w:rPr>
              <w:t>Above: % high vol</w:t>
            </w:r>
          </w:p>
        </w:tc>
        <w:tc>
          <w:tcPr>
            <w:tcW w:type="dxa" w:w="4320"/>
          </w:tcPr>
          <w:p>
            <w:pPr>
              <w:jc w:val="center"/>
            </w:pPr>
            <w:r>
              <w:rPr>
                <w:sz w:val="18"/>
              </w:rPr>
              <w:t>69.8%</w:t>
            </w:r>
          </w:p>
        </w:tc>
      </w:tr>
      <w:tr>
        <w:tc>
          <w:tcPr>
            <w:tcW w:type="dxa" w:w="4320"/>
          </w:tcPr>
          <w:p>
            <w:pPr>
              <w:jc w:val="center"/>
            </w:pPr>
            <w:r>
              <w:rPr>
                <w:sz w:val="18"/>
              </w:rPr>
              <w:t>Odds ratio</w:t>
            </w:r>
          </w:p>
        </w:tc>
        <w:tc>
          <w:tcPr>
            <w:tcW w:type="dxa" w:w="4320"/>
          </w:tcPr>
          <w:p>
            <w:pPr>
              <w:jc w:val="center"/>
            </w:pPr>
            <w:r>
              <w:rPr>
                <w:sz w:val="18"/>
              </w:rPr>
              <w:t>7.15×</w:t>
            </w:r>
          </w:p>
        </w:tc>
      </w:tr>
    </w:tbl>
    <w:p/>
    <w:p>
      <w:r>
        <w:t>Counties where no single race exceeds ~60% are 7× more likely to be highly volatile. P(high vol) jumps from ~20% to ~70% across the threshold — a switch, not a dial.</w:t>
      </w:r>
    </w:p>
    <w:p>
      <w:pPr>
        <w:jc w:val="center"/>
      </w:pPr>
      <w:r>
        <w:drawing>
          <wp:inline xmlns:a="http://schemas.openxmlformats.org/drawingml/2006/main" xmlns:pic="http://schemas.openxmlformats.org/drawingml/2006/picture">
            <wp:extent cx="5303520" cy="2129324"/>
            <wp:docPr id="15" name="Picture 15"/>
            <wp:cNvGraphicFramePr>
              <a:graphicFrameLocks noChangeAspect="1"/>
            </wp:cNvGraphicFramePr>
            <a:graphic>
              <a:graphicData uri="http://schemas.openxmlformats.org/drawingml/2006/picture">
                <pic:pic>
                  <pic:nvPicPr>
                    <pic:cNvPr id="0" name="deepdive2_diversity_threshold.png"/>
                    <pic:cNvPicPr/>
                  </pic:nvPicPr>
                  <pic:blipFill>
                    <a:blip r:embed="rId23"/>
                    <a:stretch>
                      <a:fillRect/>
                    </a:stretch>
                  </pic:blipFill>
                  <pic:spPr>
                    <a:xfrm>
                      <a:off x="0" y="0"/>
                      <a:ext cx="5303520" cy="2129324"/>
                    </a:xfrm>
                    <a:prstGeom prst="rect"/>
                  </pic:spPr>
                </pic:pic>
              </a:graphicData>
            </a:graphic>
          </wp:inline>
        </w:drawing>
      </w:r>
    </w:p>
    <w:p>
      <w:pPr>
        <w:jc w:val="center"/>
      </w:pPr>
      <w:r>
        <w:rPr>
          <w:i/>
          <w:color w:val="555555"/>
          <w:sz w:val="18"/>
        </w:rPr>
        <w:t>Figure 15: Diversity threshold. KDE distributions (left) and rolling probability curve (right).</w:t>
      </w:r>
    </w:p>
    <w:p>
      <w:pPr>
        <w:pStyle w:val="Heading2"/>
      </w:pPr>
      <w:r>
        <w:t>9.4 Feature Effects &amp; Interactions</w:t>
      </w:r>
    </w:p>
    <w:p>
      <w:r>
        <w:rPr>
          <w:b/>
          <w:color w:val="2A6E2A"/>
          <w:sz w:val="20"/>
        </w:rPr>
        <w:t xml:space="preserve">📖 What is Partial Dependence Plots? </w:t>
      </w:r>
      <w:r>
        <w:rPr>
          <w:sz w:val="20"/>
        </w:rPr>
        <w:t>PDPs show how one feature affects prediction, averaged across all others. "If we changed just this feature while keeping everything else constant, how would the predicted volatility change?"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Feature</w:t>
            </w:r>
          </w:p>
        </w:tc>
        <w:tc>
          <w:tcPr>
            <w:tcW w:type="dxa" w:w="2880"/>
          </w:tcPr>
          <w:p>
            <w:pPr>
              <w:jc w:val="center"/>
            </w:pPr>
            <w:r>
              <w:rPr>
                <w:b/>
                <w:sz w:val="18"/>
              </w:rPr>
              <w:t>Shape</w:t>
            </w:r>
          </w:p>
        </w:tc>
        <w:tc>
          <w:tcPr>
            <w:tcW w:type="dxa" w:w="2880"/>
          </w:tcPr>
          <w:p>
            <w:pPr>
              <w:jc w:val="center"/>
            </w:pPr>
            <w:r>
              <w:rPr>
                <w:b/>
                <w:sz w:val="18"/>
              </w:rPr>
              <w:t>Meaning</w:t>
            </w:r>
          </w:p>
        </w:tc>
      </w:tr>
      <w:tr>
        <w:tc>
          <w:tcPr>
            <w:tcW w:type="dxa" w:w="2880"/>
          </w:tcPr>
          <w:p>
            <w:pPr>
              <w:jc w:val="center"/>
            </w:pPr>
            <w:r>
              <w:rPr>
                <w:sz w:val="18"/>
              </w:rPr>
              <w:t>Diversity index</w:t>
            </w:r>
          </w:p>
        </w:tc>
        <w:tc>
          <w:tcPr>
            <w:tcW w:type="dxa" w:w="2880"/>
          </w:tcPr>
          <w:p>
            <w:pPr>
              <w:jc w:val="center"/>
            </w:pPr>
            <w:r>
              <w:rPr>
                <w:sz w:val="18"/>
              </w:rPr>
              <w:t>Step function</w:t>
            </w:r>
          </w:p>
        </w:tc>
        <w:tc>
          <w:tcPr>
            <w:tcW w:type="dxa" w:w="2880"/>
          </w:tcPr>
          <w:p>
            <w:pPr>
              <w:jc w:val="center"/>
            </w:pPr>
            <w:r>
              <w:rPr>
                <w:sz w:val="18"/>
              </w:rPr>
              <w:t>Flat → jumps at threshold → plateaus</w:t>
            </w:r>
          </w:p>
        </w:tc>
      </w:tr>
      <w:tr>
        <w:tc>
          <w:tcPr>
            <w:tcW w:type="dxa" w:w="2880"/>
          </w:tcPr>
          <w:p>
            <w:pPr>
              <w:jc w:val="center"/>
            </w:pPr>
            <w:r>
              <w:rPr>
                <w:sz w:val="18"/>
              </w:rPr>
              <w:t>Housing cost</w:t>
            </w:r>
          </w:p>
        </w:tc>
        <w:tc>
          <w:tcPr>
            <w:tcW w:type="dxa" w:w="2880"/>
          </w:tcPr>
          <w:p>
            <w:pPr>
              <w:jc w:val="center"/>
            </w:pPr>
            <w:r>
              <w:rPr>
                <w:sz w:val="18"/>
              </w:rPr>
              <w:t>Monotonic increase</w:t>
            </w:r>
          </w:p>
        </w:tc>
        <w:tc>
          <w:tcPr>
            <w:tcW w:type="dxa" w:w="2880"/>
          </w:tcPr>
          <w:p>
            <w:pPr>
              <w:jc w:val="center"/>
            </w:pPr>
            <w:r>
              <w:rPr>
                <w:sz w:val="18"/>
              </w:rPr>
              <w:t>Higher rent = higher P(volatile)</w:t>
            </w:r>
          </w:p>
        </w:tc>
      </w:tr>
      <w:tr>
        <w:tc>
          <w:tcPr>
            <w:tcW w:type="dxa" w:w="2880"/>
          </w:tcPr>
          <w:p>
            <w:pPr>
              <w:jc w:val="center"/>
            </w:pPr>
            <w:r>
              <w:rPr>
                <w:sz w:val="18"/>
              </w:rPr>
              <w:t>Poverty rate</w:t>
            </w:r>
          </w:p>
        </w:tc>
        <w:tc>
          <w:tcPr>
            <w:tcW w:type="dxa" w:w="2880"/>
          </w:tcPr>
          <w:p>
            <w:pPr>
              <w:jc w:val="center"/>
            </w:pPr>
            <w:r>
              <w:rPr>
                <w:sz w:val="18"/>
              </w:rPr>
              <w:t>Late spike</w:t>
            </w:r>
          </w:p>
        </w:tc>
        <w:tc>
          <w:tcPr>
            <w:tcW w:type="dxa" w:w="2880"/>
          </w:tcPr>
          <w:p>
            <w:pPr>
              <w:jc w:val="center"/>
            </w:pPr>
            <w:r>
              <w:rPr>
                <w:sz w:val="18"/>
              </w:rPr>
              <w:t>Flat until extreme poverty, then jumps</w:t>
            </w:r>
          </w:p>
        </w:tc>
      </w:tr>
      <w:tr>
        <w:tc>
          <w:tcPr>
            <w:tcW w:type="dxa" w:w="2880"/>
          </w:tcPr>
          <w:p>
            <w:pPr>
              <w:jc w:val="center"/>
            </w:pPr>
            <w:r>
              <w:rPr>
                <w:sz w:val="18"/>
              </w:rPr>
              <w:t>Married-couple %</w:t>
            </w:r>
          </w:p>
        </w:tc>
        <w:tc>
          <w:tcPr>
            <w:tcW w:type="dxa" w:w="2880"/>
          </w:tcPr>
          <w:p>
            <w:pPr>
              <w:jc w:val="center"/>
            </w:pPr>
            <w:r>
              <w:rPr>
                <w:sz w:val="18"/>
              </w:rPr>
              <w:t>Flat</w:t>
            </w:r>
          </w:p>
        </w:tc>
        <w:tc>
          <w:tcPr>
            <w:tcW w:type="dxa" w:w="2880"/>
          </w:tcPr>
          <w:p>
            <w:pPr>
              <w:jc w:val="center"/>
            </w:pPr>
            <w:r>
              <w:rPr>
                <w:sz w:val="18"/>
              </w:rPr>
              <w:t>Works only through interactions</w:t>
            </w:r>
          </w:p>
        </w:tc>
      </w:tr>
      <w:tr>
        <w:tc>
          <w:tcPr>
            <w:tcW w:type="dxa" w:w="2880"/>
          </w:tcPr>
          <w:p>
            <w:pPr>
              <w:jc w:val="center"/>
            </w:pPr>
            <w:r>
              <w:rPr>
                <w:sz w:val="18"/>
              </w:rPr>
              <w:t>Bachelor's %</w:t>
            </w:r>
          </w:p>
        </w:tc>
        <w:tc>
          <w:tcPr>
            <w:tcW w:type="dxa" w:w="2880"/>
          </w:tcPr>
          <w:p>
            <w:pPr>
              <w:jc w:val="center"/>
            </w:pPr>
            <w:r>
              <w:rPr>
                <w:sz w:val="18"/>
              </w:rPr>
              <w:t>Slight upward</w:t>
            </w:r>
          </w:p>
        </w:tc>
        <w:tc>
          <w:tcPr>
            <w:tcW w:type="dxa" w:w="2880"/>
          </w:tcPr>
          <w:p>
            <w:pPr>
              <w:jc w:val="center"/>
            </w:pPr>
            <w:r>
              <w:rPr>
                <w:sz w:val="18"/>
              </w:rPr>
              <w:t>Modest effect at high education</w:t>
            </w:r>
          </w:p>
        </w:tc>
      </w:tr>
      <w:tr>
        <w:tc>
          <w:tcPr>
            <w:tcW w:type="dxa" w:w="2880"/>
          </w:tcPr>
          <w:p>
            <w:pPr>
              <w:jc w:val="center"/>
            </w:pPr>
            <w:r>
              <w:rPr>
                <w:sz w:val="18"/>
              </w:rPr>
              <w:t>Pop. density</w:t>
            </w:r>
          </w:p>
        </w:tc>
        <w:tc>
          <w:tcPr>
            <w:tcW w:type="dxa" w:w="2880"/>
          </w:tcPr>
          <w:p>
            <w:pPr>
              <w:jc w:val="center"/>
            </w:pPr>
            <w:r>
              <w:rPr>
                <w:sz w:val="18"/>
              </w:rPr>
              <w:t>Uptick at extremes</w:t>
            </w:r>
          </w:p>
        </w:tc>
        <w:tc>
          <w:tcPr>
            <w:tcW w:type="dxa" w:w="2880"/>
          </w:tcPr>
          <w:p>
            <w:pPr>
              <w:jc w:val="center"/>
            </w:pPr>
            <w:r>
              <w:rPr>
                <w:sz w:val="18"/>
              </w:rPr>
              <w:t>Mostly interaction-driven</w:t>
            </w:r>
          </w:p>
        </w:tc>
      </w:tr>
    </w:tbl>
    <w:p/>
    <w:p>
      <w:pPr>
        <w:jc w:val="center"/>
      </w:pPr>
      <w:r>
        <w:drawing>
          <wp:inline xmlns:a="http://schemas.openxmlformats.org/drawingml/2006/main" xmlns:pic="http://schemas.openxmlformats.org/drawingml/2006/picture">
            <wp:extent cx="5303520" cy="4488667"/>
            <wp:docPr id="16" name="Picture 16"/>
            <wp:cNvGraphicFramePr>
              <a:graphicFrameLocks noChangeAspect="1"/>
            </wp:cNvGraphicFramePr>
            <a:graphic>
              <a:graphicData uri="http://schemas.openxmlformats.org/drawingml/2006/picture">
                <pic:pic>
                  <pic:nvPicPr>
                    <pic:cNvPr id="0" name="deepdive2_partial_dependence.png"/>
                    <pic:cNvPicPr/>
                  </pic:nvPicPr>
                  <pic:blipFill>
                    <a:blip r:embed="rId24"/>
                    <a:stretch>
                      <a:fillRect/>
                    </a:stretch>
                  </pic:blipFill>
                  <pic:spPr>
                    <a:xfrm>
                      <a:off x="0" y="0"/>
                      <a:ext cx="5303520" cy="4488667"/>
                    </a:xfrm>
                    <a:prstGeom prst="rect"/>
                  </pic:spPr>
                </pic:pic>
              </a:graphicData>
            </a:graphic>
          </wp:inline>
        </w:drawing>
      </w:r>
    </w:p>
    <w:p>
      <w:pPr>
        <w:jc w:val="center"/>
      </w:pPr>
      <w:r>
        <w:rPr>
          <w:i/>
          <w:color w:val="555555"/>
          <w:sz w:val="18"/>
        </w:rPr>
        <w:t>Figure 16: PDPs with ICE lines (top), 2D interaction contours (bottom-left), and PDP-based importance (bottom-right).</w:t>
      </w:r>
    </w:p>
    <w:p>
      <w:r>
        <w:rPr>
          <w:b/>
        </w:rPr>
        <w:t>Diversity × Poverty — The Clearest Interaction: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Quadrant</w:t>
            </w:r>
          </w:p>
        </w:tc>
        <w:tc>
          <w:tcPr>
            <w:tcW w:type="dxa" w:w="1728"/>
          </w:tcPr>
          <w:p>
            <w:pPr>
              <w:jc w:val="center"/>
            </w:pPr>
            <w:r>
              <w:rPr>
                <w:b/>
                <w:sz w:val="18"/>
              </w:rPr>
              <w:t>n</w:t>
            </w:r>
          </w:p>
        </w:tc>
        <w:tc>
          <w:tcPr>
            <w:tcW w:type="dxa" w:w="1728"/>
          </w:tcPr>
          <w:p>
            <w:pPr>
              <w:jc w:val="center"/>
            </w:pPr>
            <w:r>
              <w:rPr>
                <w:b/>
                <w:sz w:val="18"/>
              </w:rPr>
              <w:t>Mean Vol</w:t>
            </w:r>
          </w:p>
        </w:tc>
        <w:tc>
          <w:tcPr>
            <w:tcW w:type="dxa" w:w="1728"/>
          </w:tcPr>
          <w:p>
            <w:pPr>
              <w:jc w:val="center"/>
            </w:pPr>
            <w:r>
              <w:rPr>
                <w:b/>
                <w:sz w:val="18"/>
              </w:rPr>
              <w:t>% High Vol</w:t>
            </w:r>
          </w:p>
        </w:tc>
        <w:tc>
          <w:tcPr>
            <w:tcW w:type="dxa" w:w="1728"/>
          </w:tcPr>
          <w:p>
            <w:pPr>
              <w:jc w:val="center"/>
            </w:pPr>
            <w:r>
              <w:rPr>
                <w:b/>
                <w:sz w:val="18"/>
              </w:rPr>
              <w:t>% Misfits</w:t>
            </w:r>
          </w:p>
        </w:tc>
      </w:tr>
      <w:tr>
        <w:tc>
          <w:tcPr>
            <w:tcW w:type="dxa" w:w="1728"/>
          </w:tcPr>
          <w:p>
            <w:pPr>
              <w:jc w:val="center"/>
            </w:pPr>
            <w:r>
              <w:rPr>
                <w:sz w:val="18"/>
              </w:rPr>
              <w:t>Low Div + Low Poverty</w:t>
            </w:r>
          </w:p>
        </w:tc>
        <w:tc>
          <w:tcPr>
            <w:tcW w:type="dxa" w:w="1728"/>
          </w:tcPr>
          <w:p>
            <w:pPr>
              <w:jc w:val="center"/>
            </w:pPr>
            <w:r>
              <w:rPr>
                <w:sz w:val="18"/>
              </w:rPr>
              <w:t>73</w:t>
            </w:r>
          </w:p>
        </w:tc>
        <w:tc>
          <w:tcPr>
            <w:tcW w:type="dxa" w:w="1728"/>
          </w:tcPr>
          <w:p>
            <w:pPr>
              <w:jc w:val="center"/>
            </w:pPr>
            <w:r>
              <w:rPr>
                <w:sz w:val="18"/>
              </w:rPr>
              <w:t>−0.622</w:t>
            </w:r>
          </w:p>
        </w:tc>
        <w:tc>
          <w:tcPr>
            <w:tcW w:type="dxa" w:w="1728"/>
          </w:tcPr>
          <w:p>
            <w:pPr>
              <w:jc w:val="center"/>
            </w:pPr>
            <w:r>
              <w:rPr>
                <w:sz w:val="18"/>
              </w:rPr>
              <w:t>19%</w:t>
            </w:r>
          </w:p>
        </w:tc>
        <w:tc>
          <w:tcPr>
            <w:tcW w:type="dxa" w:w="1728"/>
          </w:tcPr>
          <w:p>
            <w:pPr>
              <w:jc w:val="center"/>
            </w:pPr>
            <w:r>
              <w:rPr>
                <w:sz w:val="18"/>
              </w:rPr>
              <w:t>11%</w:t>
            </w:r>
          </w:p>
        </w:tc>
      </w:tr>
      <w:tr>
        <w:tc>
          <w:tcPr>
            <w:tcW w:type="dxa" w:w="1728"/>
          </w:tcPr>
          <w:p>
            <w:pPr>
              <w:jc w:val="center"/>
            </w:pPr>
            <w:r>
              <w:rPr>
                <w:sz w:val="18"/>
              </w:rPr>
              <w:t>Low Div + High Poverty</w:t>
            </w:r>
          </w:p>
        </w:tc>
        <w:tc>
          <w:tcPr>
            <w:tcW w:type="dxa" w:w="1728"/>
          </w:tcPr>
          <w:p>
            <w:pPr>
              <w:jc w:val="center"/>
            </w:pPr>
            <w:r>
              <w:rPr>
                <w:sz w:val="18"/>
              </w:rPr>
              <w:t>52</w:t>
            </w:r>
          </w:p>
        </w:tc>
        <w:tc>
          <w:tcPr>
            <w:tcW w:type="dxa" w:w="1728"/>
          </w:tcPr>
          <w:p>
            <w:pPr>
              <w:jc w:val="center"/>
            </w:pPr>
            <w:r>
              <w:rPr>
                <w:sz w:val="18"/>
              </w:rPr>
              <w:t>−0.669</w:t>
            </w:r>
          </w:p>
        </w:tc>
        <w:tc>
          <w:tcPr>
            <w:tcW w:type="dxa" w:w="1728"/>
          </w:tcPr>
          <w:p>
            <w:pPr>
              <w:jc w:val="center"/>
            </w:pPr>
            <w:r>
              <w:rPr>
                <w:sz w:val="18"/>
              </w:rPr>
              <w:t>23%</w:t>
            </w:r>
          </w:p>
        </w:tc>
        <w:tc>
          <w:tcPr>
            <w:tcW w:type="dxa" w:w="1728"/>
          </w:tcPr>
          <w:p>
            <w:pPr>
              <w:jc w:val="center"/>
            </w:pPr>
            <w:r>
              <w:rPr>
                <w:sz w:val="18"/>
              </w:rPr>
              <w:t>8%</w:t>
            </w:r>
          </w:p>
        </w:tc>
      </w:tr>
      <w:tr>
        <w:tc>
          <w:tcPr>
            <w:tcW w:type="dxa" w:w="1728"/>
          </w:tcPr>
          <w:p>
            <w:pPr>
              <w:jc w:val="center"/>
            </w:pPr>
            <w:r>
              <w:rPr>
                <w:sz w:val="18"/>
              </w:rPr>
              <w:t>High Div + Low Poverty</w:t>
            </w:r>
          </w:p>
        </w:tc>
        <w:tc>
          <w:tcPr>
            <w:tcW w:type="dxa" w:w="1728"/>
          </w:tcPr>
          <w:p>
            <w:pPr>
              <w:jc w:val="center"/>
            </w:pPr>
            <w:r>
              <w:rPr>
                <w:sz w:val="18"/>
              </w:rPr>
              <w:t>52</w:t>
            </w:r>
          </w:p>
        </w:tc>
        <w:tc>
          <w:tcPr>
            <w:tcW w:type="dxa" w:w="1728"/>
          </w:tcPr>
          <w:p>
            <w:pPr>
              <w:jc w:val="center"/>
            </w:pPr>
            <w:r>
              <w:rPr>
                <w:sz w:val="18"/>
              </w:rPr>
              <w:t>+0.407</w:t>
            </w:r>
          </w:p>
        </w:tc>
        <w:tc>
          <w:tcPr>
            <w:tcW w:type="dxa" w:w="1728"/>
          </w:tcPr>
          <w:p>
            <w:pPr>
              <w:jc w:val="center"/>
            </w:pPr>
            <w:r>
              <w:rPr>
                <w:sz w:val="18"/>
              </w:rPr>
              <w:t>60%</w:t>
            </w:r>
          </w:p>
        </w:tc>
        <w:tc>
          <w:tcPr>
            <w:tcW w:type="dxa" w:w="1728"/>
          </w:tcPr>
          <w:p>
            <w:pPr>
              <w:jc w:val="center"/>
            </w:pPr>
            <w:r>
              <w:rPr>
                <w:sz w:val="18"/>
              </w:rPr>
              <w:t>27%</w:t>
            </w:r>
          </w:p>
        </w:tc>
      </w:tr>
      <w:tr>
        <w:tc>
          <w:tcPr>
            <w:tcW w:type="dxa" w:w="1728"/>
          </w:tcPr>
          <w:p>
            <w:pPr>
              <w:jc w:val="center"/>
            </w:pPr>
            <w:r>
              <w:rPr>
                <w:sz w:val="18"/>
              </w:rPr>
              <w:t>High Div + High Poverty</w:t>
            </w:r>
          </w:p>
        </w:tc>
        <w:tc>
          <w:tcPr>
            <w:tcW w:type="dxa" w:w="1728"/>
          </w:tcPr>
          <w:p>
            <w:pPr>
              <w:jc w:val="center"/>
            </w:pPr>
            <w:r>
              <w:rPr>
                <w:sz w:val="18"/>
              </w:rPr>
              <w:t>73</w:t>
            </w:r>
          </w:p>
        </w:tc>
        <w:tc>
          <w:tcPr>
            <w:tcW w:type="dxa" w:w="1728"/>
          </w:tcPr>
          <w:p>
            <w:pPr>
              <w:jc w:val="center"/>
            </w:pPr>
            <w:r>
              <w:rPr>
                <w:sz w:val="18"/>
              </w:rPr>
              <w:t>+0.808</w:t>
            </w:r>
          </w:p>
        </w:tc>
        <w:tc>
          <w:tcPr>
            <w:tcW w:type="dxa" w:w="1728"/>
          </w:tcPr>
          <w:p>
            <w:pPr>
              <w:jc w:val="center"/>
            </w:pPr>
            <w:r>
              <w:rPr>
                <w:sz w:val="18"/>
              </w:rPr>
              <w:t>59%</w:t>
            </w:r>
          </w:p>
        </w:tc>
        <w:tc>
          <w:tcPr>
            <w:tcW w:type="dxa" w:w="1728"/>
          </w:tcPr>
          <w:p>
            <w:pPr>
              <w:jc w:val="center"/>
            </w:pPr>
            <w:r>
              <w:rPr>
                <w:sz w:val="18"/>
              </w:rPr>
              <w:t>33%</w:t>
            </w:r>
          </w:p>
        </w:tc>
      </w:tr>
    </w:tbl>
    <w:p/>
    <w:p>
      <w:r>
        <w:t>Diversity is the switch (triples high-vol rate). Poverty adds magnitude but not probability.</w:t>
      </w:r>
    </w:p>
    <w:p>
      <w:pPr>
        <w:jc w:val="center"/>
      </w:pPr>
      <w:r>
        <w:drawing>
          <wp:inline xmlns:a="http://schemas.openxmlformats.org/drawingml/2006/main" xmlns:pic="http://schemas.openxmlformats.org/drawingml/2006/picture">
            <wp:extent cx="5303520" cy="2251134"/>
            <wp:docPr id="17" name="Picture 17"/>
            <wp:cNvGraphicFramePr>
              <a:graphicFrameLocks noChangeAspect="1"/>
            </wp:cNvGraphicFramePr>
            <a:graphic>
              <a:graphicData uri="http://schemas.openxmlformats.org/drawingml/2006/picture">
                <pic:pic>
                  <pic:nvPicPr>
                    <pic:cNvPr id="0" name="deepdive_diversity_poverty_interaction.png"/>
                    <pic:cNvPicPr/>
                  </pic:nvPicPr>
                  <pic:blipFill>
                    <a:blip r:embed="rId25"/>
                    <a:stretch>
                      <a:fillRect/>
                    </a:stretch>
                  </pic:blipFill>
                  <pic:spPr>
                    <a:xfrm>
                      <a:off x="0" y="0"/>
                      <a:ext cx="5303520" cy="2251134"/>
                    </a:xfrm>
                    <a:prstGeom prst="rect"/>
                  </pic:spPr>
                </pic:pic>
              </a:graphicData>
            </a:graphic>
          </wp:inline>
        </w:drawing>
      </w:r>
    </w:p>
    <w:p>
      <w:pPr>
        <w:jc w:val="center"/>
      </w:pPr>
      <w:r>
        <w:rPr>
          <w:i/>
          <w:color w:val="555555"/>
          <w:sz w:val="18"/>
        </w:rPr>
        <w:t>Figure 17: Diversity × Poverty quadrant analysis.</w:t>
      </w:r>
    </w:p>
    <w:p>
      <w:r>
        <w:rPr>
          <w:b/>
        </w:rPr>
        <w:t>Education × Urbanization: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Quadrant</w:t>
            </w:r>
          </w:p>
        </w:tc>
        <w:tc>
          <w:tcPr>
            <w:tcW w:type="dxa" w:w="2880"/>
          </w:tcPr>
          <w:p>
            <w:pPr>
              <w:jc w:val="center"/>
            </w:pPr>
            <w:r>
              <w:rPr>
                <w:b/>
                <w:sz w:val="18"/>
              </w:rPr>
              <w:t>n</w:t>
            </w:r>
          </w:p>
        </w:tc>
        <w:tc>
          <w:tcPr>
            <w:tcW w:type="dxa" w:w="2880"/>
          </w:tcPr>
          <w:p>
            <w:pPr>
              <w:jc w:val="center"/>
            </w:pPr>
            <w:r>
              <w:rPr>
                <w:b/>
                <w:sz w:val="18"/>
              </w:rPr>
              <w:t>% High Vol</w:t>
            </w:r>
          </w:p>
        </w:tc>
      </w:tr>
      <w:tr>
        <w:tc>
          <w:tcPr>
            <w:tcW w:type="dxa" w:w="2880"/>
          </w:tcPr>
          <w:p>
            <w:pPr>
              <w:jc w:val="center"/>
            </w:pPr>
            <w:r>
              <w:rPr>
                <w:sz w:val="18"/>
              </w:rPr>
              <w:t>Low Ed + Rural</w:t>
            </w:r>
          </w:p>
        </w:tc>
        <w:tc>
          <w:tcPr>
            <w:tcW w:type="dxa" w:w="2880"/>
          </w:tcPr>
          <w:p>
            <w:pPr>
              <w:jc w:val="center"/>
            </w:pPr>
            <w:r>
              <w:rPr>
                <w:sz w:val="18"/>
              </w:rPr>
              <w:t>89</w:t>
            </w:r>
          </w:p>
        </w:tc>
        <w:tc>
          <w:tcPr>
            <w:tcW w:type="dxa" w:w="2880"/>
          </w:tcPr>
          <w:p>
            <w:pPr>
              <w:jc w:val="center"/>
            </w:pPr>
            <w:r>
              <w:rPr>
                <w:sz w:val="18"/>
              </w:rPr>
              <w:t>42%</w:t>
            </w:r>
          </w:p>
        </w:tc>
      </w:tr>
      <w:tr>
        <w:tc>
          <w:tcPr>
            <w:tcW w:type="dxa" w:w="2880"/>
          </w:tcPr>
          <w:p>
            <w:pPr>
              <w:jc w:val="center"/>
            </w:pPr>
            <w:r>
              <w:rPr>
                <w:sz w:val="18"/>
              </w:rPr>
              <w:t>Low Ed + Urban</w:t>
            </w:r>
          </w:p>
        </w:tc>
        <w:tc>
          <w:tcPr>
            <w:tcW w:type="dxa" w:w="2880"/>
          </w:tcPr>
          <w:p>
            <w:pPr>
              <w:jc w:val="center"/>
            </w:pPr>
            <w:r>
              <w:rPr>
                <w:sz w:val="18"/>
              </w:rPr>
              <w:t>36</w:t>
            </w:r>
          </w:p>
        </w:tc>
        <w:tc>
          <w:tcPr>
            <w:tcW w:type="dxa" w:w="2880"/>
          </w:tcPr>
          <w:p>
            <w:pPr>
              <w:jc w:val="center"/>
            </w:pPr>
            <w:r>
              <w:rPr>
                <w:sz w:val="18"/>
              </w:rPr>
              <w:t>19% (least volatile)</w:t>
            </w:r>
          </w:p>
        </w:tc>
      </w:tr>
      <w:tr>
        <w:tc>
          <w:tcPr>
            <w:tcW w:type="dxa" w:w="2880"/>
          </w:tcPr>
          <w:p>
            <w:pPr>
              <w:jc w:val="center"/>
            </w:pPr>
            <w:r>
              <w:rPr>
                <w:sz w:val="18"/>
              </w:rPr>
              <w:t>High Ed + Rural</w:t>
            </w:r>
          </w:p>
        </w:tc>
        <w:tc>
          <w:tcPr>
            <w:tcW w:type="dxa" w:w="2880"/>
          </w:tcPr>
          <w:p>
            <w:pPr>
              <w:jc w:val="center"/>
            </w:pPr>
            <w:r>
              <w:rPr>
                <w:sz w:val="18"/>
              </w:rPr>
              <w:t>36</w:t>
            </w:r>
          </w:p>
        </w:tc>
        <w:tc>
          <w:tcPr>
            <w:tcW w:type="dxa" w:w="2880"/>
          </w:tcPr>
          <w:p>
            <w:pPr>
              <w:jc w:val="center"/>
            </w:pPr>
            <w:r>
              <w:rPr>
                <w:sz w:val="18"/>
              </w:rPr>
              <w:t>33%</w:t>
            </w:r>
          </w:p>
        </w:tc>
      </w:tr>
      <w:tr>
        <w:tc>
          <w:tcPr>
            <w:tcW w:type="dxa" w:w="2880"/>
          </w:tcPr>
          <w:p>
            <w:pPr>
              <w:jc w:val="center"/>
            </w:pPr>
            <w:r>
              <w:rPr>
                <w:sz w:val="18"/>
              </w:rPr>
              <w:t>High Ed + Urban</w:t>
            </w:r>
          </w:p>
        </w:tc>
        <w:tc>
          <w:tcPr>
            <w:tcW w:type="dxa" w:w="2880"/>
          </w:tcPr>
          <w:p>
            <w:pPr>
              <w:jc w:val="center"/>
            </w:pPr>
            <w:r>
              <w:rPr>
                <w:sz w:val="18"/>
              </w:rPr>
              <w:t>89</w:t>
            </w:r>
          </w:p>
        </w:tc>
        <w:tc>
          <w:tcPr>
            <w:tcW w:type="dxa" w:w="2880"/>
          </w:tcPr>
          <w:p>
            <w:pPr>
              <w:jc w:val="center"/>
            </w:pPr>
            <w:r>
              <w:rPr>
                <w:sz w:val="18"/>
              </w:rPr>
              <w:t>49% (most volatile)</w:t>
            </w:r>
          </w:p>
        </w:tc>
      </w:tr>
    </w:tbl>
    <w:p/>
    <w:p>
      <w:pPr>
        <w:jc w:val="center"/>
      </w:pPr>
      <w:r>
        <w:drawing>
          <wp:inline xmlns:a="http://schemas.openxmlformats.org/drawingml/2006/main" xmlns:pic="http://schemas.openxmlformats.org/drawingml/2006/picture">
            <wp:extent cx="5303520" cy="2296289"/>
            <wp:docPr id="18" name="Picture 18"/>
            <wp:cNvGraphicFramePr>
              <a:graphicFrameLocks noChangeAspect="1"/>
            </wp:cNvGraphicFramePr>
            <a:graphic>
              <a:graphicData uri="http://schemas.openxmlformats.org/drawingml/2006/picture">
                <pic:pic>
                  <pic:nvPicPr>
                    <pic:cNvPr id="0" name="deepdive_education_urbanization.png"/>
                    <pic:cNvPicPr/>
                  </pic:nvPicPr>
                  <pic:blipFill>
                    <a:blip r:embed="rId26"/>
                    <a:stretch>
                      <a:fillRect/>
                    </a:stretch>
                  </pic:blipFill>
                  <pic:spPr>
                    <a:xfrm>
                      <a:off x="0" y="0"/>
                      <a:ext cx="5303520" cy="2296289"/>
                    </a:xfrm>
                    <a:prstGeom prst="rect"/>
                  </pic:spPr>
                </pic:pic>
              </a:graphicData>
            </a:graphic>
          </wp:inline>
        </w:drawing>
      </w:r>
    </w:p>
    <w:p>
      <w:pPr>
        <w:jc w:val="center"/>
      </w:pPr>
      <w:r>
        <w:rPr>
          <w:i/>
          <w:color w:val="555555"/>
          <w:sz w:val="18"/>
        </w:rPr>
        <w:t>Figure 18: Education × Urbanization. Least volatile = stable working-class cities. Most volatile = educated suburbs.</w:t>
      </w:r>
    </w:p>
    <w:p>
      <w:pPr>
        <w:pStyle w:val="Heading2"/>
      </w:pPr>
      <w:r>
        <w:t>9.5 SHAP Case Studies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County</w:t>
            </w:r>
          </w:p>
        </w:tc>
        <w:tc>
          <w:tcPr>
            <w:tcW w:type="dxa" w:w="2160"/>
          </w:tcPr>
          <w:p>
            <w:pPr>
              <w:jc w:val="center"/>
            </w:pPr>
            <w:r>
              <w:rPr>
                <w:b/>
                <w:sz w:val="18"/>
              </w:rPr>
              <w:t>Archetype</w:t>
            </w:r>
          </w:p>
        </w:tc>
        <w:tc>
          <w:tcPr>
            <w:tcW w:type="dxa" w:w="2160"/>
          </w:tcPr>
          <w:p>
            <w:pPr>
              <w:jc w:val="center"/>
            </w:pPr>
            <w:r>
              <w:rPr>
                <w:b/>
                <w:sz w:val="18"/>
              </w:rPr>
              <w:t>#1 Driver</w:t>
            </w:r>
          </w:p>
        </w:tc>
        <w:tc>
          <w:tcPr>
            <w:tcW w:type="dxa" w:w="2160"/>
          </w:tcPr>
          <w:p>
            <w:pPr>
              <w:jc w:val="center"/>
            </w:pPr>
            <w:r>
              <w:rPr>
                <w:b/>
                <w:sz w:val="18"/>
              </w:rPr>
              <w:t>Story</w:t>
            </w:r>
          </w:p>
        </w:tc>
      </w:tr>
      <w:tr>
        <w:tc>
          <w:tcPr>
            <w:tcW w:type="dxa" w:w="2160"/>
          </w:tcPr>
          <w:p>
            <w:pPr>
              <w:jc w:val="center"/>
            </w:pPr>
            <w:r>
              <w:rPr>
                <w:sz w:val="18"/>
              </w:rPr>
              <w:t>Bucks, PA</w:t>
            </w:r>
          </w:p>
        </w:tc>
        <w:tc>
          <w:tcPr>
            <w:tcW w:type="dxa" w:w="2160"/>
          </w:tcPr>
          <w:p>
            <w:pPr>
              <w:jc w:val="center"/>
            </w:pPr>
            <w:r>
              <w:rPr>
                <w:sz w:val="18"/>
              </w:rPr>
              <w:t>Suburban swing</w:t>
            </w:r>
          </w:p>
        </w:tc>
        <w:tc>
          <w:tcPr>
            <w:tcW w:type="dxa" w:w="2160"/>
          </w:tcPr>
          <w:p>
            <w:pPr>
              <w:jc w:val="center"/>
            </w:pPr>
            <w:r>
              <w:rPr>
                <w:sz w:val="18"/>
              </w:rPr>
              <w:t>Rent (+0.85)</w:t>
            </w:r>
          </w:p>
        </w:tc>
        <w:tc>
          <w:tcPr>
            <w:tcW w:type="dxa" w:w="2160"/>
          </w:tcPr>
          <w:p>
            <w:pPr>
              <w:jc w:val="center"/>
            </w:pPr>
            <w:r>
              <w:rPr>
                <w:sz w:val="18"/>
              </w:rPr>
              <w:t>802k votes, 0.1% margin, bellwether</w:t>
            </w:r>
          </w:p>
        </w:tc>
      </w:tr>
      <w:tr>
        <w:tc>
          <w:tcPr>
            <w:tcW w:type="dxa" w:w="2160"/>
          </w:tcPr>
          <w:p>
            <w:pPr>
              <w:jc w:val="center"/>
            </w:pPr>
            <w:r>
              <w:rPr>
                <w:sz w:val="18"/>
              </w:rPr>
              <w:t>Leelanau, MI</w:t>
            </w:r>
          </w:p>
        </w:tc>
        <w:tc>
          <w:tcPr>
            <w:tcW w:type="dxa" w:w="2160"/>
          </w:tcPr>
          <w:p>
            <w:pPr>
              <w:jc w:val="center"/>
            </w:pPr>
            <w:r>
              <w:rPr>
                <w:sz w:val="18"/>
              </w:rPr>
              <w:t>Misfit</w:t>
            </w:r>
          </w:p>
        </w:tc>
        <w:tc>
          <w:tcPr>
            <w:tcW w:type="dxa" w:w="2160"/>
          </w:tcPr>
          <w:p>
            <w:pPr>
              <w:jc w:val="center"/>
            </w:pPr>
            <w:r>
              <w:rPr>
                <w:sz w:val="18"/>
              </w:rPr>
              <w:t>Education (+1.50)</w:t>
            </w:r>
          </w:p>
        </w:tc>
        <w:tc>
          <w:tcPr>
            <w:tcW w:type="dxa" w:w="2160"/>
          </w:tcPr>
          <w:p>
            <w:pPr>
              <w:jc w:val="center"/>
            </w:pPr>
            <w:r>
              <w:rPr>
                <w:sz w:val="18"/>
              </w:rPr>
              <w:t>Rural/white but votes Dem</w:t>
            </w:r>
          </w:p>
        </w:tc>
      </w:tr>
      <w:tr>
        <w:tc>
          <w:tcPr>
            <w:tcW w:type="dxa" w:w="2160"/>
          </w:tcPr>
          <w:p>
            <w:pPr>
              <w:jc w:val="center"/>
            </w:pPr>
            <w:r>
              <w:rPr>
                <w:sz w:val="18"/>
              </w:rPr>
              <w:t>Scotland, NC</w:t>
            </w:r>
          </w:p>
        </w:tc>
        <w:tc>
          <w:tcPr>
            <w:tcW w:type="dxa" w:w="2160"/>
          </w:tcPr>
          <w:p>
            <w:pPr>
              <w:jc w:val="center"/>
            </w:pPr>
            <w:r>
              <w:rPr>
                <w:sz w:val="18"/>
              </w:rPr>
              <w:t>Diverse-poor</w:t>
            </w:r>
          </w:p>
        </w:tc>
        <w:tc>
          <w:tcPr>
            <w:tcW w:type="dxa" w:w="2160"/>
          </w:tcPr>
          <w:p>
            <w:pPr>
              <w:jc w:val="center"/>
            </w:pPr>
            <w:r>
              <w:rPr>
                <w:sz w:val="18"/>
              </w:rPr>
              <w:t>Diversity (+1.25)</w:t>
            </w:r>
          </w:p>
        </w:tc>
        <w:tc>
          <w:tcPr>
            <w:tcW w:type="dxa" w:w="2160"/>
          </w:tcPr>
          <w:p>
            <w:pPr>
              <w:jc w:val="center"/>
            </w:pPr>
            <w:r>
              <w:rPr>
                <w:sz w:val="18"/>
              </w:rPr>
              <w:t>Highest volatility in dataset</w:t>
            </w:r>
          </w:p>
        </w:tc>
      </w:tr>
      <w:tr>
        <w:tc>
          <w:tcPr>
            <w:tcW w:type="dxa" w:w="2160"/>
          </w:tcPr>
          <w:p>
            <w:pPr>
              <w:jc w:val="center"/>
            </w:pPr>
            <w:r>
              <w:rPr>
                <w:sz w:val="18"/>
              </w:rPr>
              <w:t>Philadelphia</w:t>
            </w:r>
          </w:p>
        </w:tc>
        <w:tc>
          <w:tcPr>
            <w:tcW w:type="dxa" w:w="2160"/>
          </w:tcPr>
          <w:p>
            <w:pPr>
              <w:jc w:val="center"/>
            </w:pPr>
            <w:r>
              <w:rPr>
                <w:sz w:val="18"/>
              </w:rPr>
              <w:t>Counter-example</w:t>
            </w:r>
          </w:p>
        </w:tc>
        <w:tc>
          <w:tcPr>
            <w:tcW w:type="dxa" w:w="2160"/>
          </w:tcPr>
          <w:p>
            <w:pPr>
              <w:jc w:val="center"/>
            </w:pPr>
            <w:r>
              <w:rPr>
                <w:sz w:val="18"/>
              </w:rPr>
              <w:t>Living alone (−0.80)</w:t>
            </w:r>
          </w:p>
        </w:tc>
        <w:tc>
          <w:tcPr>
            <w:tcW w:type="dxa" w:w="2160"/>
          </w:tcPr>
          <w:p>
            <w:pPr>
              <w:jc w:val="center"/>
            </w:pPr>
            <w:r>
              <w:rPr>
                <w:sz w:val="18"/>
              </w:rPr>
              <w:t>Diverse but STABLE —</w:t>
              <w:br/>
              <w:t>urban density overrides</w:t>
            </w:r>
          </w:p>
        </w:tc>
      </w:tr>
    </w:tbl>
    <w:p/>
    <w:p>
      <w:pPr>
        <w:jc w:val="center"/>
      </w:pPr>
      <w:r>
        <w:drawing>
          <wp:inline xmlns:a="http://schemas.openxmlformats.org/drawingml/2006/main" xmlns:pic="http://schemas.openxmlformats.org/drawingml/2006/picture">
            <wp:extent cx="5303520" cy="3668934"/>
            <wp:docPr id="19" name="Picture 19"/>
            <wp:cNvGraphicFramePr>
              <a:graphicFrameLocks noChangeAspect="1"/>
            </wp:cNvGraphicFramePr>
            <a:graphic>
              <a:graphicData uri="http://schemas.openxmlformats.org/drawingml/2006/picture">
                <pic:pic>
                  <pic:nvPicPr>
                    <pic:cNvPr id="0" name="deepdive_shap_case_studies.png"/>
                    <pic:cNvPicPr/>
                  </pic:nvPicPr>
                  <pic:blipFill>
                    <a:blip r:embed="rId27"/>
                    <a:stretch>
                      <a:fillRect/>
                    </a:stretch>
                  </pic:blipFill>
                  <pic:spPr>
                    <a:xfrm>
                      <a:off x="0" y="0"/>
                      <a:ext cx="5303520" cy="3668934"/>
                    </a:xfrm>
                    <a:prstGeom prst="rect"/>
                  </pic:spPr>
                </pic:pic>
              </a:graphicData>
            </a:graphic>
          </wp:inline>
        </w:drawing>
      </w:r>
    </w:p>
    <w:p>
      <w:pPr>
        <w:jc w:val="center"/>
      </w:pPr>
      <w:r>
        <w:rPr>
          <w:i/>
          <w:color w:val="555555"/>
          <w:sz w:val="18"/>
        </w:rPr>
        <w:t>Figure 19: SHAP waterfall plots for 4 county archetypes.</w:t>
      </w:r>
    </w:p>
    <w:p>
      <w:pPr>
        <w:pStyle w:val="Heading2"/>
      </w:pPr>
      <w:r>
        <w:t>9.6 SHAP-Based County Archetypes</w:t>
      </w:r>
    </w:p>
    <w:p>
      <w:r>
        <w:t>K-Means on SHAP values (not raw features) reveals 5 functionally distinct county types: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Cluster</w:t>
            </w:r>
          </w:p>
        </w:tc>
        <w:tc>
          <w:tcPr>
            <w:tcW w:type="dxa" w:w="1440"/>
          </w:tcPr>
          <w:p>
            <w:pPr>
              <w:jc w:val="center"/>
            </w:pPr>
            <w:r>
              <w:rPr>
                <w:b/>
                <w:sz w:val="18"/>
              </w:rPr>
              <w:t>n</w:t>
            </w:r>
          </w:p>
        </w:tc>
        <w:tc>
          <w:tcPr>
            <w:tcW w:type="dxa" w:w="1440"/>
          </w:tcPr>
          <w:p>
            <w:pPr>
              <w:jc w:val="center"/>
            </w:pPr>
            <w:r>
              <w:rPr>
                <w:b/>
                <w:sz w:val="18"/>
              </w:rPr>
              <w:t>% High Vol</w:t>
            </w:r>
          </w:p>
        </w:tc>
        <w:tc>
          <w:tcPr>
            <w:tcW w:type="dxa" w:w="1440"/>
          </w:tcPr>
          <w:p>
            <w:pPr>
              <w:jc w:val="center"/>
            </w:pPr>
            <w:r>
              <w:rPr>
                <w:b/>
                <w:sz w:val="18"/>
              </w:rPr>
              <w:t>Driver</w:t>
            </w:r>
          </w:p>
        </w:tc>
        <w:tc>
          <w:tcPr>
            <w:tcW w:type="dxa" w:w="1440"/>
          </w:tcPr>
          <w:p>
            <w:pPr>
              <w:jc w:val="center"/>
            </w:pPr>
            <w:r>
              <w:rPr>
                <w:b/>
                <w:sz w:val="18"/>
              </w:rPr>
              <w:t>States</w:t>
            </w:r>
          </w:p>
        </w:tc>
        <w:tc>
          <w:tcPr>
            <w:tcW w:type="dxa" w:w="1440"/>
          </w:tcPr>
          <w:p>
            <w:pPr>
              <w:jc w:val="center"/>
            </w:pPr>
            <w:r>
              <w:rPr>
                <w:b/>
                <w:sz w:val="18"/>
              </w:rPr>
              <w:t>Archetype</w:t>
            </w:r>
          </w:p>
        </w:tc>
      </w:tr>
      <w:tr>
        <w:tc>
          <w:tcPr>
            <w:tcW w:type="dxa" w:w="1440"/>
          </w:tcPr>
          <w:p>
            <w:pPr>
              <w:jc w:val="center"/>
            </w:pPr>
            <w:r>
              <w:rPr>
                <w:sz w:val="18"/>
              </w:rPr>
              <w:t>0</w:t>
            </w:r>
          </w:p>
        </w:tc>
        <w:tc>
          <w:tcPr>
            <w:tcW w:type="dxa" w:w="1440"/>
          </w:tcPr>
          <w:p>
            <w:pPr>
              <w:jc w:val="center"/>
            </w:pPr>
            <w:r>
              <w:rPr>
                <w:sz w:val="18"/>
              </w:rPr>
              <w:t>35</w:t>
            </w:r>
          </w:p>
        </w:tc>
        <w:tc>
          <w:tcPr>
            <w:tcW w:type="dxa" w:w="1440"/>
          </w:tcPr>
          <w:p>
            <w:pPr>
              <w:jc w:val="center"/>
            </w:pPr>
            <w:r>
              <w:rPr>
                <w:sz w:val="18"/>
              </w:rPr>
              <w:t>100%</w:t>
            </w:r>
          </w:p>
        </w:tc>
        <w:tc>
          <w:tcPr>
            <w:tcW w:type="dxa" w:w="1440"/>
          </w:tcPr>
          <w:p>
            <w:pPr>
              <w:jc w:val="center"/>
            </w:pPr>
            <w:r>
              <w:rPr>
                <w:sz w:val="18"/>
              </w:rPr>
              <w:t>Diversity (1.54)</w:t>
            </w:r>
          </w:p>
        </w:tc>
        <w:tc>
          <w:tcPr>
            <w:tcW w:type="dxa" w:w="1440"/>
          </w:tcPr>
          <w:p>
            <w:pPr>
              <w:jc w:val="center"/>
            </w:pPr>
            <w:r>
              <w:rPr>
                <w:sz w:val="18"/>
              </w:rPr>
              <w:t>NC (33/35)</w:t>
            </w:r>
          </w:p>
        </w:tc>
        <w:tc>
          <w:tcPr>
            <w:tcW w:type="dxa" w:w="1440"/>
          </w:tcPr>
          <w:p>
            <w:pPr>
              <w:jc w:val="center"/>
            </w:pPr>
            <w:r>
              <w:rPr>
                <w:sz w:val="18"/>
              </w:rPr>
              <w:t>NC Diverse Rural</w:t>
            </w:r>
          </w:p>
        </w:tc>
      </w:tr>
      <w:tr>
        <w:tc>
          <w:tcPr>
            <w:tcW w:type="dxa" w:w="1440"/>
          </w:tcPr>
          <w:p>
            <w:pPr>
              <w:jc w:val="center"/>
            </w:pPr>
            <w:r>
              <w:rPr>
                <w:sz w:val="18"/>
              </w:rPr>
              <w:t>1</w:t>
            </w:r>
          </w:p>
        </w:tc>
        <w:tc>
          <w:tcPr>
            <w:tcW w:type="dxa" w:w="1440"/>
          </w:tcPr>
          <w:p>
            <w:pPr>
              <w:jc w:val="center"/>
            </w:pPr>
            <w:r>
              <w:rPr>
                <w:sz w:val="18"/>
              </w:rPr>
              <w:t>47</w:t>
            </w:r>
          </w:p>
        </w:tc>
        <w:tc>
          <w:tcPr>
            <w:tcW w:type="dxa" w:w="1440"/>
          </w:tcPr>
          <w:p>
            <w:pPr>
              <w:jc w:val="center"/>
            </w:pPr>
            <w:r>
              <w:rPr>
                <w:sz w:val="18"/>
              </w:rPr>
              <w:t>0%</w:t>
            </w:r>
          </w:p>
        </w:tc>
        <w:tc>
          <w:tcPr>
            <w:tcW w:type="dxa" w:w="1440"/>
          </w:tcPr>
          <w:p>
            <w:pPr>
              <w:jc w:val="center"/>
            </w:pPr>
            <w:r>
              <w:rPr>
                <w:sz w:val="18"/>
              </w:rPr>
              <w:t>Small pop (0.82)</w:t>
            </w:r>
          </w:p>
        </w:tc>
        <w:tc>
          <w:tcPr>
            <w:tcW w:type="dxa" w:w="1440"/>
          </w:tcPr>
          <w:p>
            <w:pPr>
              <w:jc w:val="center"/>
            </w:pPr>
            <w:r>
              <w:rPr>
                <w:sz w:val="18"/>
              </w:rPr>
              <w:t>NC+MI</w:t>
            </w:r>
          </w:p>
        </w:tc>
        <w:tc>
          <w:tcPr>
            <w:tcW w:type="dxa" w:w="1440"/>
          </w:tcPr>
          <w:p>
            <w:pPr>
              <w:jc w:val="center"/>
            </w:pPr>
            <w:r>
              <w:rPr>
                <w:sz w:val="18"/>
              </w:rPr>
              <w:t>Stable Small</w:t>
            </w:r>
          </w:p>
        </w:tc>
      </w:tr>
      <w:tr>
        <w:tc>
          <w:tcPr>
            <w:tcW w:type="dxa" w:w="1440"/>
          </w:tcPr>
          <w:p>
            <w:pPr>
              <w:jc w:val="center"/>
            </w:pPr>
            <w:r>
              <w:rPr>
                <w:sz w:val="18"/>
              </w:rPr>
              <w:t>2</w:t>
            </w:r>
          </w:p>
        </w:tc>
        <w:tc>
          <w:tcPr>
            <w:tcW w:type="dxa" w:w="1440"/>
          </w:tcPr>
          <w:p>
            <w:pPr>
              <w:jc w:val="center"/>
            </w:pPr>
            <w:r>
              <w:rPr>
                <w:sz w:val="18"/>
              </w:rPr>
              <w:t>33</w:t>
            </w:r>
          </w:p>
        </w:tc>
        <w:tc>
          <w:tcPr>
            <w:tcW w:type="dxa" w:w="1440"/>
          </w:tcPr>
          <w:p>
            <w:pPr>
              <w:jc w:val="center"/>
            </w:pPr>
            <w:r>
              <w:rPr>
                <w:sz w:val="18"/>
              </w:rPr>
              <w:t>91%</w:t>
            </w:r>
          </w:p>
        </w:tc>
        <w:tc>
          <w:tcPr>
            <w:tcW w:type="dxa" w:w="1440"/>
          </w:tcPr>
          <w:p>
            <w:pPr>
              <w:jc w:val="center"/>
            </w:pPr>
            <w:r>
              <w:rPr>
                <w:sz w:val="18"/>
              </w:rPr>
              <w:t>Immigration (0.66)</w:t>
            </w:r>
          </w:p>
        </w:tc>
        <w:tc>
          <w:tcPr>
            <w:tcW w:type="dxa" w:w="1440"/>
          </w:tcPr>
          <w:p>
            <w:pPr>
              <w:jc w:val="center"/>
            </w:pPr>
            <w:r>
              <w:rPr>
                <w:sz w:val="18"/>
              </w:rPr>
              <w:t>MI (21/33)</w:t>
            </w:r>
          </w:p>
        </w:tc>
        <w:tc>
          <w:tcPr>
            <w:tcW w:type="dxa" w:w="1440"/>
          </w:tcPr>
          <w:p>
            <w:pPr>
              <w:jc w:val="center"/>
            </w:pPr>
            <w:r>
              <w:rPr>
                <w:sz w:val="18"/>
              </w:rPr>
              <w:t>MI Working-Class</w:t>
            </w:r>
          </w:p>
        </w:tc>
      </w:tr>
      <w:tr>
        <w:tc>
          <w:tcPr>
            <w:tcW w:type="dxa" w:w="1440"/>
          </w:tcPr>
          <w:p>
            <w:pPr>
              <w:jc w:val="center"/>
            </w:pPr>
            <w:r>
              <w:rPr>
                <w:sz w:val="18"/>
              </w:rPr>
              <w:t>3</w:t>
            </w:r>
          </w:p>
        </w:tc>
        <w:tc>
          <w:tcPr>
            <w:tcW w:type="dxa" w:w="1440"/>
          </w:tcPr>
          <w:p>
            <w:pPr>
              <w:jc w:val="center"/>
            </w:pPr>
            <w:r>
              <w:rPr>
                <w:sz w:val="18"/>
              </w:rPr>
              <w:t>92</w:t>
            </w:r>
          </w:p>
        </w:tc>
        <w:tc>
          <w:tcPr>
            <w:tcW w:type="dxa" w:w="1440"/>
          </w:tcPr>
          <w:p>
            <w:pPr>
              <w:jc w:val="center"/>
            </w:pPr>
            <w:r>
              <w:rPr>
                <w:sz w:val="18"/>
              </w:rPr>
              <w:t>0%</w:t>
            </w:r>
          </w:p>
        </w:tc>
        <w:tc>
          <w:tcPr>
            <w:tcW w:type="dxa" w:w="1440"/>
          </w:tcPr>
          <w:p>
            <w:pPr>
              <w:jc w:val="center"/>
            </w:pPr>
            <w:r>
              <w:rPr>
                <w:sz w:val="18"/>
              </w:rPr>
              <w:t>Low diversity (1.07)</w:t>
            </w:r>
          </w:p>
        </w:tc>
        <w:tc>
          <w:tcPr>
            <w:tcW w:type="dxa" w:w="1440"/>
          </w:tcPr>
          <w:p>
            <w:pPr>
              <w:jc w:val="center"/>
            </w:pPr>
            <w:r>
              <w:rPr>
                <w:sz w:val="18"/>
              </w:rPr>
              <w:t>All</w:t>
            </w:r>
          </w:p>
        </w:tc>
        <w:tc>
          <w:tcPr>
            <w:tcW w:type="dxa" w:w="1440"/>
          </w:tcPr>
          <w:p>
            <w:pPr>
              <w:jc w:val="center"/>
            </w:pPr>
            <w:r>
              <w:rPr>
                <w:sz w:val="18"/>
              </w:rPr>
              <w:t>Stable Core</w:t>
            </w:r>
          </w:p>
        </w:tc>
      </w:tr>
      <w:tr>
        <w:tc>
          <w:tcPr>
            <w:tcW w:type="dxa" w:w="1440"/>
          </w:tcPr>
          <w:p>
            <w:pPr>
              <w:jc w:val="center"/>
            </w:pPr>
            <w:r>
              <w:rPr>
                <w:sz w:val="18"/>
              </w:rPr>
              <w:t>4</w:t>
            </w:r>
          </w:p>
        </w:tc>
        <w:tc>
          <w:tcPr>
            <w:tcW w:type="dxa" w:w="1440"/>
          </w:tcPr>
          <w:p>
            <w:pPr>
              <w:jc w:val="center"/>
            </w:pPr>
            <w:r>
              <w:rPr>
                <w:sz w:val="18"/>
              </w:rPr>
              <w:t>43</w:t>
            </w:r>
          </w:p>
        </w:tc>
        <w:tc>
          <w:tcPr>
            <w:tcW w:type="dxa" w:w="1440"/>
          </w:tcPr>
          <w:p>
            <w:pPr>
              <w:jc w:val="center"/>
            </w:pPr>
            <w:r>
              <w:rPr>
                <w:sz w:val="18"/>
              </w:rPr>
              <w:t>81%</w:t>
            </w:r>
          </w:p>
        </w:tc>
        <w:tc>
          <w:tcPr>
            <w:tcW w:type="dxa" w:w="1440"/>
          </w:tcPr>
          <w:p>
            <w:pPr>
              <w:jc w:val="center"/>
            </w:pPr>
            <w:r>
              <w:rPr>
                <w:sz w:val="18"/>
              </w:rPr>
              <w:t>Large pop (0.92)</w:t>
            </w:r>
          </w:p>
        </w:tc>
        <w:tc>
          <w:tcPr>
            <w:tcW w:type="dxa" w:w="1440"/>
          </w:tcPr>
          <w:p>
            <w:pPr>
              <w:jc w:val="center"/>
            </w:pPr>
            <w:r>
              <w:rPr>
                <w:sz w:val="18"/>
              </w:rPr>
              <w:t>PA+NC+MI</w:t>
            </w:r>
          </w:p>
        </w:tc>
        <w:tc>
          <w:tcPr>
            <w:tcW w:type="dxa" w:w="1440"/>
          </w:tcPr>
          <w:p>
            <w:pPr>
              <w:jc w:val="center"/>
            </w:pPr>
            <w:r>
              <w:rPr>
                <w:sz w:val="18"/>
              </w:rPr>
              <w:t>Suburban Battlegrounds</w:t>
            </w:r>
          </w:p>
        </w:tc>
      </w:tr>
    </w:tbl>
    <w:p/>
    <w:p>
      <w:r>
        <w:t>Near-perfect separation: 100%/0%/91%/0%/81%. Cluster 0 is NC-only, Cluster 2 is MI-heavy — explains why LOSO fails.</w:t>
      </w:r>
    </w:p>
    <w:p>
      <w:pPr>
        <w:jc w:val="center"/>
      </w:pPr>
      <w:r>
        <w:drawing>
          <wp:inline xmlns:a="http://schemas.openxmlformats.org/drawingml/2006/main" xmlns:pic="http://schemas.openxmlformats.org/drawingml/2006/picture">
            <wp:extent cx="5303520" cy="3844361"/>
            <wp:docPr id="20" name="Picture 20"/>
            <wp:cNvGraphicFramePr>
              <a:graphicFrameLocks noChangeAspect="1"/>
            </wp:cNvGraphicFramePr>
            <a:graphic>
              <a:graphicData uri="http://schemas.openxmlformats.org/drawingml/2006/picture">
                <pic:pic>
                  <pic:nvPicPr>
                    <pic:cNvPr id="0" name="deepdive2_shap_archetypes.png"/>
                    <pic:cNvPicPr/>
                  </pic:nvPicPr>
                  <pic:blipFill>
                    <a:blip r:embed="rId28"/>
                    <a:stretch>
                      <a:fillRect/>
                    </a:stretch>
                  </pic:blipFill>
                  <pic:spPr>
                    <a:xfrm>
                      <a:off x="0" y="0"/>
                      <a:ext cx="5303520" cy="3844361"/>
                    </a:xfrm>
                    <a:prstGeom prst="rect"/>
                  </pic:spPr>
                </pic:pic>
              </a:graphicData>
            </a:graphic>
          </wp:inline>
        </w:drawing>
      </w:r>
    </w:p>
    <w:p>
      <w:pPr>
        <w:jc w:val="center"/>
      </w:pPr>
      <w:r>
        <w:rPr>
          <w:i/>
          <w:color w:val="555555"/>
          <w:sz w:val="18"/>
        </w:rPr>
        <w:t>Figure 20: SHAP archetypes. PCA projection (top-left), state composition (top-right), radar charts per cluster (bottom).</w:t>
      </w:r>
    </w:p>
    <w:p>
      <w:pPr>
        <w:pStyle w:val="Heading2"/>
      </w:pPr>
      <w:r>
        <w:t>9.7 Campaign Priority Scoring</w:t>
      </w:r>
    </w:p>
    <w:p>
      <w:r>
        <w:t>priority = 0.30×volatility + 0.25×misfit + 0.25×vote_volume + 0.20×margin_closeness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w:t>
            </w:r>
          </w:p>
        </w:tc>
        <w:tc>
          <w:tcPr>
            <w:tcW w:type="dxa" w:w="1234"/>
          </w:tcPr>
          <w:p>
            <w:pPr>
              <w:jc w:val="center"/>
            </w:pPr>
            <w:r>
              <w:rPr>
                <w:b/>
                <w:sz w:val="18"/>
              </w:rPr>
              <w:t>County</w:t>
            </w:r>
          </w:p>
        </w:tc>
        <w:tc>
          <w:tcPr>
            <w:tcW w:type="dxa" w:w="1234"/>
          </w:tcPr>
          <w:p>
            <w:pPr>
              <w:jc w:val="center"/>
            </w:pPr>
            <w:r>
              <w:rPr>
                <w:b/>
                <w:sz w:val="18"/>
              </w:rPr>
              <w:t>State</w:t>
            </w:r>
          </w:p>
        </w:tc>
        <w:tc>
          <w:tcPr>
            <w:tcW w:type="dxa" w:w="1234"/>
          </w:tcPr>
          <w:p>
            <w:pPr>
              <w:jc w:val="center"/>
            </w:pPr>
            <w:r>
              <w:rPr>
                <w:b/>
                <w:sz w:val="18"/>
              </w:rPr>
              <w:t>Priority</w:t>
            </w:r>
          </w:p>
        </w:tc>
        <w:tc>
          <w:tcPr>
            <w:tcW w:type="dxa" w:w="1234"/>
          </w:tcPr>
          <w:p>
            <w:pPr>
              <w:jc w:val="center"/>
            </w:pPr>
            <w:r>
              <w:rPr>
                <w:b/>
                <w:sz w:val="18"/>
              </w:rPr>
              <w:t>Votes</w:t>
            </w:r>
          </w:p>
        </w:tc>
        <w:tc>
          <w:tcPr>
            <w:tcW w:type="dxa" w:w="1234"/>
          </w:tcPr>
          <w:p>
            <w:pPr>
              <w:jc w:val="center"/>
            </w:pPr>
            <w:r>
              <w:rPr>
                <w:b/>
                <w:sz w:val="18"/>
              </w:rPr>
              <w:t>Margin</w:t>
            </w:r>
          </w:p>
        </w:tc>
        <w:tc>
          <w:tcPr>
            <w:tcW w:type="dxa" w:w="1234"/>
          </w:tcPr>
          <w:p>
            <w:pPr>
              <w:jc w:val="center"/>
            </w:pPr>
            <w:r>
              <w:rPr>
                <w:b/>
                <w:sz w:val="18"/>
              </w:rPr>
              <w:t>Volatility</w:t>
            </w:r>
          </w:p>
        </w:tc>
      </w:tr>
      <w:tr>
        <w:tc>
          <w:tcPr>
            <w:tcW w:type="dxa" w:w="1234"/>
          </w:tcPr>
          <w:p>
            <w:pPr>
              <w:jc w:val="center"/>
            </w:pPr>
            <w:r>
              <w:rPr>
                <w:sz w:val="18"/>
              </w:rPr>
              <w:t>1</w:t>
            </w:r>
          </w:p>
        </w:tc>
        <w:tc>
          <w:tcPr>
            <w:tcW w:type="dxa" w:w="1234"/>
          </w:tcPr>
          <w:p>
            <w:pPr>
              <w:jc w:val="center"/>
            </w:pPr>
            <w:r>
              <w:rPr>
                <w:sz w:val="18"/>
              </w:rPr>
              <w:t>Bucks</w:t>
            </w:r>
          </w:p>
        </w:tc>
        <w:tc>
          <w:tcPr>
            <w:tcW w:type="dxa" w:w="1234"/>
          </w:tcPr>
          <w:p>
            <w:pPr>
              <w:jc w:val="center"/>
            </w:pPr>
            <w:r>
              <w:rPr>
                <w:sz w:val="18"/>
              </w:rPr>
              <w:t>PA</w:t>
            </w:r>
          </w:p>
        </w:tc>
        <w:tc>
          <w:tcPr>
            <w:tcW w:type="dxa" w:w="1234"/>
          </w:tcPr>
          <w:p>
            <w:pPr>
              <w:jc w:val="center"/>
            </w:pPr>
            <w:r>
              <w:rPr>
                <w:sz w:val="18"/>
              </w:rPr>
              <w:t>0.650</w:t>
            </w:r>
          </w:p>
        </w:tc>
        <w:tc>
          <w:tcPr>
            <w:tcW w:type="dxa" w:w="1234"/>
          </w:tcPr>
          <w:p>
            <w:pPr>
              <w:jc w:val="center"/>
            </w:pPr>
            <w:r>
              <w:rPr>
                <w:sz w:val="18"/>
              </w:rPr>
              <w:t>802,056</w:t>
            </w:r>
          </w:p>
        </w:tc>
        <w:tc>
          <w:tcPr>
            <w:tcW w:type="dxa" w:w="1234"/>
          </w:tcPr>
          <w:p>
            <w:pPr>
              <w:jc w:val="center"/>
            </w:pPr>
            <w:r>
              <w:rPr>
                <w:sz w:val="18"/>
              </w:rPr>
              <w:t>−0.1%</w:t>
            </w:r>
          </w:p>
        </w:tc>
        <w:tc>
          <w:tcPr>
            <w:tcW w:type="dxa" w:w="1234"/>
          </w:tcPr>
          <w:p>
            <w:pPr>
              <w:jc w:val="center"/>
            </w:pPr>
            <w:r>
              <w:rPr>
                <w:sz w:val="18"/>
              </w:rPr>
              <w:t>Highly Volatile</w:t>
            </w:r>
          </w:p>
        </w:tc>
      </w:tr>
      <w:tr>
        <w:tc>
          <w:tcPr>
            <w:tcW w:type="dxa" w:w="1234"/>
          </w:tcPr>
          <w:p>
            <w:pPr>
              <w:jc w:val="center"/>
            </w:pPr>
            <w:r>
              <w:rPr>
                <w:sz w:val="18"/>
              </w:rPr>
              <w:t>2</w:t>
            </w:r>
          </w:p>
        </w:tc>
        <w:tc>
          <w:tcPr>
            <w:tcW w:type="dxa" w:w="1234"/>
          </w:tcPr>
          <w:p>
            <w:pPr>
              <w:jc w:val="center"/>
            </w:pPr>
            <w:r>
              <w:rPr>
                <w:sz w:val="18"/>
              </w:rPr>
              <w:t>Lackawanna</w:t>
            </w:r>
          </w:p>
        </w:tc>
        <w:tc>
          <w:tcPr>
            <w:tcW w:type="dxa" w:w="1234"/>
          </w:tcPr>
          <w:p>
            <w:pPr>
              <w:jc w:val="center"/>
            </w:pPr>
            <w:r>
              <w:rPr>
                <w:sz w:val="18"/>
              </w:rPr>
              <w:t>PA</w:t>
            </w:r>
          </w:p>
        </w:tc>
        <w:tc>
          <w:tcPr>
            <w:tcW w:type="dxa" w:w="1234"/>
          </w:tcPr>
          <w:p>
            <w:pPr>
              <w:jc w:val="center"/>
            </w:pPr>
            <w:r>
              <w:rPr>
                <w:sz w:val="18"/>
              </w:rPr>
              <w:t>0.574</w:t>
            </w:r>
          </w:p>
        </w:tc>
        <w:tc>
          <w:tcPr>
            <w:tcW w:type="dxa" w:w="1234"/>
          </w:tcPr>
          <w:p>
            <w:pPr>
              <w:jc w:val="center"/>
            </w:pPr>
            <w:r>
              <w:rPr>
                <w:sz w:val="18"/>
              </w:rPr>
              <w:t>233,180</w:t>
            </w:r>
          </w:p>
        </w:tc>
        <w:tc>
          <w:tcPr>
            <w:tcW w:type="dxa" w:w="1234"/>
          </w:tcPr>
          <w:p>
            <w:pPr>
              <w:jc w:val="center"/>
            </w:pPr>
            <w:r>
              <w:rPr>
                <w:sz w:val="18"/>
              </w:rPr>
              <w:t>+2.8%</w:t>
            </w:r>
          </w:p>
        </w:tc>
        <w:tc>
          <w:tcPr>
            <w:tcW w:type="dxa" w:w="1234"/>
          </w:tcPr>
          <w:p>
            <w:pPr>
              <w:jc w:val="center"/>
            </w:pPr>
            <w:r>
              <w:rPr>
                <w:sz w:val="18"/>
              </w:rPr>
              <w:t>Highly Volatile</w:t>
            </w:r>
          </w:p>
        </w:tc>
      </w:tr>
      <w:tr>
        <w:tc>
          <w:tcPr>
            <w:tcW w:type="dxa" w:w="1234"/>
          </w:tcPr>
          <w:p>
            <w:pPr>
              <w:jc w:val="center"/>
            </w:pPr>
            <w:r>
              <w:rPr>
                <w:sz w:val="18"/>
              </w:rPr>
              <w:t>3</w:t>
            </w:r>
          </w:p>
        </w:tc>
        <w:tc>
          <w:tcPr>
            <w:tcW w:type="dxa" w:w="1234"/>
          </w:tcPr>
          <w:p>
            <w:pPr>
              <w:jc w:val="center"/>
            </w:pPr>
            <w:r>
              <w:rPr>
                <w:sz w:val="18"/>
              </w:rPr>
              <w:t>Cabarrus</w:t>
            </w:r>
          </w:p>
        </w:tc>
        <w:tc>
          <w:tcPr>
            <w:tcW w:type="dxa" w:w="1234"/>
          </w:tcPr>
          <w:p>
            <w:pPr>
              <w:jc w:val="center"/>
            </w:pPr>
            <w:r>
              <w:rPr>
                <w:sz w:val="18"/>
              </w:rPr>
              <w:t>NC</w:t>
            </w:r>
          </w:p>
        </w:tc>
        <w:tc>
          <w:tcPr>
            <w:tcW w:type="dxa" w:w="1234"/>
          </w:tcPr>
          <w:p>
            <w:pPr>
              <w:jc w:val="center"/>
            </w:pPr>
            <w:r>
              <w:rPr>
                <w:sz w:val="18"/>
              </w:rPr>
              <w:t>0.570</w:t>
            </w:r>
          </w:p>
        </w:tc>
        <w:tc>
          <w:tcPr>
            <w:tcW w:type="dxa" w:w="1234"/>
          </w:tcPr>
          <w:p>
            <w:pPr>
              <w:jc w:val="center"/>
            </w:pPr>
            <w:r>
              <w:rPr>
                <w:sz w:val="18"/>
              </w:rPr>
              <w:t>120,202</w:t>
            </w:r>
          </w:p>
        </w:tc>
        <w:tc>
          <w:tcPr>
            <w:tcW w:type="dxa" w:w="1234"/>
          </w:tcPr>
          <w:p>
            <w:pPr>
              <w:jc w:val="center"/>
            </w:pPr>
            <w:r>
              <w:rPr>
                <w:sz w:val="18"/>
              </w:rPr>
              <w:t>−7.7%</w:t>
            </w:r>
          </w:p>
        </w:tc>
        <w:tc>
          <w:tcPr>
            <w:tcW w:type="dxa" w:w="1234"/>
          </w:tcPr>
          <w:p>
            <w:pPr>
              <w:jc w:val="center"/>
            </w:pPr>
            <w:r>
              <w:rPr>
                <w:sz w:val="18"/>
              </w:rPr>
              <w:t>Highly Volatile</w:t>
            </w:r>
          </w:p>
        </w:tc>
      </w:tr>
      <w:tr>
        <w:tc>
          <w:tcPr>
            <w:tcW w:type="dxa" w:w="1234"/>
          </w:tcPr>
          <w:p>
            <w:pPr>
              <w:jc w:val="center"/>
            </w:pPr>
            <w:r>
              <w:rPr>
                <w:sz w:val="18"/>
              </w:rPr>
              <w:t>4</w:t>
            </w:r>
          </w:p>
        </w:tc>
        <w:tc>
          <w:tcPr>
            <w:tcW w:type="dxa" w:w="1234"/>
          </w:tcPr>
          <w:p>
            <w:pPr>
              <w:jc w:val="center"/>
            </w:pPr>
            <w:r>
              <w:rPr>
                <w:sz w:val="18"/>
              </w:rPr>
              <w:t>Leelanau</w:t>
            </w:r>
          </w:p>
        </w:tc>
        <w:tc>
          <w:tcPr>
            <w:tcW w:type="dxa" w:w="1234"/>
          </w:tcPr>
          <w:p>
            <w:pPr>
              <w:jc w:val="center"/>
            </w:pPr>
            <w:r>
              <w:rPr>
                <w:sz w:val="18"/>
              </w:rPr>
              <w:t>MI</w:t>
            </w:r>
          </w:p>
        </w:tc>
        <w:tc>
          <w:tcPr>
            <w:tcW w:type="dxa" w:w="1234"/>
          </w:tcPr>
          <w:p>
            <w:pPr>
              <w:jc w:val="center"/>
            </w:pPr>
            <w:r>
              <w:rPr>
                <w:sz w:val="18"/>
              </w:rPr>
              <w:t>0.566</w:t>
            </w:r>
          </w:p>
        </w:tc>
        <w:tc>
          <w:tcPr>
            <w:tcW w:type="dxa" w:w="1234"/>
          </w:tcPr>
          <w:p>
            <w:pPr>
              <w:jc w:val="center"/>
            </w:pPr>
            <w:r>
              <w:rPr>
                <w:sz w:val="18"/>
              </w:rPr>
              <w:t>17,685</w:t>
            </w:r>
          </w:p>
        </w:tc>
        <w:tc>
          <w:tcPr>
            <w:tcW w:type="dxa" w:w="1234"/>
          </w:tcPr>
          <w:p>
            <w:pPr>
              <w:jc w:val="center"/>
            </w:pPr>
            <w:r>
              <w:rPr>
                <w:sz w:val="18"/>
              </w:rPr>
              <w:t>+7.8%</w:t>
            </w:r>
          </w:p>
        </w:tc>
        <w:tc>
          <w:tcPr>
            <w:tcW w:type="dxa" w:w="1234"/>
          </w:tcPr>
          <w:p>
            <w:pPr>
              <w:jc w:val="center"/>
            </w:pPr>
            <w:r>
              <w:rPr>
                <w:sz w:val="18"/>
              </w:rPr>
              <w:t>Highly Volatile</w:t>
            </w:r>
          </w:p>
        </w:tc>
      </w:tr>
      <w:tr>
        <w:tc>
          <w:tcPr>
            <w:tcW w:type="dxa" w:w="1234"/>
          </w:tcPr>
          <w:p>
            <w:pPr>
              <w:jc w:val="center"/>
            </w:pPr>
            <w:r>
              <w:rPr>
                <w:sz w:val="18"/>
              </w:rPr>
              <w:t>5</w:t>
            </w:r>
          </w:p>
        </w:tc>
        <w:tc>
          <w:tcPr>
            <w:tcW w:type="dxa" w:w="1234"/>
          </w:tcPr>
          <w:p>
            <w:pPr>
              <w:jc w:val="center"/>
            </w:pPr>
            <w:r>
              <w:rPr>
                <w:sz w:val="18"/>
              </w:rPr>
              <w:t>Scotland</w:t>
            </w:r>
          </w:p>
        </w:tc>
        <w:tc>
          <w:tcPr>
            <w:tcW w:type="dxa" w:w="1234"/>
          </w:tcPr>
          <w:p>
            <w:pPr>
              <w:jc w:val="center"/>
            </w:pPr>
            <w:r>
              <w:rPr>
                <w:sz w:val="18"/>
              </w:rPr>
              <w:t>NC</w:t>
            </w:r>
          </w:p>
        </w:tc>
        <w:tc>
          <w:tcPr>
            <w:tcW w:type="dxa" w:w="1234"/>
          </w:tcPr>
          <w:p>
            <w:pPr>
              <w:jc w:val="center"/>
            </w:pPr>
            <w:r>
              <w:rPr>
                <w:sz w:val="18"/>
              </w:rPr>
              <w:t>0.561</w:t>
            </w:r>
          </w:p>
        </w:tc>
        <w:tc>
          <w:tcPr>
            <w:tcW w:type="dxa" w:w="1234"/>
          </w:tcPr>
          <w:p>
            <w:pPr>
              <w:jc w:val="center"/>
            </w:pPr>
            <w:r>
              <w:rPr>
                <w:sz w:val="18"/>
              </w:rPr>
              <w:t>14,626</w:t>
            </w:r>
          </w:p>
        </w:tc>
        <w:tc>
          <w:tcPr>
            <w:tcW w:type="dxa" w:w="1234"/>
          </w:tcPr>
          <w:p>
            <w:pPr>
              <w:jc w:val="center"/>
            </w:pPr>
            <w:r>
              <w:rPr>
                <w:sz w:val="18"/>
              </w:rPr>
              <w:t>−6.9%</w:t>
            </w:r>
          </w:p>
        </w:tc>
        <w:tc>
          <w:tcPr>
            <w:tcW w:type="dxa" w:w="1234"/>
          </w:tcPr>
          <w:p>
            <w:pPr>
              <w:jc w:val="center"/>
            </w:pPr>
            <w:r>
              <w:rPr>
                <w:sz w:val="18"/>
              </w:rPr>
              <w:t>Highly Volatile</w:t>
            </w:r>
          </w:p>
        </w:tc>
      </w:tr>
      <w:tr>
        <w:tc>
          <w:tcPr>
            <w:tcW w:type="dxa" w:w="1234"/>
          </w:tcPr>
          <w:p>
            <w:pPr>
              <w:jc w:val="center"/>
            </w:pPr>
            <w:r>
              <w:rPr>
                <w:sz w:val="18"/>
              </w:rPr>
              <w:t>6</w:t>
            </w:r>
          </w:p>
        </w:tc>
        <w:tc>
          <w:tcPr>
            <w:tcW w:type="dxa" w:w="1234"/>
          </w:tcPr>
          <w:p>
            <w:pPr>
              <w:jc w:val="center"/>
            </w:pPr>
            <w:r>
              <w:rPr>
                <w:sz w:val="18"/>
              </w:rPr>
              <w:t>Marquette</w:t>
            </w:r>
          </w:p>
        </w:tc>
        <w:tc>
          <w:tcPr>
            <w:tcW w:type="dxa" w:w="1234"/>
          </w:tcPr>
          <w:p>
            <w:pPr>
              <w:jc w:val="center"/>
            </w:pPr>
            <w:r>
              <w:rPr>
                <w:sz w:val="18"/>
              </w:rPr>
              <w:t>MI</w:t>
            </w:r>
          </w:p>
        </w:tc>
        <w:tc>
          <w:tcPr>
            <w:tcW w:type="dxa" w:w="1234"/>
          </w:tcPr>
          <w:p>
            <w:pPr>
              <w:jc w:val="center"/>
            </w:pPr>
            <w:r>
              <w:rPr>
                <w:sz w:val="18"/>
              </w:rPr>
              <w:t>0.547</w:t>
            </w:r>
          </w:p>
        </w:tc>
        <w:tc>
          <w:tcPr>
            <w:tcW w:type="dxa" w:w="1234"/>
          </w:tcPr>
          <w:p>
            <w:pPr>
              <w:jc w:val="center"/>
            </w:pPr>
            <w:r>
              <w:rPr>
                <w:sz w:val="18"/>
              </w:rPr>
              <w:t>39,009</w:t>
            </w:r>
          </w:p>
        </w:tc>
        <w:tc>
          <w:tcPr>
            <w:tcW w:type="dxa" w:w="1234"/>
          </w:tcPr>
          <w:p>
            <w:pPr>
              <w:jc w:val="center"/>
            </w:pPr>
            <w:r>
              <w:rPr>
                <w:sz w:val="18"/>
              </w:rPr>
              <w:t>+8.7%</w:t>
            </w:r>
          </w:p>
        </w:tc>
        <w:tc>
          <w:tcPr>
            <w:tcW w:type="dxa" w:w="1234"/>
          </w:tcPr>
          <w:p>
            <w:pPr>
              <w:jc w:val="center"/>
            </w:pPr>
            <w:r>
              <w:rPr>
                <w:sz w:val="18"/>
              </w:rPr>
              <w:t>Highly Volatile</w:t>
            </w:r>
          </w:p>
        </w:tc>
      </w:tr>
      <w:tr>
        <w:tc>
          <w:tcPr>
            <w:tcW w:type="dxa" w:w="1234"/>
          </w:tcPr>
          <w:p>
            <w:pPr>
              <w:jc w:val="center"/>
            </w:pPr>
            <w:r>
              <w:rPr>
                <w:sz w:val="18"/>
              </w:rPr>
              <w:t>7</w:t>
            </w:r>
          </w:p>
        </w:tc>
        <w:tc>
          <w:tcPr>
            <w:tcW w:type="dxa" w:w="1234"/>
          </w:tcPr>
          <w:p>
            <w:pPr>
              <w:jc w:val="center"/>
            </w:pPr>
            <w:r>
              <w:rPr>
                <w:sz w:val="18"/>
              </w:rPr>
              <w:t>Genesee</w:t>
            </w:r>
          </w:p>
        </w:tc>
        <w:tc>
          <w:tcPr>
            <w:tcW w:type="dxa" w:w="1234"/>
          </w:tcPr>
          <w:p>
            <w:pPr>
              <w:jc w:val="center"/>
            </w:pPr>
            <w:r>
              <w:rPr>
                <w:sz w:val="18"/>
              </w:rPr>
              <w:t>MI</w:t>
            </w:r>
          </w:p>
        </w:tc>
        <w:tc>
          <w:tcPr>
            <w:tcW w:type="dxa" w:w="1234"/>
          </w:tcPr>
          <w:p>
            <w:pPr>
              <w:jc w:val="center"/>
            </w:pPr>
            <w:r>
              <w:rPr>
                <w:sz w:val="18"/>
              </w:rPr>
              <w:t>0.514</w:t>
            </w:r>
          </w:p>
        </w:tc>
        <w:tc>
          <w:tcPr>
            <w:tcW w:type="dxa" w:w="1234"/>
          </w:tcPr>
          <w:p>
            <w:pPr>
              <w:jc w:val="center"/>
            </w:pPr>
            <w:r>
              <w:rPr>
                <w:sz w:val="18"/>
              </w:rPr>
              <w:t>223,268</w:t>
            </w:r>
          </w:p>
        </w:tc>
        <w:tc>
          <w:tcPr>
            <w:tcW w:type="dxa" w:w="1234"/>
          </w:tcPr>
          <w:p>
            <w:pPr>
              <w:jc w:val="center"/>
            </w:pPr>
            <w:r>
              <w:rPr>
                <w:sz w:val="18"/>
              </w:rPr>
              <w:t>+4.2%</w:t>
            </w:r>
          </w:p>
        </w:tc>
        <w:tc>
          <w:tcPr>
            <w:tcW w:type="dxa" w:w="1234"/>
          </w:tcPr>
          <w:p>
            <w:pPr>
              <w:jc w:val="center"/>
            </w:pPr>
            <w:r>
              <w:rPr>
                <w:sz w:val="18"/>
              </w:rPr>
              <w:t>Volatile</w:t>
            </w:r>
          </w:p>
        </w:tc>
      </w:tr>
      <w:tr>
        <w:tc>
          <w:tcPr>
            <w:tcW w:type="dxa" w:w="1234"/>
          </w:tcPr>
          <w:p>
            <w:pPr>
              <w:jc w:val="center"/>
            </w:pPr>
            <w:r>
              <w:rPr>
                <w:sz w:val="18"/>
              </w:rPr>
              <w:t>8</w:t>
            </w:r>
          </w:p>
        </w:tc>
        <w:tc>
          <w:tcPr>
            <w:tcW w:type="dxa" w:w="1234"/>
          </w:tcPr>
          <w:p>
            <w:pPr>
              <w:jc w:val="center"/>
            </w:pPr>
            <w:r>
              <w:rPr>
                <w:sz w:val="18"/>
              </w:rPr>
              <w:t>Monroe</w:t>
            </w:r>
          </w:p>
        </w:tc>
        <w:tc>
          <w:tcPr>
            <w:tcW w:type="dxa" w:w="1234"/>
          </w:tcPr>
          <w:p>
            <w:pPr>
              <w:jc w:val="center"/>
            </w:pPr>
            <w:r>
              <w:rPr>
                <w:sz w:val="18"/>
              </w:rPr>
              <w:t>PA</w:t>
            </w:r>
          </w:p>
        </w:tc>
        <w:tc>
          <w:tcPr>
            <w:tcW w:type="dxa" w:w="1234"/>
          </w:tcPr>
          <w:p>
            <w:pPr>
              <w:jc w:val="center"/>
            </w:pPr>
            <w:r>
              <w:rPr>
                <w:sz w:val="18"/>
              </w:rPr>
              <w:t>0.492</w:t>
            </w:r>
          </w:p>
        </w:tc>
        <w:tc>
          <w:tcPr>
            <w:tcW w:type="dxa" w:w="1234"/>
          </w:tcPr>
          <w:p>
            <w:pPr>
              <w:jc w:val="center"/>
            </w:pPr>
            <w:r>
              <w:rPr>
                <w:sz w:val="18"/>
              </w:rPr>
              <w:t>171,050</w:t>
            </w:r>
          </w:p>
        </w:tc>
        <w:tc>
          <w:tcPr>
            <w:tcW w:type="dxa" w:w="1234"/>
          </w:tcPr>
          <w:p>
            <w:pPr>
              <w:jc w:val="center"/>
            </w:pPr>
            <w:r>
              <w:rPr>
                <w:sz w:val="18"/>
              </w:rPr>
              <w:t>−0.8%</w:t>
            </w:r>
          </w:p>
        </w:tc>
        <w:tc>
          <w:tcPr>
            <w:tcW w:type="dxa" w:w="1234"/>
          </w:tcPr>
          <w:p>
            <w:pPr>
              <w:jc w:val="center"/>
            </w:pPr>
            <w:r>
              <w:rPr>
                <w:sz w:val="18"/>
              </w:rPr>
              <w:t>Highly Volatile</w:t>
            </w:r>
          </w:p>
        </w:tc>
      </w:tr>
      <w:tr>
        <w:tc>
          <w:tcPr>
            <w:tcW w:type="dxa" w:w="1234"/>
          </w:tcPr>
          <w:p>
            <w:pPr>
              <w:jc w:val="center"/>
            </w:pPr>
            <w:r>
              <w:rPr>
                <w:sz w:val="18"/>
              </w:rPr>
              <w:t>9</w:t>
            </w:r>
          </w:p>
        </w:tc>
        <w:tc>
          <w:tcPr>
            <w:tcW w:type="dxa" w:w="1234"/>
          </w:tcPr>
          <w:p>
            <w:pPr>
              <w:jc w:val="center"/>
            </w:pPr>
            <w:r>
              <w:rPr>
                <w:sz w:val="18"/>
              </w:rPr>
              <w:t>Isabella</w:t>
            </w:r>
          </w:p>
        </w:tc>
        <w:tc>
          <w:tcPr>
            <w:tcW w:type="dxa" w:w="1234"/>
          </w:tcPr>
          <w:p>
            <w:pPr>
              <w:jc w:val="center"/>
            </w:pPr>
            <w:r>
              <w:rPr>
                <w:sz w:val="18"/>
              </w:rPr>
              <w:t>MI</w:t>
            </w:r>
          </w:p>
        </w:tc>
        <w:tc>
          <w:tcPr>
            <w:tcW w:type="dxa" w:w="1234"/>
          </w:tcPr>
          <w:p>
            <w:pPr>
              <w:jc w:val="center"/>
            </w:pPr>
            <w:r>
              <w:rPr>
                <w:sz w:val="18"/>
              </w:rPr>
              <w:t>0.492</w:t>
            </w:r>
          </w:p>
        </w:tc>
        <w:tc>
          <w:tcPr>
            <w:tcW w:type="dxa" w:w="1234"/>
          </w:tcPr>
          <w:p>
            <w:pPr>
              <w:jc w:val="center"/>
            </w:pPr>
            <w:r>
              <w:rPr>
                <w:sz w:val="18"/>
              </w:rPr>
              <w:t>30,835</w:t>
            </w:r>
          </w:p>
        </w:tc>
        <w:tc>
          <w:tcPr>
            <w:tcW w:type="dxa" w:w="1234"/>
          </w:tcPr>
          <w:p>
            <w:pPr>
              <w:jc w:val="center"/>
            </w:pPr>
            <w:r>
              <w:rPr>
                <w:sz w:val="18"/>
              </w:rPr>
              <w:t>−7.5%</w:t>
            </w:r>
          </w:p>
        </w:tc>
        <w:tc>
          <w:tcPr>
            <w:tcW w:type="dxa" w:w="1234"/>
          </w:tcPr>
          <w:p>
            <w:pPr>
              <w:jc w:val="center"/>
            </w:pPr>
            <w:r>
              <w:rPr>
                <w:sz w:val="18"/>
              </w:rPr>
              <w:t>Volatile</w:t>
            </w:r>
          </w:p>
        </w:tc>
      </w:tr>
      <w:tr>
        <w:tc>
          <w:tcPr>
            <w:tcW w:type="dxa" w:w="1234"/>
          </w:tcPr>
          <w:p>
            <w:pPr>
              <w:jc w:val="center"/>
            </w:pPr>
            <w:r>
              <w:rPr>
                <w:sz w:val="18"/>
              </w:rPr>
              <w:t>10</w:t>
            </w:r>
          </w:p>
        </w:tc>
        <w:tc>
          <w:tcPr>
            <w:tcW w:type="dxa" w:w="1234"/>
          </w:tcPr>
          <w:p>
            <w:pPr>
              <w:jc w:val="center"/>
            </w:pPr>
            <w:r>
              <w:rPr>
                <w:sz w:val="18"/>
              </w:rPr>
              <w:t>Grand Traverse</w:t>
            </w:r>
          </w:p>
        </w:tc>
        <w:tc>
          <w:tcPr>
            <w:tcW w:type="dxa" w:w="1234"/>
          </w:tcPr>
          <w:p>
            <w:pPr>
              <w:jc w:val="center"/>
            </w:pPr>
            <w:r>
              <w:rPr>
                <w:sz w:val="18"/>
              </w:rPr>
              <w:t>MI</w:t>
            </w:r>
          </w:p>
        </w:tc>
        <w:tc>
          <w:tcPr>
            <w:tcW w:type="dxa" w:w="1234"/>
          </w:tcPr>
          <w:p>
            <w:pPr>
              <w:jc w:val="center"/>
            </w:pPr>
            <w:r>
              <w:rPr>
                <w:sz w:val="18"/>
              </w:rPr>
              <w:t>0.484</w:t>
            </w:r>
          </w:p>
        </w:tc>
        <w:tc>
          <w:tcPr>
            <w:tcW w:type="dxa" w:w="1234"/>
          </w:tcPr>
          <w:p>
            <w:pPr>
              <w:jc w:val="center"/>
            </w:pPr>
            <w:r>
              <w:rPr>
                <w:sz w:val="18"/>
              </w:rPr>
              <w:t>62,772</w:t>
            </w:r>
          </w:p>
        </w:tc>
        <w:tc>
          <w:tcPr>
            <w:tcW w:type="dxa" w:w="1234"/>
          </w:tcPr>
          <w:p>
            <w:pPr>
              <w:jc w:val="center"/>
            </w:pPr>
            <w:r>
              <w:rPr>
                <w:sz w:val="18"/>
              </w:rPr>
              <w:t>−1.7%</w:t>
            </w:r>
          </w:p>
        </w:tc>
        <w:tc>
          <w:tcPr>
            <w:tcW w:type="dxa" w:w="1234"/>
          </w:tcPr>
          <w:p>
            <w:pPr>
              <w:jc w:val="center"/>
            </w:pPr>
            <w:r>
              <w:rPr>
                <w:sz w:val="18"/>
              </w:rPr>
              <w:t>Highly Volatile</w:t>
            </w:r>
          </w:p>
        </w:tc>
      </w:tr>
    </w:tbl>
    <w:p/>
    <w:p>
      <w:pPr>
        <w:jc w:val="center"/>
      </w:pPr>
      <w:r>
        <w:drawing>
          <wp:inline xmlns:a="http://schemas.openxmlformats.org/drawingml/2006/main" xmlns:pic="http://schemas.openxmlformats.org/drawingml/2006/picture">
            <wp:extent cx="5303520" cy="3395779"/>
            <wp:docPr id="21" name="Picture 21"/>
            <wp:cNvGraphicFramePr>
              <a:graphicFrameLocks noChangeAspect="1"/>
            </wp:cNvGraphicFramePr>
            <a:graphic>
              <a:graphicData uri="http://schemas.openxmlformats.org/drawingml/2006/picture">
                <pic:pic>
                  <pic:nvPicPr>
                    <pic:cNvPr id="0" name="deepdive_campaign_priority_scatter.png"/>
                    <pic:cNvPicPr/>
                  </pic:nvPicPr>
                  <pic:blipFill>
                    <a:blip r:embed="rId29"/>
                    <a:stretch>
                      <a:fillRect/>
                    </a:stretch>
                  </pic:blipFill>
                  <pic:spPr>
                    <a:xfrm>
                      <a:off x="0" y="0"/>
                      <a:ext cx="5303520" cy="3395779"/>
                    </a:xfrm>
                    <a:prstGeom prst="rect"/>
                  </pic:spPr>
                </pic:pic>
              </a:graphicData>
            </a:graphic>
          </wp:inline>
        </w:drawing>
      </w:r>
    </w:p>
    <w:p>
      <w:pPr>
        <w:jc w:val="center"/>
      </w:pPr>
      <w:r>
        <w:rPr>
          <w:i/>
          <w:color w:val="555555"/>
          <w:sz w:val="18"/>
        </w:rPr>
        <w:t>Figure 21: Campaign priority scatter (volatility × misfit, bubble size = votes).</w:t>
      </w:r>
    </w:p>
    <w:p>
      <w:pPr>
        <w:spacing w:before="120" w:after="120"/>
      </w:pPr>
      <w:r>
        <w:rPr>
          <w:b/>
          <w:color w:val="1A3C6E"/>
          <w:sz w:val="20"/>
        </w:rPr>
        <w:t xml:space="preserve">▶ Takeaway: </w:t>
      </w:r>
      <w:r>
        <w:rPr>
          <w:sz w:val="20"/>
        </w:rPr>
        <w:t>Temporal analysis: diversifying counties are becoming more volatile. Blue Bounceback is the dominant trajectory (47%). The diversity threshold at 0.55 operates as a 7× switch. 5 SHAP archetypes reveal state-specific mechanisms. Bucks County PA is the #1 priority target nationally.</w:t>
      </w:r>
    </w:p>
    <w:p>
      <w:r>
        <w:br w:type="page"/>
      </w:r>
    </w:p>
    <w:p>
      <w:pPr>
        <w:pStyle w:val="Heading1"/>
      </w:pPr>
      <w:r>
        <w:t>10. Key Findings &amp; Grand Synthesis</w:t>
      </w:r>
    </w:p>
    <w:p>
      <w:pPr>
        <w:pStyle w:val="Heading2"/>
      </w:pPr>
      <w:r>
        <w:t>The Volatility Formula</w:t>
      </w:r>
    </w:p>
    <w:p>
      <w:r>
        <w:rPr>
          <w:b/>
        </w:rPr>
        <w:t>1. Racial diversity is the necessary condition.</w:t>
      </w:r>
      <w:r>
        <w:t xml:space="preserve"> The #1 predictor. Threshold at 0.55 = 7× odds ratio. It's mixing, not any single group.</w:t>
      </w:r>
    </w:p>
    <w:p>
      <w:r>
        <w:rPr>
          <w:b/>
        </w:rPr>
        <w:t>2. Economic transition is the amplifier.</w:t>
      </w:r>
      <w:r>
        <w:t xml:space="preserve"> Rising rents, poverty, education shifts amplify volatility in diverse counties.</w:t>
      </w:r>
    </w:p>
    <w:p>
      <w:r>
        <w:rPr>
          <w:b/>
        </w:rPr>
        <w:t>3. State context is the moderator.</w:t>
      </w:r>
      <w:r>
        <w:t xml:space="preserve"> PA=diversity, MI=education, NC=poverty. National models fail.</w:t>
      </w:r>
    </w:p>
    <w:p>
      <w:pPr>
        <w:pStyle w:val="Heading2"/>
      </w:pPr>
      <w:r>
        <w:t>What Does NOT Predict Volatility</w:t>
      </w:r>
    </w:p>
    <w:p>
      <w:pPr>
        <w:pStyle w:val="ListBullet"/>
      </w:pPr>
      <w:r>
        <w:t>Poverty alone (low-diversity poor counties are stable)</w:t>
      </w:r>
    </w:p>
    <w:p>
      <w:pPr>
        <w:pStyle w:val="ListBullet"/>
      </w:pPr>
      <w:r>
        <w:t>Education alone (only with urbanization)</w:t>
      </w:r>
    </w:p>
    <w:p>
      <w:pPr>
        <w:pStyle w:val="ListBullet"/>
      </w:pPr>
      <w:r>
        <w:t>Cross-state demographics (LOSO F1 = 0.195 = random)</w:t>
      </w:r>
    </w:p>
    <w:p>
      <w:pPr>
        <w:pStyle w:val="ListBullet"/>
      </w:pPr>
      <w:r>
        <w:t>Swing direction (misfit r = −0.017)</w:t>
      </w:r>
    </w:p>
    <w:p>
      <w:pPr>
        <w:jc w:val="center"/>
      </w:pPr>
      <w:r>
        <w:drawing>
          <wp:inline xmlns:a="http://schemas.openxmlformats.org/drawingml/2006/main" xmlns:pic="http://schemas.openxmlformats.org/drawingml/2006/picture">
            <wp:extent cx="6217920" cy="4674203"/>
            <wp:docPr id="22" name="Picture 22"/>
            <wp:cNvGraphicFramePr>
              <a:graphicFrameLocks noChangeAspect="1"/>
            </wp:cNvGraphicFramePr>
            <a:graphic>
              <a:graphicData uri="http://schemas.openxmlformats.org/drawingml/2006/picture">
                <pic:pic>
                  <pic:nvPicPr>
                    <pic:cNvPr id="0" name="deepdive2_grand_synthesis.png"/>
                    <pic:cNvPicPr/>
                  </pic:nvPicPr>
                  <pic:blipFill>
                    <a:blip r:embed="rId30"/>
                    <a:stretch>
                      <a:fillRect/>
                    </a:stretch>
                  </pic:blipFill>
                  <pic:spPr>
                    <a:xfrm>
                      <a:off x="0" y="0"/>
                      <a:ext cx="6217920" cy="4674203"/>
                    </a:xfrm>
                    <a:prstGeom prst="rect"/>
                  </pic:spPr>
                </pic:pic>
              </a:graphicData>
            </a:graphic>
          </wp:inline>
        </w:drawing>
      </w:r>
    </w:p>
    <w:p>
      <w:pPr>
        <w:jc w:val="center"/>
      </w:pPr>
      <w:r>
        <w:rPr>
          <w:i/>
          <w:color w:val="555555"/>
          <w:sz w:val="18"/>
        </w:rPr>
        <w:t>Figure 22: Grand Synthesis — the complete story in 6 panels.</w:t>
      </w:r>
    </w:p>
    <w:p>
      <w:pPr>
        <w:jc w:val="center"/>
      </w:pPr>
      <w:r>
        <w:drawing>
          <wp:inline xmlns:a="http://schemas.openxmlformats.org/drawingml/2006/main" xmlns:pic="http://schemas.openxmlformats.org/drawingml/2006/picture">
            <wp:extent cx="5303520" cy="1876519"/>
            <wp:docPr id="23" name="Picture 23"/>
            <wp:cNvGraphicFramePr>
              <a:graphicFrameLocks noChangeAspect="1"/>
            </wp:cNvGraphicFramePr>
            <a:graphic>
              <a:graphicData uri="http://schemas.openxmlformats.org/drawingml/2006/picture">
                <pic:pic>
                  <pic:nvPicPr>
                    <pic:cNvPr id="0" name="choropleth_volatility_class.png"/>
                    <pic:cNvPicPr/>
                  </pic:nvPicPr>
                  <pic:blipFill>
                    <a:blip r:embed="rId31"/>
                    <a:stretch>
                      <a:fillRect/>
                    </a:stretch>
                  </pic:blipFill>
                  <pic:spPr>
                    <a:xfrm>
                      <a:off x="0" y="0"/>
                      <a:ext cx="5303520" cy="1876519"/>
                    </a:xfrm>
                    <a:prstGeom prst="rect"/>
                  </pic:spPr>
                </pic:pic>
              </a:graphicData>
            </a:graphic>
          </wp:inline>
        </w:drawing>
      </w:r>
    </w:p>
    <w:p>
      <w:pPr>
        <w:jc w:val="center"/>
      </w:pPr>
      <w:r>
        <w:rPr>
          <w:i/>
          <w:color w:val="555555"/>
          <w:sz w:val="18"/>
        </w:rPr>
        <w:t>Figure 23: Predicted volatility class by county.</w:t>
      </w:r>
    </w:p>
    <w:p>
      <w:pPr>
        <w:jc w:val="center"/>
      </w:pPr>
      <w:r>
        <w:drawing>
          <wp:inline xmlns:a="http://schemas.openxmlformats.org/drawingml/2006/main" xmlns:pic="http://schemas.openxmlformats.org/drawingml/2006/picture">
            <wp:extent cx="5303520" cy="1875878"/>
            <wp:docPr id="24" name="Picture 24"/>
            <wp:cNvGraphicFramePr>
              <a:graphicFrameLocks noChangeAspect="1"/>
            </wp:cNvGraphicFramePr>
            <a:graphic>
              <a:graphicData uri="http://schemas.openxmlformats.org/drawingml/2006/picture">
                <pic:pic>
                  <pic:nvPicPr>
                    <pic:cNvPr id="0" name="choropleth_misfit_score.png"/>
                    <pic:cNvPicPr/>
                  </pic:nvPicPr>
                  <pic:blipFill>
                    <a:blip r:embed="rId32"/>
                    <a:stretch>
                      <a:fillRect/>
                    </a:stretch>
                  </pic:blipFill>
                  <pic:spPr>
                    <a:xfrm>
                      <a:off x="0" y="0"/>
                      <a:ext cx="5303520" cy="1875878"/>
                    </a:xfrm>
                    <a:prstGeom prst="rect"/>
                  </pic:spPr>
                </pic:pic>
              </a:graphicData>
            </a:graphic>
          </wp:inline>
        </w:drawing>
      </w:r>
    </w:p>
    <w:p>
      <w:pPr>
        <w:jc w:val="center"/>
      </w:pPr>
      <w:r>
        <w:rPr>
          <w:i/>
          <w:color w:val="555555"/>
          <w:sz w:val="18"/>
        </w:rPr>
        <w:t>Figure 24: Demographic misfit scores. Top 15 misfits highlighted.</w:t>
      </w:r>
    </w:p>
    <w:p>
      <w:pPr>
        <w:pStyle w:val="Heading2"/>
      </w:pPr>
      <w:r>
        <w:t>Metrics At-a-Glance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Finding</w:t>
            </w:r>
          </w:p>
        </w:tc>
        <w:tc>
          <w:tcPr>
            <w:tcW w:type="dxa" w:w="4320"/>
          </w:tcPr>
          <w:p>
            <w:pPr>
              <w:jc w:val="center"/>
            </w:pPr>
            <w:r>
              <w:rPr>
                <w:b/>
                <w:sz w:val="18"/>
              </w:rPr>
              <w:t>Value</w:t>
            </w:r>
          </w:p>
        </w:tc>
      </w:tr>
      <w:tr>
        <w:tc>
          <w:tcPr>
            <w:tcW w:type="dxa" w:w="4320"/>
          </w:tcPr>
          <w:p>
            <w:pPr>
              <w:jc w:val="center"/>
            </w:pPr>
            <w:r>
              <w:rPr>
                <w:sz w:val="18"/>
              </w:rPr>
              <w:t>Best binary F1</w:t>
            </w:r>
          </w:p>
        </w:tc>
        <w:tc>
          <w:tcPr>
            <w:tcW w:type="dxa" w:w="4320"/>
          </w:tcPr>
          <w:p>
            <w:pPr>
              <w:jc w:val="center"/>
            </w:pPr>
            <w:r>
              <w:rPr>
                <w:sz w:val="18"/>
              </w:rPr>
              <w:t>0.718 (RF)</w:t>
            </w:r>
          </w:p>
        </w:tc>
      </w:tr>
      <w:tr>
        <w:tc>
          <w:tcPr>
            <w:tcW w:type="dxa" w:w="4320"/>
          </w:tcPr>
          <w:p>
            <w:pPr>
              <w:jc w:val="center"/>
            </w:pPr>
            <w:r>
              <w:rPr>
                <w:sz w:val="18"/>
              </w:rPr>
              <w:t>Best 5-class F1</w:t>
            </w:r>
          </w:p>
        </w:tc>
        <w:tc>
          <w:tcPr>
            <w:tcW w:type="dxa" w:w="4320"/>
          </w:tcPr>
          <w:p>
            <w:pPr>
              <w:jc w:val="center"/>
            </w:pPr>
            <w:r>
              <w:rPr>
                <w:sz w:val="18"/>
              </w:rPr>
              <w:t>0.387 (XGBoost)</w:t>
            </w:r>
          </w:p>
        </w:tc>
      </w:tr>
      <w:tr>
        <w:tc>
          <w:tcPr>
            <w:tcW w:type="dxa" w:w="4320"/>
          </w:tcPr>
          <w:p>
            <w:pPr>
              <w:jc w:val="center"/>
            </w:pPr>
            <w:r>
              <w:rPr>
                <w:sz w:val="18"/>
              </w:rPr>
              <w:t>Bootstrap CI (RF)</w:t>
            </w:r>
          </w:p>
        </w:tc>
        <w:tc>
          <w:tcPr>
            <w:tcW w:type="dxa" w:w="4320"/>
          </w:tcPr>
          <w:p>
            <w:pPr>
              <w:jc w:val="center"/>
            </w:pPr>
            <w:r>
              <w:rPr>
                <w:sz w:val="18"/>
              </w:rPr>
              <w:t>F1: 0.818 [0.764, 0.872]</w:t>
            </w:r>
          </w:p>
        </w:tc>
      </w:tr>
      <w:tr>
        <w:tc>
          <w:tcPr>
            <w:tcW w:type="dxa" w:w="4320"/>
          </w:tcPr>
          <w:p>
            <w:pPr>
              <w:jc w:val="center"/>
            </w:pPr>
            <w:r>
              <w:rPr>
                <w:sz w:val="18"/>
              </w:rPr>
              <w:t>Ensemble ceiling</w:t>
            </w:r>
          </w:p>
        </w:tc>
        <w:tc>
          <w:tcPr>
            <w:tcW w:type="dxa" w:w="4320"/>
          </w:tcPr>
          <w:p>
            <w:pPr>
              <w:jc w:val="center"/>
            </w:pPr>
            <w:r>
              <w:rPr>
                <w:sz w:val="18"/>
              </w:rPr>
              <w:t>F1 = 0.691 (no gain)</w:t>
            </w:r>
          </w:p>
        </w:tc>
      </w:tr>
      <w:tr>
        <w:tc>
          <w:tcPr>
            <w:tcW w:type="dxa" w:w="4320"/>
          </w:tcPr>
          <w:p>
            <w:pPr>
              <w:jc w:val="center"/>
            </w:pPr>
            <w:r>
              <w:rPr>
                <w:sz w:val="18"/>
              </w:rPr>
              <w:t>Diversity threshold</w:t>
            </w:r>
          </w:p>
        </w:tc>
        <w:tc>
          <w:tcPr>
            <w:tcW w:type="dxa" w:w="4320"/>
          </w:tcPr>
          <w:p>
            <w:pPr>
              <w:jc w:val="center"/>
            </w:pPr>
            <w:r>
              <w:rPr>
                <w:sz w:val="18"/>
              </w:rPr>
              <w:t>0.552 [0.397, 0.642]</w:t>
            </w:r>
          </w:p>
        </w:tc>
      </w:tr>
      <w:tr>
        <w:tc>
          <w:tcPr>
            <w:tcW w:type="dxa" w:w="4320"/>
          </w:tcPr>
          <w:p>
            <w:pPr>
              <w:jc w:val="center"/>
            </w:pPr>
            <w:r>
              <w:rPr>
                <w:sz w:val="18"/>
              </w:rPr>
              <w:t>Diversity odds ratio</w:t>
            </w:r>
          </w:p>
        </w:tc>
        <w:tc>
          <w:tcPr>
            <w:tcW w:type="dxa" w:w="4320"/>
          </w:tcPr>
          <w:p>
            <w:pPr>
              <w:jc w:val="center"/>
            </w:pPr>
            <w:r>
              <w:rPr>
                <w:sz w:val="18"/>
              </w:rPr>
              <w:t>7.15×</w:t>
            </w:r>
          </w:p>
        </w:tc>
      </w:tr>
      <w:tr>
        <w:tc>
          <w:tcPr>
            <w:tcW w:type="dxa" w:w="4320"/>
          </w:tcPr>
          <w:p>
            <w:pPr>
              <w:jc w:val="center"/>
            </w:pPr>
            <w:r>
              <w:rPr>
                <w:sz w:val="18"/>
              </w:rPr>
              <w:t>Most necessary group</w:t>
            </w:r>
          </w:p>
        </w:tc>
        <w:tc>
          <w:tcPr>
            <w:tcW w:type="dxa" w:w="4320"/>
          </w:tcPr>
          <w:p>
            <w:pPr>
              <w:jc w:val="center"/>
            </w:pPr>
            <w:r>
              <w:rPr>
                <w:sz w:val="18"/>
              </w:rPr>
              <w:t>Race/Ethnicity (ΔF1 = +0.092)</w:t>
            </w:r>
          </w:p>
        </w:tc>
      </w:tr>
      <w:tr>
        <w:tc>
          <w:tcPr>
            <w:tcW w:type="dxa" w:w="4320"/>
          </w:tcPr>
          <w:p>
            <w:pPr>
              <w:jc w:val="center"/>
            </w:pPr>
            <w:r>
              <w:rPr>
                <w:sz w:val="18"/>
              </w:rPr>
              <w:t>Top temporal predictor</w:t>
            </w:r>
          </w:p>
        </w:tc>
        <w:tc>
          <w:tcPr>
            <w:tcW w:type="dxa" w:w="4320"/>
          </w:tcPr>
          <w:p>
            <w:pPr>
              <w:jc w:val="center"/>
            </w:pPr>
            <w:r>
              <w:rPr>
                <w:sz w:val="18"/>
              </w:rPr>
              <w:t>Δ pct_hispanic (ρ = +0.220)</w:t>
            </w:r>
          </w:p>
        </w:tc>
      </w:tr>
      <w:tr>
        <w:tc>
          <w:tcPr>
            <w:tcW w:type="dxa" w:w="4320"/>
          </w:tcPr>
          <w:p>
            <w:pPr>
              <w:jc w:val="center"/>
            </w:pPr>
            <w:r>
              <w:rPr>
                <w:sz w:val="18"/>
              </w:rPr>
              <w:t>Most volatile trajectory</w:t>
            </w:r>
          </w:p>
        </w:tc>
        <w:tc>
          <w:tcPr>
            <w:tcW w:type="dxa" w:w="4320"/>
          </w:tcPr>
          <w:p>
            <w:pPr>
              <w:jc w:val="center"/>
            </w:pPr>
            <w:r>
              <w:rPr>
                <w:sz w:val="18"/>
              </w:rPr>
              <w:t>Steady Red Drift (50% high vol)</w:t>
            </w:r>
          </w:p>
        </w:tc>
      </w:tr>
      <w:tr>
        <w:tc>
          <w:tcPr>
            <w:tcW w:type="dxa" w:w="4320"/>
          </w:tcPr>
          <w:p>
            <w:pPr>
              <w:jc w:val="center"/>
            </w:pPr>
            <w:r>
              <w:rPr>
                <w:sz w:val="18"/>
              </w:rPr>
              <w:t>#1 priority county</w:t>
            </w:r>
          </w:p>
        </w:tc>
        <w:tc>
          <w:tcPr>
            <w:tcW w:type="dxa" w:w="4320"/>
          </w:tcPr>
          <w:p>
            <w:pPr>
              <w:jc w:val="center"/>
            </w:pPr>
            <w:r>
              <w:rPr>
                <w:sz w:val="18"/>
              </w:rPr>
              <w:t>Bucks PA (802k, 0.1% margin)</w:t>
            </w:r>
          </w:p>
        </w:tc>
      </w:tr>
      <w:tr>
        <w:tc>
          <w:tcPr>
            <w:tcW w:type="dxa" w:w="4320"/>
          </w:tcPr>
          <w:p>
            <w:pPr>
              <w:jc w:val="center"/>
            </w:pPr>
            <w:r>
              <w:rPr>
                <w:sz w:val="18"/>
              </w:rPr>
              <w:t>SHAP archetypes</w:t>
            </w:r>
          </w:p>
        </w:tc>
        <w:tc>
          <w:tcPr>
            <w:tcW w:type="dxa" w:w="4320"/>
          </w:tcPr>
          <w:p>
            <w:pPr>
              <w:jc w:val="center"/>
            </w:pPr>
            <w:r>
              <w:rPr>
                <w:sz w:val="18"/>
              </w:rPr>
              <w:t>100%/0%/91%/0%/81% high vol</w:t>
            </w:r>
          </w:p>
        </w:tc>
      </w:tr>
      <w:tr>
        <w:tc>
          <w:tcPr>
            <w:tcW w:type="dxa" w:w="4320"/>
          </w:tcPr>
          <w:p>
            <w:pPr>
              <w:jc w:val="center"/>
            </w:pPr>
            <w:r>
              <w:rPr>
                <w:sz w:val="18"/>
              </w:rPr>
              <w:t>Cross-state transfer</w:t>
            </w:r>
          </w:p>
        </w:tc>
        <w:tc>
          <w:tcPr>
            <w:tcW w:type="dxa" w:w="4320"/>
          </w:tcPr>
          <w:p>
            <w:pPr>
              <w:jc w:val="center"/>
            </w:pPr>
            <w:r>
              <w:rPr>
                <w:sz w:val="18"/>
              </w:rPr>
              <w:t>F1 = 0.195 (= random)</w:t>
            </w:r>
          </w:p>
        </w:tc>
      </w:tr>
      <w:tr>
        <w:tc>
          <w:tcPr>
            <w:tcW w:type="dxa" w:w="4320"/>
          </w:tcPr>
          <w:p>
            <w:pPr>
              <w:jc w:val="center"/>
            </w:pPr>
            <w:r>
              <w:rPr>
                <w:sz w:val="18"/>
              </w:rPr>
              <w:t>H1 (income)</w:t>
            </w:r>
          </w:p>
        </w:tc>
        <w:tc>
          <w:tcPr>
            <w:tcW w:type="dxa" w:w="4320"/>
          </w:tcPr>
          <w:p>
            <w:pPr>
              <w:jc w:val="center"/>
            </w:pPr>
            <w:r>
              <w:rPr>
                <w:sz w:val="18"/>
              </w:rPr>
              <w:t>r = −0.602 (confirmed)</w:t>
            </w:r>
          </w:p>
        </w:tc>
      </w:tr>
      <w:tr>
        <w:tc>
          <w:tcPr>
            <w:tcW w:type="dxa" w:w="4320"/>
          </w:tcPr>
          <w:p>
            <w:pPr>
              <w:jc w:val="center"/>
            </w:pPr>
            <w:r>
              <w:rPr>
                <w:sz w:val="18"/>
              </w:rPr>
              <w:t>H2 (entropy &gt; race)</w:t>
            </w:r>
          </w:p>
        </w:tc>
        <w:tc>
          <w:tcPr>
            <w:tcW w:type="dxa" w:w="4320"/>
          </w:tcPr>
          <w:p>
            <w:pPr>
              <w:jc w:val="center"/>
            </w:pPr>
            <w:r>
              <w:rPr>
                <w:sz w:val="18"/>
              </w:rPr>
              <w:t>#1 permutation (confirmed)</w:t>
            </w:r>
          </w:p>
        </w:tc>
      </w:tr>
      <w:tr>
        <w:tc>
          <w:tcPr>
            <w:tcW w:type="dxa" w:w="4320"/>
          </w:tcPr>
          <w:p>
            <w:pPr>
              <w:jc w:val="center"/>
            </w:pPr>
            <w:r>
              <w:rPr>
                <w:sz w:val="18"/>
              </w:rPr>
              <w:t>Misfit-volatility</w:t>
            </w:r>
          </w:p>
        </w:tc>
        <w:tc>
          <w:tcPr>
            <w:tcW w:type="dxa" w:w="4320"/>
          </w:tcPr>
          <w:p>
            <w:pPr>
              <w:jc w:val="center"/>
            </w:pPr>
            <w:r>
              <w:rPr>
                <w:sz w:val="18"/>
              </w:rPr>
              <w:t>ρ = 0.408 (p &lt; 0.001)</w:t>
            </w:r>
          </w:p>
        </w:tc>
      </w:tr>
    </w:tbl>
    <w:p/>
    <w:p>
      <w:r>
        <w:br w:type="page"/>
      </w:r>
    </w:p>
    <w:p>
      <w:pPr>
        <w:pStyle w:val="Heading1"/>
      </w:pPr>
      <w:r>
        <w:t>11. Appendix</w:t>
      </w:r>
    </w:p>
    <w:p>
      <w:pPr>
        <w:pStyle w:val="Heading2"/>
      </w:pPr>
      <w:r>
        <w:t>Notebooks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Notebook</w:t>
            </w:r>
          </w:p>
        </w:tc>
        <w:tc>
          <w:tcPr>
            <w:tcW w:type="dxa" w:w="2880"/>
          </w:tcPr>
          <w:p>
            <w:pPr>
              <w:jc w:val="center"/>
            </w:pPr>
            <w:r>
              <w:rPr>
                <w:b/>
                <w:sz w:val="18"/>
              </w:rPr>
              <w:t>Cells</w:t>
            </w:r>
          </w:p>
        </w:tc>
        <w:tc>
          <w:tcPr>
            <w:tcW w:type="dxa" w:w="2880"/>
          </w:tcPr>
          <w:p>
            <w:pPr>
              <w:jc w:val="center"/>
            </w:pPr>
            <w:r>
              <w:rPr>
                <w:b/>
                <w:sz w:val="18"/>
              </w:rPr>
              <w:t>Description</w:t>
            </w:r>
          </w:p>
        </w:tc>
      </w:tr>
      <w:tr>
        <w:tc>
          <w:tcPr>
            <w:tcW w:type="dxa" w:w="2880"/>
          </w:tcPr>
          <w:p>
            <w:pPr>
              <w:jc w:val="center"/>
            </w:pPr>
            <w:r>
              <w:rPr>
                <w:sz w:val="18"/>
              </w:rPr>
              <w:t>classification_antoni.ipynb</w:t>
            </w:r>
          </w:p>
        </w:tc>
        <w:tc>
          <w:tcPr>
            <w:tcW w:type="dxa" w:w="2880"/>
          </w:tcPr>
          <w:p>
            <w:pPr>
              <w:jc w:val="center"/>
            </w:pPr>
            <w:r>
              <w:rPr>
                <w:sz w:val="18"/>
              </w:rPr>
              <w:t>86</w:t>
            </w:r>
          </w:p>
        </w:tc>
        <w:tc>
          <w:tcPr>
            <w:tcW w:type="dxa" w:w="2880"/>
          </w:tcPr>
          <w:p>
            <w:pPr>
              <w:jc w:val="center"/>
            </w:pPr>
            <w:r>
              <w:rPr>
                <w:sz w:val="18"/>
              </w:rPr>
              <w:t>Core: RF, XGBoost, SVM, Misfit, LOSO, maps</w:t>
            </w:r>
          </w:p>
        </w:tc>
      </w:tr>
      <w:tr>
        <w:tc>
          <w:tcPr>
            <w:tcW w:type="dxa" w:w="2880"/>
          </w:tcPr>
          <w:p>
            <w:pPr>
              <w:jc w:val="center"/>
            </w:pPr>
            <w:r>
              <w:rPr>
                <w:sz w:val="18"/>
              </w:rPr>
              <w:t>classification_antoni_deepdive.ipynb</w:t>
            </w:r>
          </w:p>
        </w:tc>
        <w:tc>
          <w:tcPr>
            <w:tcW w:type="dxa" w:w="2880"/>
          </w:tcPr>
          <w:p>
            <w:pPr>
              <w:jc w:val="center"/>
            </w:pPr>
            <w:r>
              <w:rPr>
                <w:sz w:val="18"/>
              </w:rPr>
              <w:t>48</w:t>
            </w:r>
          </w:p>
        </w:tc>
        <w:tc>
          <w:tcPr>
            <w:tcW w:type="dxa" w:w="2880"/>
          </w:tcPr>
          <w:p>
            <w:pPr>
              <w:jc w:val="center"/>
            </w:pPr>
            <w:r>
              <w:rPr>
                <w:sz w:val="18"/>
              </w:rPr>
              <w:t>Deep-dive I: misfits, state models, SHAP, binary, campaigns</w:t>
            </w:r>
          </w:p>
        </w:tc>
      </w:tr>
      <w:tr>
        <w:tc>
          <w:tcPr>
            <w:tcW w:type="dxa" w:w="2880"/>
          </w:tcPr>
          <w:p>
            <w:pPr>
              <w:jc w:val="center"/>
            </w:pPr>
            <w:r>
              <w:rPr>
                <w:sz w:val="18"/>
              </w:rPr>
              <w:t>classification_antoni_deepdive_2.ipynb</w:t>
            </w:r>
          </w:p>
        </w:tc>
        <w:tc>
          <w:tcPr>
            <w:tcW w:type="dxa" w:w="2880"/>
          </w:tcPr>
          <w:p>
            <w:pPr>
              <w:jc w:val="center"/>
            </w:pPr>
            <w:r>
              <w:rPr>
                <w:sz w:val="18"/>
              </w:rPr>
              <w:t>30</w:t>
            </w:r>
          </w:p>
        </w:tc>
        <w:tc>
          <w:tcPr>
            <w:tcW w:type="dxa" w:w="2880"/>
          </w:tcPr>
          <w:p>
            <w:pPr>
              <w:jc w:val="center"/>
            </w:pPr>
            <w:r>
              <w:rPr>
                <w:sz w:val="18"/>
              </w:rPr>
              <w:t>Deep-dive II: temporal, PDPs, bootstrap, archetypes</w:t>
            </w:r>
          </w:p>
        </w:tc>
      </w:tr>
      <w:tr>
        <w:tc>
          <w:tcPr>
            <w:tcW w:type="dxa" w:w="2880"/>
          </w:tcPr>
          <w:p>
            <w:pPr>
              <w:jc w:val="center"/>
            </w:pPr>
            <w:r>
              <w:rPr>
                <w:sz w:val="18"/>
              </w:rPr>
              <w:t>classification_antoni_deepdive_3.ipynb</w:t>
            </w:r>
          </w:p>
        </w:tc>
        <w:tc>
          <w:tcPr>
            <w:tcW w:type="dxa" w:w="2880"/>
          </w:tcPr>
          <w:p>
            <w:pPr>
              <w:jc w:val="center"/>
            </w:pPr>
            <w:r>
              <w:rPr>
                <w:sz w:val="18"/>
              </w:rPr>
              <w:t>5</w:t>
            </w:r>
          </w:p>
        </w:tc>
        <w:tc>
          <w:tcPr>
            <w:tcW w:type="dxa" w:w="2880"/>
          </w:tcPr>
          <w:p>
            <w:pPr>
              <w:jc w:val="center"/>
            </w:pPr>
            <w:r>
              <w:rPr>
                <w:sz w:val="18"/>
              </w:rPr>
              <w:t>Grand synthesis figure</w:t>
            </w:r>
          </w:p>
        </w:tc>
      </w:tr>
    </w:tbl>
    <w:p/>
    <w:p>
      <w:pPr>
        <w:pStyle w:val="Heading2"/>
      </w:pPr>
      <w:r>
        <w:t>Data Files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File</w:t>
            </w:r>
          </w:p>
        </w:tc>
        <w:tc>
          <w:tcPr>
            <w:tcW w:type="dxa" w:w="4320"/>
          </w:tcPr>
          <w:p>
            <w:pPr>
              <w:jc w:val="center"/>
            </w:pPr>
            <w:r>
              <w:rPr>
                <w:b/>
                <w:sz w:val="18"/>
              </w:rPr>
              <w:t>Description</w:t>
            </w:r>
          </w:p>
        </w:tc>
      </w:tr>
      <w:tr>
        <w:tc>
          <w:tcPr>
            <w:tcW w:type="dxa" w:w="4320"/>
          </w:tcPr>
          <w:p>
            <w:pPr>
              <w:jc w:val="center"/>
            </w:pPr>
            <w:r>
              <w:rPr>
                <w:sz w:val="18"/>
              </w:rPr>
              <w:t>classification_dataset_250.csv</w:t>
            </w:r>
          </w:p>
        </w:tc>
        <w:tc>
          <w:tcPr>
            <w:tcW w:type="dxa" w:w="4320"/>
          </w:tcPr>
          <w:p>
            <w:pPr>
              <w:jc w:val="center"/>
            </w:pPr>
            <w:r>
              <w:rPr>
                <w:sz w:val="18"/>
              </w:rPr>
              <w:t>250 counties, 28 scaled features + targets</w:t>
            </w:r>
          </w:p>
        </w:tc>
      </w:tr>
      <w:tr>
        <w:tc>
          <w:tcPr>
            <w:tcW w:type="dxa" w:w="4320"/>
          </w:tcPr>
          <w:p>
            <w:pPr>
              <w:jc w:val="center"/>
            </w:pPr>
            <w:r>
              <w:rPr>
                <w:sz w:val="18"/>
              </w:rPr>
              <w:t>classification_predictions.csv</w:t>
            </w:r>
          </w:p>
        </w:tc>
        <w:tc>
          <w:tcPr>
            <w:tcW w:type="dxa" w:w="4320"/>
          </w:tcPr>
          <w:p>
            <w:pPr>
              <w:jc w:val="center"/>
            </w:pPr>
            <w:r>
              <w:rPr>
                <w:sz w:val="18"/>
              </w:rPr>
              <w:t>All model predictions + misfit scores</w:t>
            </w:r>
          </w:p>
        </w:tc>
      </w:tr>
      <w:tr>
        <w:tc>
          <w:tcPr>
            <w:tcW w:type="dxa" w:w="4320"/>
          </w:tcPr>
          <w:p>
            <w:pPr>
              <w:jc w:val="center"/>
            </w:pPr>
            <w:r>
              <w:rPr>
                <w:sz w:val="18"/>
              </w:rPr>
              <w:t>rf_predictions.csv</w:t>
            </w:r>
          </w:p>
        </w:tc>
        <w:tc>
          <w:tcPr>
            <w:tcW w:type="dxa" w:w="4320"/>
          </w:tcPr>
          <w:p>
            <w:pPr>
              <w:jc w:val="center"/>
            </w:pPr>
            <w:r>
              <w:rPr>
                <w:sz w:val="18"/>
              </w:rPr>
              <w:t>RF predictions for clustering comparison</w:t>
            </w:r>
          </w:p>
        </w:tc>
      </w:tr>
      <w:tr>
        <w:tc>
          <w:tcPr>
            <w:tcW w:type="dxa" w:w="4320"/>
          </w:tcPr>
          <w:p>
            <w:pPr>
              <w:jc w:val="center"/>
            </w:pPr>
            <w:r>
              <w:rPr>
                <w:sz w:val="18"/>
              </w:rPr>
              <w:t>campaign_priority_rankings.csv</w:t>
            </w:r>
          </w:p>
        </w:tc>
        <w:tc>
          <w:tcPr>
            <w:tcW w:type="dxa" w:w="4320"/>
          </w:tcPr>
          <w:p>
            <w:pPr>
              <w:jc w:val="center"/>
            </w:pPr>
            <w:r>
              <w:rPr>
                <w:sz w:val="18"/>
              </w:rPr>
              <w:t>250 counties with priority scores</w:t>
            </w:r>
          </w:p>
        </w:tc>
      </w:tr>
    </w:tbl>
    <w:p/>
    <w:p>
      <w:pPr>
        <w:pStyle w:val="Heading2"/>
      </w:pPr>
      <w:r>
        <w:t>Figures (24)</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w:t>
            </w:r>
          </w:p>
        </w:tc>
        <w:tc>
          <w:tcPr>
            <w:tcW w:type="dxa" w:w="4320"/>
          </w:tcPr>
          <w:p>
            <w:pPr>
              <w:jc w:val="center"/>
            </w:pPr>
            <w:r>
              <w:rPr>
                <w:b/>
                <w:sz w:val="18"/>
              </w:rPr>
              <w:t>Description</w:t>
            </w:r>
          </w:p>
        </w:tc>
      </w:tr>
      <w:tr>
        <w:tc>
          <w:tcPr>
            <w:tcW w:type="dxa" w:w="4320"/>
          </w:tcPr>
          <w:p>
            <w:pPr>
              <w:jc w:val="center"/>
            </w:pPr>
            <w:r>
              <w:rPr>
                <w:sz w:val="18"/>
              </w:rPr>
              <w:t>1</w:t>
            </w:r>
          </w:p>
        </w:tc>
        <w:tc>
          <w:tcPr>
            <w:tcW w:type="dxa" w:w="4320"/>
          </w:tcPr>
          <w:p>
            <w:pPr>
              <w:jc w:val="center"/>
            </w:pPr>
            <w:r>
              <w:rPr>
                <w:sz w:val="18"/>
              </w:rPr>
              <w:t>RF confusion matrix (5-class)</w:t>
            </w:r>
          </w:p>
        </w:tc>
      </w:tr>
      <w:tr>
        <w:tc>
          <w:tcPr>
            <w:tcW w:type="dxa" w:w="4320"/>
          </w:tcPr>
          <w:p>
            <w:pPr>
              <w:jc w:val="center"/>
            </w:pPr>
            <w:r>
              <w:rPr>
                <w:sz w:val="18"/>
              </w:rPr>
              <w:t>2</w:t>
            </w:r>
          </w:p>
        </w:tc>
        <w:tc>
          <w:tcPr>
            <w:tcW w:type="dxa" w:w="4320"/>
          </w:tcPr>
          <w:p>
            <w:pPr>
              <w:jc w:val="center"/>
            </w:pPr>
            <w:r>
              <w:rPr>
                <w:sz w:val="18"/>
              </w:rPr>
              <w:t>RF permutation importance</w:t>
            </w:r>
          </w:p>
        </w:tc>
      </w:tr>
      <w:tr>
        <w:tc>
          <w:tcPr>
            <w:tcW w:type="dxa" w:w="4320"/>
          </w:tcPr>
          <w:p>
            <w:pPr>
              <w:jc w:val="center"/>
            </w:pPr>
            <w:r>
              <w:rPr>
                <w:sz w:val="18"/>
              </w:rPr>
              <w:t>3</w:t>
            </w:r>
          </w:p>
        </w:tc>
        <w:tc>
          <w:tcPr>
            <w:tcW w:type="dxa" w:w="4320"/>
          </w:tcPr>
          <w:p>
            <w:pPr>
              <w:jc w:val="center"/>
            </w:pPr>
            <w:r>
              <w:rPr>
                <w:sz w:val="18"/>
              </w:rPr>
              <w:t>XGBoost confusion matrix</w:t>
            </w:r>
          </w:p>
        </w:tc>
      </w:tr>
      <w:tr>
        <w:tc>
          <w:tcPr>
            <w:tcW w:type="dxa" w:w="4320"/>
          </w:tcPr>
          <w:p>
            <w:pPr>
              <w:jc w:val="center"/>
            </w:pPr>
            <w:r>
              <w:rPr>
                <w:sz w:val="18"/>
              </w:rPr>
              <w:t>4</w:t>
            </w:r>
          </w:p>
        </w:tc>
        <w:tc>
          <w:tcPr>
            <w:tcW w:type="dxa" w:w="4320"/>
          </w:tcPr>
          <w:p>
            <w:pPr>
              <w:jc w:val="center"/>
            </w:pPr>
            <w:r>
              <w:rPr>
                <w:sz w:val="18"/>
              </w:rPr>
              <w:t>SHAP summary</w:t>
            </w:r>
          </w:p>
        </w:tc>
      </w:tr>
      <w:tr>
        <w:tc>
          <w:tcPr>
            <w:tcW w:type="dxa" w:w="4320"/>
          </w:tcPr>
          <w:p>
            <w:pPr>
              <w:jc w:val="center"/>
            </w:pPr>
            <w:r>
              <w:rPr>
                <w:sz w:val="18"/>
              </w:rPr>
              <w:t>5</w:t>
            </w:r>
          </w:p>
        </w:tc>
        <w:tc>
          <w:tcPr>
            <w:tcW w:type="dxa" w:w="4320"/>
          </w:tcPr>
          <w:p>
            <w:pPr>
              <w:jc w:val="center"/>
            </w:pPr>
            <w:r>
              <w:rPr>
                <w:sz w:val="18"/>
              </w:rPr>
              <w:t>SHAP dependence (top 5)</w:t>
            </w:r>
          </w:p>
        </w:tc>
      </w:tr>
      <w:tr>
        <w:tc>
          <w:tcPr>
            <w:tcW w:type="dxa" w:w="4320"/>
          </w:tcPr>
          <w:p>
            <w:pPr>
              <w:jc w:val="center"/>
            </w:pPr>
            <w:r>
              <w:rPr>
                <w:sz w:val="18"/>
              </w:rPr>
              <w:t>6</w:t>
            </w:r>
          </w:p>
        </w:tc>
        <w:tc>
          <w:tcPr>
            <w:tcW w:type="dxa" w:w="4320"/>
          </w:tcPr>
          <w:p>
            <w:pPr>
              <w:jc w:val="center"/>
            </w:pPr>
            <w:r>
              <w:rPr>
                <w:sz w:val="18"/>
              </w:rPr>
              <w:t>Misfit scatter</w:t>
            </w:r>
          </w:p>
        </w:tc>
      </w:tr>
      <w:tr>
        <w:tc>
          <w:tcPr>
            <w:tcW w:type="dxa" w:w="4320"/>
          </w:tcPr>
          <w:p>
            <w:pPr>
              <w:jc w:val="center"/>
            </w:pPr>
            <w:r>
              <w:rPr>
                <w:sz w:val="18"/>
              </w:rPr>
              <w:t>7</w:t>
            </w:r>
          </w:p>
        </w:tc>
        <w:tc>
          <w:tcPr>
            <w:tcW w:type="dxa" w:w="4320"/>
          </w:tcPr>
          <w:p>
            <w:pPr>
              <w:jc w:val="center"/>
            </w:pPr>
            <w:r>
              <w:rPr>
                <w:sz w:val="18"/>
              </w:rPr>
              <w:t>Misfit by volatility class</w:t>
            </w:r>
          </w:p>
        </w:tc>
      </w:tr>
      <w:tr>
        <w:tc>
          <w:tcPr>
            <w:tcW w:type="dxa" w:w="4320"/>
          </w:tcPr>
          <w:p>
            <w:pPr>
              <w:jc w:val="center"/>
            </w:pPr>
            <w:r>
              <w:rPr>
                <w:sz w:val="18"/>
              </w:rPr>
              <w:t>8</w:t>
            </w:r>
          </w:p>
        </w:tc>
        <w:tc>
          <w:tcPr>
            <w:tcW w:type="dxa" w:w="4320"/>
          </w:tcPr>
          <w:p>
            <w:pPr>
              <w:jc w:val="center"/>
            </w:pPr>
            <w:r>
              <w:rPr>
                <w:sz w:val="18"/>
              </w:rPr>
              <w:t>Binary ROC curves</w:t>
            </w:r>
          </w:p>
        </w:tc>
      </w:tr>
      <w:tr>
        <w:tc>
          <w:tcPr>
            <w:tcW w:type="dxa" w:w="4320"/>
          </w:tcPr>
          <w:p>
            <w:pPr>
              <w:jc w:val="center"/>
            </w:pPr>
            <w:r>
              <w:rPr>
                <w:sz w:val="18"/>
              </w:rPr>
              <w:t>9</w:t>
            </w:r>
          </w:p>
        </w:tc>
        <w:tc>
          <w:tcPr>
            <w:tcW w:type="dxa" w:w="4320"/>
          </w:tcPr>
          <w:p>
            <w:pPr>
              <w:jc w:val="center"/>
            </w:pPr>
            <w:r>
              <w:rPr>
                <w:sz w:val="18"/>
              </w:rPr>
              <w:t>Feature ablation + permutation CIs</w:t>
            </w:r>
          </w:p>
        </w:tc>
      </w:tr>
      <w:tr>
        <w:tc>
          <w:tcPr>
            <w:tcW w:type="dxa" w:w="4320"/>
          </w:tcPr>
          <w:p>
            <w:pPr>
              <w:jc w:val="center"/>
            </w:pPr>
            <w:r>
              <w:rPr>
                <w:sz w:val="18"/>
              </w:rPr>
              <w:t>10</w:t>
            </w:r>
          </w:p>
        </w:tc>
        <w:tc>
          <w:tcPr>
            <w:tcW w:type="dxa" w:w="4320"/>
          </w:tcPr>
          <w:p>
            <w:pPr>
              <w:jc w:val="center"/>
            </w:pPr>
            <w:r>
              <w:rPr>
                <w:sz w:val="18"/>
              </w:rPr>
              <w:t>Per-class F1 heatmap</w:t>
            </w:r>
          </w:p>
        </w:tc>
      </w:tr>
      <w:tr>
        <w:tc>
          <w:tcPr>
            <w:tcW w:type="dxa" w:w="4320"/>
          </w:tcPr>
          <w:p>
            <w:pPr>
              <w:jc w:val="center"/>
            </w:pPr>
            <w:r>
              <w:rPr>
                <w:sz w:val="18"/>
              </w:rPr>
              <w:t>11</w:t>
            </w:r>
          </w:p>
        </w:tc>
        <w:tc>
          <w:tcPr>
            <w:tcW w:type="dxa" w:w="4320"/>
          </w:tcPr>
          <w:p>
            <w:pPr>
              <w:jc w:val="center"/>
            </w:pPr>
            <w:r>
              <w:rPr>
                <w:sz w:val="18"/>
              </w:rPr>
              <w:t>Per-state feature importance</w:t>
            </w:r>
          </w:p>
        </w:tc>
      </w:tr>
      <w:tr>
        <w:tc>
          <w:tcPr>
            <w:tcW w:type="dxa" w:w="4320"/>
          </w:tcPr>
          <w:p>
            <w:pPr>
              <w:jc w:val="center"/>
            </w:pPr>
            <w:r>
              <w:rPr>
                <w:sz w:val="18"/>
              </w:rPr>
              <w:t>12</w:t>
            </w:r>
          </w:p>
        </w:tc>
        <w:tc>
          <w:tcPr>
            <w:tcW w:type="dxa" w:w="4320"/>
          </w:tcPr>
          <w:p>
            <w:pPr>
              <w:jc w:val="center"/>
            </w:pPr>
            <w:r>
              <w:rPr>
                <w:sz w:val="18"/>
              </w:rPr>
              <w:t>LOSO confusion matrices</w:t>
            </w:r>
          </w:p>
        </w:tc>
      </w:tr>
      <w:tr>
        <w:tc>
          <w:tcPr>
            <w:tcW w:type="dxa" w:w="4320"/>
          </w:tcPr>
          <w:p>
            <w:pPr>
              <w:jc w:val="center"/>
            </w:pPr>
            <w:r>
              <w:rPr>
                <w:sz w:val="18"/>
              </w:rPr>
              <w:t>13</w:t>
            </w:r>
          </w:p>
        </w:tc>
        <w:tc>
          <w:tcPr>
            <w:tcW w:type="dxa" w:w="4320"/>
          </w:tcPr>
          <w:p>
            <w:pPr>
              <w:jc w:val="center"/>
            </w:pPr>
            <w:r>
              <w:rPr>
                <w:sz w:val="18"/>
              </w:rPr>
              <w:t>Temporal demographic shifts</w:t>
            </w:r>
          </w:p>
        </w:tc>
      </w:tr>
      <w:tr>
        <w:tc>
          <w:tcPr>
            <w:tcW w:type="dxa" w:w="4320"/>
          </w:tcPr>
          <w:p>
            <w:pPr>
              <w:jc w:val="center"/>
            </w:pPr>
            <w:r>
              <w:rPr>
                <w:sz w:val="18"/>
              </w:rPr>
              <w:t>14</w:t>
            </w:r>
          </w:p>
        </w:tc>
        <w:tc>
          <w:tcPr>
            <w:tcW w:type="dxa" w:w="4320"/>
          </w:tcPr>
          <w:p>
            <w:pPr>
              <w:jc w:val="center"/>
            </w:pPr>
            <w:r>
              <w:rPr>
                <w:sz w:val="18"/>
              </w:rPr>
              <w:t>Margin trajectories</w:t>
            </w:r>
          </w:p>
        </w:tc>
      </w:tr>
      <w:tr>
        <w:tc>
          <w:tcPr>
            <w:tcW w:type="dxa" w:w="4320"/>
          </w:tcPr>
          <w:p>
            <w:pPr>
              <w:jc w:val="center"/>
            </w:pPr>
            <w:r>
              <w:rPr>
                <w:sz w:val="18"/>
              </w:rPr>
              <w:t>15</w:t>
            </w:r>
          </w:p>
        </w:tc>
        <w:tc>
          <w:tcPr>
            <w:tcW w:type="dxa" w:w="4320"/>
          </w:tcPr>
          <w:p>
            <w:pPr>
              <w:jc w:val="center"/>
            </w:pPr>
            <w:r>
              <w:rPr>
                <w:sz w:val="18"/>
              </w:rPr>
              <w:t>Diversity threshold</w:t>
            </w:r>
          </w:p>
        </w:tc>
      </w:tr>
      <w:tr>
        <w:tc>
          <w:tcPr>
            <w:tcW w:type="dxa" w:w="4320"/>
          </w:tcPr>
          <w:p>
            <w:pPr>
              <w:jc w:val="center"/>
            </w:pPr>
            <w:r>
              <w:rPr>
                <w:sz w:val="18"/>
              </w:rPr>
              <w:t>16</w:t>
            </w:r>
          </w:p>
        </w:tc>
        <w:tc>
          <w:tcPr>
            <w:tcW w:type="dxa" w:w="4320"/>
          </w:tcPr>
          <w:p>
            <w:pPr>
              <w:jc w:val="center"/>
            </w:pPr>
            <w:r>
              <w:rPr>
                <w:sz w:val="18"/>
              </w:rPr>
              <w:t>Partial dependence plots</w:t>
            </w:r>
          </w:p>
        </w:tc>
      </w:tr>
      <w:tr>
        <w:tc>
          <w:tcPr>
            <w:tcW w:type="dxa" w:w="4320"/>
          </w:tcPr>
          <w:p>
            <w:pPr>
              <w:jc w:val="center"/>
            </w:pPr>
            <w:r>
              <w:rPr>
                <w:sz w:val="18"/>
              </w:rPr>
              <w:t>17</w:t>
            </w:r>
          </w:p>
        </w:tc>
        <w:tc>
          <w:tcPr>
            <w:tcW w:type="dxa" w:w="4320"/>
          </w:tcPr>
          <w:p>
            <w:pPr>
              <w:jc w:val="center"/>
            </w:pPr>
            <w:r>
              <w:rPr>
                <w:sz w:val="18"/>
              </w:rPr>
              <w:t>Diversity × Poverty</w:t>
            </w:r>
          </w:p>
        </w:tc>
      </w:tr>
      <w:tr>
        <w:tc>
          <w:tcPr>
            <w:tcW w:type="dxa" w:w="4320"/>
          </w:tcPr>
          <w:p>
            <w:pPr>
              <w:jc w:val="center"/>
            </w:pPr>
            <w:r>
              <w:rPr>
                <w:sz w:val="18"/>
              </w:rPr>
              <w:t>18</w:t>
            </w:r>
          </w:p>
        </w:tc>
        <w:tc>
          <w:tcPr>
            <w:tcW w:type="dxa" w:w="4320"/>
          </w:tcPr>
          <w:p>
            <w:pPr>
              <w:jc w:val="center"/>
            </w:pPr>
            <w:r>
              <w:rPr>
                <w:sz w:val="18"/>
              </w:rPr>
              <w:t>Education × Urbanization</w:t>
            </w:r>
          </w:p>
        </w:tc>
      </w:tr>
      <w:tr>
        <w:tc>
          <w:tcPr>
            <w:tcW w:type="dxa" w:w="4320"/>
          </w:tcPr>
          <w:p>
            <w:pPr>
              <w:jc w:val="center"/>
            </w:pPr>
            <w:r>
              <w:rPr>
                <w:sz w:val="18"/>
              </w:rPr>
              <w:t>19</w:t>
            </w:r>
          </w:p>
        </w:tc>
        <w:tc>
          <w:tcPr>
            <w:tcW w:type="dxa" w:w="4320"/>
          </w:tcPr>
          <w:p>
            <w:pPr>
              <w:jc w:val="center"/>
            </w:pPr>
            <w:r>
              <w:rPr>
                <w:sz w:val="18"/>
              </w:rPr>
              <w:t>SHAP case studies</w:t>
            </w:r>
          </w:p>
        </w:tc>
      </w:tr>
      <w:tr>
        <w:tc>
          <w:tcPr>
            <w:tcW w:type="dxa" w:w="4320"/>
          </w:tcPr>
          <w:p>
            <w:pPr>
              <w:jc w:val="center"/>
            </w:pPr>
            <w:r>
              <w:rPr>
                <w:sz w:val="18"/>
              </w:rPr>
              <w:t>20</w:t>
            </w:r>
          </w:p>
        </w:tc>
        <w:tc>
          <w:tcPr>
            <w:tcW w:type="dxa" w:w="4320"/>
          </w:tcPr>
          <w:p>
            <w:pPr>
              <w:jc w:val="center"/>
            </w:pPr>
            <w:r>
              <w:rPr>
                <w:sz w:val="18"/>
              </w:rPr>
              <w:t>SHAP archetypes</w:t>
            </w:r>
          </w:p>
        </w:tc>
      </w:tr>
      <w:tr>
        <w:tc>
          <w:tcPr>
            <w:tcW w:type="dxa" w:w="4320"/>
          </w:tcPr>
          <w:p>
            <w:pPr>
              <w:jc w:val="center"/>
            </w:pPr>
            <w:r>
              <w:rPr>
                <w:sz w:val="18"/>
              </w:rPr>
              <w:t>21</w:t>
            </w:r>
          </w:p>
        </w:tc>
        <w:tc>
          <w:tcPr>
            <w:tcW w:type="dxa" w:w="4320"/>
          </w:tcPr>
          <w:p>
            <w:pPr>
              <w:jc w:val="center"/>
            </w:pPr>
            <w:r>
              <w:rPr>
                <w:sz w:val="18"/>
              </w:rPr>
              <w:t>Campaign priority scatter</w:t>
            </w:r>
          </w:p>
        </w:tc>
      </w:tr>
      <w:tr>
        <w:tc>
          <w:tcPr>
            <w:tcW w:type="dxa" w:w="4320"/>
          </w:tcPr>
          <w:p>
            <w:pPr>
              <w:jc w:val="center"/>
            </w:pPr>
            <w:r>
              <w:rPr>
                <w:sz w:val="18"/>
              </w:rPr>
              <w:t>22</w:t>
            </w:r>
          </w:p>
        </w:tc>
        <w:tc>
          <w:tcPr>
            <w:tcW w:type="dxa" w:w="4320"/>
          </w:tcPr>
          <w:p>
            <w:pPr>
              <w:jc w:val="center"/>
            </w:pPr>
            <w:r>
              <w:rPr>
                <w:sz w:val="18"/>
              </w:rPr>
              <w:t>Grand synthesis (6-panel)</w:t>
            </w:r>
          </w:p>
        </w:tc>
      </w:tr>
      <w:tr>
        <w:tc>
          <w:tcPr>
            <w:tcW w:type="dxa" w:w="4320"/>
          </w:tcPr>
          <w:p>
            <w:pPr>
              <w:jc w:val="center"/>
            </w:pPr>
            <w:r>
              <w:rPr>
                <w:sz w:val="18"/>
              </w:rPr>
              <w:t>23</w:t>
            </w:r>
          </w:p>
        </w:tc>
        <w:tc>
          <w:tcPr>
            <w:tcW w:type="dxa" w:w="4320"/>
          </w:tcPr>
          <w:p>
            <w:pPr>
              <w:jc w:val="center"/>
            </w:pPr>
            <w:r>
              <w:rPr>
                <w:sz w:val="18"/>
              </w:rPr>
              <w:t>Choropleth: volatility</w:t>
            </w:r>
          </w:p>
        </w:tc>
      </w:tr>
      <w:tr>
        <w:tc>
          <w:tcPr>
            <w:tcW w:type="dxa" w:w="4320"/>
          </w:tcPr>
          <w:p>
            <w:pPr>
              <w:jc w:val="center"/>
            </w:pPr>
            <w:r>
              <w:rPr>
                <w:sz w:val="18"/>
              </w:rPr>
              <w:t>24</w:t>
            </w:r>
          </w:p>
        </w:tc>
        <w:tc>
          <w:tcPr>
            <w:tcW w:type="dxa" w:w="4320"/>
          </w:tcPr>
          <w:p>
            <w:pPr>
              <w:jc w:val="center"/>
            </w:pPr>
            <w:r>
              <w:rPr>
                <w:sz w:val="18"/>
              </w:rPr>
              <w:t>Choropleth: misfit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