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body>
    <w:p>
      <w:pPr>
        <w:pStyle w:val="ListParagraph"/>
        <w:numPr>
          <w:ilvl w:val="0"/>
          <w:numId w:val="3"/>
        </w:numPr>
        <w:rPr>
          <w:rFonts w:cstheme="minorHAnsi"/>
          <w:sz w:val="20"/>
          <w:szCs w:val="20"/>
        </w:rPr>
      </w:pPr>
      <w:r>
        <w:rPr>
          <w:rFonts w:cstheme="minorHAnsi"/>
          <w:sz w:val="20"/>
          <w:szCs w:val="20"/>
        </w:rPr>
        <w:t xml:space="preserve">A. </w:t>
      </w:r>
    </w:p>
    <w:tbl>
      <w:tblPr>
        <w:tblStyle w:val="TableGrid"/>
        <w:tblW w:w="9902" w:type="dxa"/>
        <w:tblLook w:val="04A0"/>
      </w:tblPr>
      <w:tblGrid>
        <w:gridCol w:w="2530"/>
        <w:gridCol w:w="2531"/>
        <w:gridCol w:w="4841"/>
      </w:tblGrid>
      <w:tr>
        <w:trPr/>
        <w:tc>
          <w:tcPr>
            <w:cnfStyle w:val="101000000000"/>
            <w:tcW w:w="2530" w:type="dxa"/>
          </w:tcPr>
          <w:p>
            <w:pPr>
              <w:rPr>
                <w:rFonts w:cstheme="minorHAnsi"/>
                <w:sz w:val="20"/>
                <w:szCs w:val="20"/>
              </w:rPr>
            </w:pPr>
            <w:r>
              <w:rPr>
                <w:rFonts w:cstheme="minorHAnsi"/>
                <w:sz w:val="20"/>
                <w:szCs w:val="20"/>
              </w:rPr>
              <w:t>Denumire</w:t>
            </w:r>
            <w:r>
              <w:rPr>
                <w:rFonts w:cstheme="minorHAnsi"/>
                <w:sz w:val="20"/>
                <w:szCs w:val="20"/>
              </w:rPr>
              <w:t xml:space="preserve"> </w:t>
            </w:r>
            <w:r>
              <w:rPr>
                <w:rFonts w:cstheme="minorHAnsi"/>
                <w:sz w:val="20"/>
                <w:szCs w:val="20"/>
              </w:rPr>
              <w:t>completă</w:t>
            </w:r>
            <w:r>
              <w:rPr>
                <w:rFonts w:cstheme="minorHAnsi"/>
                <w:sz w:val="20"/>
                <w:szCs w:val="20"/>
              </w:rPr>
              <w:t xml:space="preserve"> </w:t>
            </w:r>
            <w:r>
              <w:rPr>
                <w:rFonts w:cstheme="minorHAnsi"/>
                <w:sz w:val="20"/>
                <w:szCs w:val="20"/>
              </w:rPr>
              <w:t>echipament</w:t>
            </w:r>
          </w:p>
        </w:tc>
        <w:tc>
          <w:tcPr>
            <w:cnfStyle w:val="100000000000"/>
            <w:tcW w:w="2531" w:type="dxa"/>
          </w:tcPr>
          <w:p>
            <w:pPr>
              <w:rPr>
                <w:rFonts w:cstheme="minorHAnsi"/>
                <w:sz w:val="20"/>
                <w:szCs w:val="20"/>
              </w:rPr>
            </w:pPr>
            <w:r>
              <w:rPr>
                <w:rFonts w:cstheme="minorHAnsi"/>
                <w:sz w:val="20"/>
                <w:szCs w:val="20"/>
              </w:rPr>
              <w:t xml:space="preserve">Cod de </w:t>
            </w:r>
            <w:r>
              <w:rPr>
                <w:rFonts w:cstheme="minorHAnsi"/>
                <w:sz w:val="20"/>
                <w:szCs w:val="20"/>
              </w:rPr>
              <w:t>identificare</w:t>
            </w:r>
            <w:r>
              <w:rPr>
                <w:rFonts w:cstheme="minorHAnsi"/>
                <w:sz w:val="20"/>
                <w:szCs w:val="20"/>
              </w:rPr>
              <w:t xml:space="preserve"> (part number)</w:t>
            </w:r>
          </w:p>
        </w:tc>
        <w:tc>
          <w:tcPr>
            <w:cnfStyle w:val="100000000000"/>
            <w:tcW w:w="4841" w:type="dxa"/>
          </w:tcPr>
          <w:p>
            <w:pPr>
              <w:rPr>
                <w:rFonts w:cstheme="minorHAnsi"/>
                <w:sz w:val="20"/>
                <w:szCs w:val="20"/>
              </w:rPr>
            </w:pPr>
            <w:r>
              <w:rPr>
                <w:rFonts w:cstheme="minorHAnsi"/>
                <w:sz w:val="20"/>
                <w:szCs w:val="20"/>
              </w:rPr>
              <w:t xml:space="preserve">10 </w:t>
            </w:r>
            <w:r>
              <w:rPr>
                <w:rFonts w:cstheme="minorHAnsi"/>
                <w:sz w:val="20"/>
                <w:szCs w:val="20"/>
              </w:rPr>
              <w:t>specificaţii</w:t>
            </w:r>
            <w:r>
              <w:rPr>
                <w:rFonts w:cstheme="minorHAnsi"/>
                <w:sz w:val="20"/>
                <w:szCs w:val="20"/>
              </w:rPr>
              <w:t xml:space="preserve"> </w:t>
            </w:r>
            <w:r>
              <w:rPr>
                <w:rFonts w:cstheme="minorHAnsi"/>
                <w:sz w:val="20"/>
                <w:szCs w:val="20"/>
              </w:rPr>
              <w:t>relevante</w:t>
            </w:r>
            <w:r>
              <w:rPr>
                <w:rFonts w:cstheme="minorHAnsi"/>
                <w:sz w:val="20"/>
                <w:szCs w:val="20"/>
              </w:rPr>
              <w:t xml:space="preserve"> din </w:t>
            </w:r>
            <w:r>
              <w:rPr>
                <w:rFonts w:cstheme="minorHAnsi"/>
                <w:sz w:val="20"/>
                <w:szCs w:val="20"/>
              </w:rPr>
              <w:t>fişa</w:t>
            </w:r>
            <w:r>
              <w:rPr>
                <w:rFonts w:cstheme="minorHAnsi"/>
                <w:sz w:val="20"/>
                <w:szCs w:val="20"/>
              </w:rPr>
              <w:t xml:space="preserve"> de </w:t>
            </w:r>
            <w:r>
              <w:rPr>
                <w:rFonts w:cstheme="minorHAnsi"/>
                <w:sz w:val="20"/>
                <w:szCs w:val="20"/>
              </w:rPr>
              <w:t>catalog</w:t>
            </w:r>
          </w:p>
        </w:tc>
      </w:tr>
      <w:tr>
        <w:trPr/>
        <w:tc>
          <w:tcPr>
            <w:cnfStyle w:val="001000100000"/>
            <w:tcW w:w="2530" w:type="dxa"/>
            <w:vMerge w:val="restart"/>
          </w:tcPr>
          <w:p>
            <w:pPr>
              <w:rPr>
                <w:rFonts w:asciiTheme="minorAscii" w:cstheme="minorAscii" w:eastAsiaTheme="minorAscii" w:hAnsiTheme="minorAscii"/>
                <w:i/>
                <w:iCs/>
                <w:sz w:val="20"/>
                <w:szCs w:val="20"/>
              </w:rPr>
            </w:pPr>
            <w:r>
              <w:rPr>
                <w:rFonts w:asciiTheme="minorAscii" w:cstheme="minorAscii" w:eastAsiaTheme="minorAscii" w:hAnsiTheme="minorAscii"/>
                <w:i/>
                <w:iCs/>
                <w:sz w:val="20"/>
                <w:szCs w:val="20"/>
              </w:rPr>
              <w:t>Echipament</w:t>
            </w:r>
            <w:r>
              <w:rPr>
                <w:rFonts w:asciiTheme="minorAscii" w:cstheme="minorAscii" w:eastAsiaTheme="minorAscii" w:hAnsiTheme="minorAscii"/>
                <w:i/>
                <w:iCs/>
                <w:sz w:val="20"/>
                <w:szCs w:val="20"/>
              </w:rPr>
              <w:t xml:space="preserve">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0" w:line="240" w:lineRule="auto"/>
              <w:ind w:left="0" w:right="0" w:firstLine="0"/>
              <w:jc w:val="left"/>
              <w:rPr>
                <w:rFonts w:asciiTheme="minorAscii" w:cstheme="minorAscii" w:eastAsiaTheme="minorAscii" w:hAnsiTheme="minorAscii"/>
                <w:b w:val="off"/>
                <w:bCs w:val="off"/>
                <w:color w:val="000000"/>
                <w:sz w:val="26"/>
                <w:lang w:val="en-US"/>
              </w:rPr>
            </w:pPr>
            <w:r>
              <w:rPr>
                <w:rFonts w:asciiTheme="minorAscii" w:cstheme="minorAscii" w:eastAsiaTheme="minorAscii" w:hAnsiTheme="minorAscii"/>
                <w:b w:val="off"/>
                <w:bCs w:val="off"/>
                <w:color w:val="000000"/>
                <w:sz w:val="26"/>
                <w:rtl w:val="off"/>
                <w:lang w:val="en-US"/>
              </w:rPr>
              <w:t>Procesor Intel Coffee Lake, Core i5 9600K 3.7GHz box</w:t>
            </w:r>
          </w:p>
          <w:p>
            <w:pPr>
              <w:rPr>
                <w:rFonts w:asciiTheme="minorAscii" w:cstheme="minorAscii" w:eastAsiaTheme="minorAscii" w:hAnsiTheme="minorAscii"/>
                <w:i/>
                <w:iCs/>
                <w:sz w:val="20"/>
                <w:szCs w:val="20"/>
              </w:rPr>
            </w:pPr>
          </w:p>
        </w:tc>
        <w:tc>
          <w:tcPr>
            <w:cnfStyle w:val="000000100000"/>
            <w:tcW w:w="2531" w:type="dxa"/>
            <w:vMerge w:val="restart"/>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en-US"/>
              </w:rPr>
            </w:pPr>
            <w:r>
              <w:rPr>
                <w:rFonts w:asciiTheme="minorAscii" w:cstheme="minorAscii" w:eastAsiaTheme="minorAscii" w:hAnsiTheme="minorAscii"/>
                <w:color w:val="000000"/>
                <w:sz w:val="18"/>
                <w:rtl w:val="off"/>
                <w:lang w:val="en-US"/>
              </w:rPr>
              <w:t>BX80684I59600K</w:t>
            </w:r>
            <w:r>
              <w:rPr>
                <w:rFonts w:asciiTheme="minorAscii" w:cstheme="minorAscii" w:eastAsiaTheme="minorAscii" w:hAnsiTheme="minorAscii"/>
                <w:color w:val="000000"/>
                <w:sz w:val="18"/>
                <w:rtl w:val="off"/>
                <w:lang w:val="en-US"/>
              </w:rPr>
              <w:t xml:space="preserve"> </w:t>
            </w:r>
          </w:p>
          <w:p>
            <w:pPr>
              <w:rPr>
                <w:rFonts w:asciiTheme="minorAscii" w:cstheme="minorAscii" w:eastAsiaTheme="minorAscii" w:hAnsiTheme="minorAscii"/>
                <w:sz w:val="20"/>
                <w:szCs w:val="20"/>
              </w:rPr>
            </w:pPr>
          </w:p>
        </w:tc>
        <w:tc>
          <w:tcPr>
            <w:cnfStyle w:val="000000100000"/>
            <w:tcW w:w="4841"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ro-RO"/>
              </w:rPr>
            </w:pPr>
            <w:r>
              <w:rPr>
                <w:rFonts w:asciiTheme="minorAscii" w:cstheme="minorAscii" w:eastAsiaTheme="minorAscii" w:hAnsiTheme="minorAscii"/>
                <w:color w:val="000000"/>
                <w:sz w:val="18"/>
                <w:lang w:val="ro-RO"/>
              </w:rPr>
              <w:t>Grafica Integrata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ro-RO"/>
              </w:rPr>
            </w:pPr>
            <w:r>
              <w:rPr>
                <w:rFonts w:asciiTheme="minorAscii" w:cstheme="minorAscii" w:eastAsiaTheme="minorAscii" w:hAnsiTheme="minorAscii"/>
                <w:color w:val="000000"/>
                <w:sz w:val="18"/>
                <w:lang w:val="ro-RO"/>
              </w:rPr>
              <w:t>Model</w:t>
              <w:tab/>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en-US"/>
              </w:rPr>
            </w:pPr>
            <w:r>
              <w:rPr>
                <w:rFonts w:asciiTheme="minorAscii" w:cstheme="minorAscii" w:eastAsiaTheme="minorAscii" w:hAnsiTheme="minorAscii"/>
                <w:color w:val="000000"/>
                <w:sz w:val="18"/>
                <w:lang w:val="ro-RO"/>
              </w:rPr>
              <w:t>UHD 630</w:t>
            </w:r>
          </w:p>
          <w:p>
            <w:pPr>
              <w:rPr>
                <w:rFonts w:asciiTheme="minorAscii" w:cstheme="minorAscii" w:eastAsiaTheme="minorAscii" w:hAnsiTheme="minorAscii"/>
                <w:sz w:val="20"/>
                <w:szCs w:val="20"/>
              </w:rPr>
            </w:pP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b w:val="off"/>
                <w:bCs w:val="off"/>
                <w:sz w:val="20"/>
                <w:szCs w:val="20"/>
              </w:rPr>
            </w:pPr>
            <w:r>
              <w:rPr>
                <w:rFonts w:asciiTheme="minorAscii" w:cstheme="minorAscii" w:eastAsiaTheme="minorAscii" w:hAnsiTheme="minorAscii"/>
                <w:b w:val="off"/>
                <w:bCs w:val="off"/>
                <w:sz w:val="20"/>
                <w:szCs w:val="20"/>
              </w:rPr>
              <w:t>Frecventa grafica 350MHz</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b w:val="off"/>
                <w:bCs w:val="off"/>
                <w:sz w:val="20"/>
                <w:szCs w:val="20"/>
              </w:rPr>
            </w:pPr>
            <w:r>
              <w:rPr>
                <w:rFonts w:asciiTheme="minorAscii" w:cstheme="minorAscii" w:eastAsiaTheme="minorAscii" w:hAnsiTheme="minorAscii"/>
                <w:b w:val="off"/>
                <w:bCs w:val="off"/>
                <w:sz w:val="20"/>
                <w:szCs w:val="20"/>
              </w:rPr>
              <w:t>Frecventa grafica dinamica 1.15 GHz</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b w:val="off"/>
                <w:bCs w:val="off"/>
                <w:sz w:val="20"/>
                <w:szCs w:val="20"/>
              </w:rPr>
            </w:pPr>
            <w:r>
              <w:rPr>
                <w:rFonts w:asciiTheme="minorAscii" w:cstheme="minorAscii" w:eastAsiaTheme="minorAscii" w:hAnsiTheme="minorAscii"/>
                <w:b w:val="off"/>
                <w:bCs w:val="off"/>
                <w:sz w:val="20"/>
                <w:szCs w:val="20"/>
              </w:rPr>
              <w:t>Nucleu Coffe Lake</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Memorie maxima 128 GB</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Model Corei i5 9600K</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Numar thread-uri 6</w:t>
            </w:r>
          </w:p>
        </w:tc>
      </w:tr>
      <w:tr>
        <w:trPr>
          <w:trHeight w:val="298" w:hRule="atLeast"/>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color w:val="auto"/>
                <w:sz w:val="20"/>
                <w:szCs w:val="20"/>
                <w:highlight w:val="none"/>
                <w:u w:val="none"/>
              </w:rPr>
            </w:pPr>
            <w:r>
              <w:rPr>
                <w:rFonts w:asciiTheme="minorAscii" w:cstheme="minorAscii" w:eastAsiaTheme="minorAscii" w:hAnsiTheme="minorAscii"/>
                <w:color w:val="auto"/>
                <w:sz w:val="20"/>
                <w:szCs w:val="20"/>
                <w:highlight w:val="none"/>
                <w:u w:val="none"/>
              </w:rPr>
              <w:t>Frecventa turbo 4,6 GHz</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color w:val="auto"/>
                <w:sz w:val="20"/>
                <w:szCs w:val="20"/>
                <w:highlight w:val="none"/>
                <w:u w:val="none"/>
              </w:rPr>
            </w:pPr>
            <w:r>
              <w:rPr>
                <w:rFonts w:asciiTheme="minorAscii" w:cstheme="minorAscii" w:eastAsiaTheme="minorAscii" w:hAnsiTheme="minorAscii"/>
                <w:color w:val="auto"/>
                <w:sz w:val="20"/>
                <w:szCs w:val="20"/>
                <w:highlight w:val="none"/>
                <w:u w:val="none"/>
              </w:rPr>
              <w:t>Smart Cache 9  MB</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color w:val="auto"/>
                <w:sz w:val="20"/>
                <w:szCs w:val="20"/>
                <w:highlight w:val="none"/>
                <w:u w:val="none"/>
              </w:rPr>
            </w:pPr>
            <w:r>
              <w:rPr>
                <w:rFonts w:asciiTheme="minorAscii" w:cstheme="minorAscii" w:eastAsiaTheme="minorAscii" w:hAnsiTheme="minorAscii"/>
                <w:color w:val="auto"/>
                <w:sz w:val="20"/>
                <w:szCs w:val="20"/>
                <w:highlight w:val="none"/>
                <w:u w:val="none"/>
              </w:rPr>
              <w:t>Putere totala disipata 95 W</w:t>
            </w:r>
          </w:p>
        </w:tc>
      </w:tr>
      <w:tr>
        <w:trPr/>
        <w:tc>
          <w:tcPr>
            <w:cnfStyle w:val="001000100000"/>
            <w:tcW w:w="2530" w:type="dxa"/>
            <w:vMerge w:val="restart"/>
          </w:tcPr>
          <w:p>
            <w:pPr>
              <w:rPr>
                <w:rFonts w:asciiTheme="minorAscii" w:cstheme="minorAscii" w:eastAsiaTheme="minorAscii" w:hAnsiTheme="minorAscii"/>
                <w:sz w:val="20"/>
                <w:szCs w:val="20"/>
              </w:rPr>
            </w:pPr>
            <w:r>
              <w:rPr>
                <w:rFonts w:asciiTheme="minorAscii" w:cstheme="minorAscii" w:eastAsiaTheme="minorAscii" w:hAnsiTheme="minorAscii"/>
                <w:i/>
                <w:iCs/>
                <w:sz w:val="20"/>
                <w:szCs w:val="20"/>
              </w:rPr>
              <w:t>Echipament</w:t>
            </w:r>
            <w:r>
              <w:rPr>
                <w:rFonts w:asciiTheme="minorAscii" w:cstheme="minorAscii" w:eastAsiaTheme="minorAscii" w:hAnsiTheme="minorAscii"/>
                <w:i/>
                <w:iCs/>
                <w:sz w:val="20"/>
                <w:szCs w:val="20"/>
              </w:rPr>
              <w:t xml:space="preserve">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0" w:line="240" w:lineRule="auto"/>
              <w:ind w:left="0" w:right="0" w:firstLine="0"/>
              <w:jc w:val="left"/>
              <w:rPr>
                <w:rFonts w:asciiTheme="minorAscii" w:cstheme="minorAscii" w:eastAsiaTheme="minorAscii" w:hAnsiTheme="minorAscii"/>
                <w:b w:val="off"/>
                <w:bCs w:val="off"/>
                <w:color w:val="000000"/>
                <w:sz w:val="26"/>
                <w:lang w:val="en-US"/>
              </w:rPr>
            </w:pPr>
            <w:r>
              <w:rPr>
                <w:rFonts w:asciiTheme="minorAscii" w:cstheme="minorAscii" w:eastAsiaTheme="minorAscii" w:hAnsiTheme="minorAscii"/>
                <w:b w:val="off"/>
                <w:bCs w:val="off"/>
                <w:color w:val="000000"/>
                <w:sz w:val="26"/>
                <w:rtl w:val="off"/>
                <w:lang w:val="en-US"/>
              </w:rPr>
              <w:t>Sursa Seasonic Focus GX, 80+ Gold, 650W</w:t>
            </w:r>
          </w:p>
          <w:p>
            <w:pPr>
              <w:rPr>
                <w:rFonts w:asciiTheme="minorAscii" w:cstheme="minorAscii" w:eastAsiaTheme="minorAscii" w:hAnsiTheme="minorAscii"/>
                <w:sz w:val="20"/>
                <w:szCs w:val="20"/>
              </w:rPr>
            </w:pPr>
          </w:p>
        </w:tc>
        <w:tc>
          <w:tcPr>
            <w:cnfStyle w:val="000000100000"/>
            <w:tcW w:w="2531" w:type="dxa"/>
            <w:vMerge w:val="restart"/>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en-US"/>
              </w:rPr>
            </w:pPr>
            <w:r>
              <w:rPr>
                <w:rFonts w:asciiTheme="minorAscii" w:cstheme="minorAscii" w:eastAsiaTheme="minorAscii" w:hAnsiTheme="minorAscii"/>
                <w:color w:val="000000"/>
                <w:sz w:val="18"/>
                <w:rtl w:val="off"/>
                <w:lang w:val="en-US"/>
              </w:rPr>
              <w:t>FOCUS-GX-650</w:t>
            </w:r>
            <w:r>
              <w:rPr>
                <w:rFonts w:asciiTheme="minorAscii" w:cstheme="minorAscii" w:eastAsiaTheme="minorAscii" w:hAnsiTheme="minorAscii"/>
                <w:color w:val="000000"/>
                <w:sz w:val="18"/>
                <w:rtl w:val="off"/>
                <w:lang w:val="en-US"/>
              </w:rPr>
              <w:t xml:space="preserve"> </w:t>
            </w:r>
          </w:p>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Tip ATX</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Voltaj 100-240 Vac</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Protectii OPP,OVP,UVP,SCP,OCP,OTP</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Platforma OEM Seasonic</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Numar ventilatoare 1x120 mm</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PFC Active</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Dimensiuni 150 x 140 x 86 mm</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Certificate 80 + G old</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Eficienta 90%</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Putere 650 W</w:t>
            </w:r>
          </w:p>
        </w:tc>
      </w:tr>
      <w:tr>
        <w:trPr/>
        <w:tc>
          <w:tcPr>
            <w:cnfStyle w:val="001000100000"/>
            <w:tcW w:w="2530" w:type="dxa"/>
            <w:vMerge w:val="restart"/>
          </w:tcPr>
          <w:p>
            <w:pPr>
              <w:rPr>
                <w:rFonts w:asciiTheme="minorAscii" w:cstheme="minorAscii" w:eastAsiaTheme="minorAscii" w:hAnsiTheme="minorAscii"/>
                <w:i/>
                <w:iCs/>
                <w:sz w:val="20"/>
                <w:szCs w:val="20"/>
              </w:rPr>
            </w:pPr>
            <w:r>
              <w:rPr>
                <w:rFonts w:asciiTheme="minorAscii" w:cstheme="minorAscii" w:eastAsiaTheme="minorAscii" w:hAnsiTheme="minorAscii"/>
                <w:i/>
                <w:iCs/>
                <w:sz w:val="20"/>
                <w:szCs w:val="20"/>
              </w:rPr>
              <w:t>Echipament</w:t>
            </w:r>
            <w:r>
              <w:rPr>
                <w:rFonts w:asciiTheme="minorAscii" w:cstheme="minorAscii" w:eastAsiaTheme="minorAscii" w:hAnsiTheme="minorAscii"/>
                <w:i/>
                <w:iCs/>
                <w:sz w:val="20"/>
                <w:szCs w:val="20"/>
              </w:rPr>
              <w:t xml:space="preserve"> 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0" w:line="240" w:lineRule="auto"/>
              <w:ind w:left="0" w:right="0" w:firstLine="0"/>
              <w:jc w:val="left"/>
              <w:rPr>
                <w:rFonts w:asciiTheme="minorAscii" w:cstheme="minorAscii" w:eastAsiaTheme="minorAscii" w:hAnsiTheme="minorAscii"/>
                <w:b w:val="off"/>
                <w:bCs w:val="off"/>
                <w:color w:val="000000"/>
                <w:sz w:val="26"/>
                <w:lang w:val="en-US"/>
              </w:rPr>
            </w:pPr>
            <w:r>
              <w:rPr>
                <w:rFonts w:asciiTheme="minorAscii" w:cstheme="minorAscii" w:eastAsiaTheme="minorAscii" w:hAnsiTheme="minorAscii"/>
                <w:b w:val="off"/>
                <w:bCs w:val="off"/>
                <w:color w:val="000000"/>
                <w:sz w:val="26"/>
                <w:rtl w:val="off"/>
                <w:lang w:val="en-US"/>
              </w:rPr>
              <w:t>Placa de baza MSI B360-A PRO</w:t>
            </w:r>
          </w:p>
          <w:p>
            <w:pPr>
              <w:rPr>
                <w:rFonts w:asciiTheme="minorAscii" w:cstheme="minorAscii" w:eastAsiaTheme="minorAscii" w:hAnsiTheme="minorAscii"/>
                <w:i/>
                <w:iCs/>
                <w:sz w:val="20"/>
                <w:szCs w:val="20"/>
              </w:rPr>
            </w:pPr>
          </w:p>
        </w:tc>
        <w:tc>
          <w:tcPr>
            <w:cnfStyle w:val="000000100000"/>
            <w:tcW w:w="2531" w:type="dxa"/>
            <w:vMerge w:val="restart"/>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18"/>
                <w:lang w:val="en-US"/>
              </w:rPr>
            </w:pPr>
            <w:r>
              <w:rPr>
                <w:rFonts w:asciiTheme="minorAscii" w:cstheme="minorAscii" w:eastAsiaTheme="minorAscii" w:hAnsiTheme="minorAscii"/>
                <w:color w:val="000000"/>
                <w:sz w:val="18"/>
                <w:rtl w:val="off"/>
                <w:lang w:val="en-US"/>
              </w:rPr>
              <w:t>B360-A PRO</w:t>
            </w:r>
            <w:r>
              <w:rPr>
                <w:rFonts w:asciiTheme="minorAscii" w:cstheme="minorAscii" w:eastAsiaTheme="minorAscii" w:hAnsiTheme="minorAscii"/>
                <w:color w:val="000000"/>
                <w:sz w:val="18"/>
                <w:rtl w:val="off"/>
                <w:lang w:val="en-US"/>
              </w:rPr>
              <w:t xml:space="preserve"> </w:t>
            </w:r>
          </w:p>
          <w:p>
            <w:pPr>
              <w:rPr>
                <w:rFonts w:asciiTheme="minorAscii" w:cstheme="minorAscii" w:eastAsiaTheme="minorAscii" w:hAnsiTheme="minorAscii"/>
                <w:sz w:val="20"/>
                <w:szCs w:val="20"/>
              </w:rPr>
            </w:pPr>
          </w:p>
        </w:tc>
        <w:tc>
          <w:tcPr>
            <w:cnfStyle w:val="000000100000"/>
            <w:tcW w:w="4841" w:type="dxa"/>
          </w:tcPr>
          <w:p>
            <w:pPr>
              <w:ind w:left="-132"/>
              <w:rPr>
                <w:rFonts w:asciiTheme="minorAscii" w:cstheme="minorAscii" w:eastAsiaTheme="minorAscii" w:hAnsiTheme="minorAscii"/>
                <w:sz w:val="20"/>
                <w:szCs w:val="20"/>
              </w:rPr>
            </w:pPr>
            <w:r>
              <w:rPr>
                <w:rFonts w:asciiTheme="minorAscii" w:cstheme="minorAscii" w:eastAsiaTheme="minorAscii" w:hAnsiTheme="minorAscii"/>
                <w:sz w:val="20"/>
                <w:szCs w:val="20"/>
              </w:rPr>
              <w:t xml:space="preserve">   Format ATX</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Soclu procesor 1151 v2</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Interfata grafica PCI Express x 16 3.0</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Placa audio integrata 7.1 Audio cu Realtek ALC892</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Model chipset B360</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Procesoare suportabile Intel 9th/8th Generation Core/Pentium/Celeron</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Numar SATA-lll 5</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Frecvente suportabile 2666/2400/2133 MHz</w:t>
            </w:r>
          </w:p>
        </w:tc>
      </w:tr>
      <w:tr>
        <w:trPr/>
        <w:tc>
          <w:tcPr>
            <w:cnfStyle w:val="001000100000"/>
            <w:tcW w:w="2530" w:type="dxa"/>
            <w:vMerge w:val="continue"/>
          </w:tcPr>
          <w:p>
            <w:pPr>
              <w:rPr>
                <w:rFonts w:asciiTheme="minorAscii" w:cstheme="minorAscii" w:eastAsiaTheme="minorAscii" w:hAnsiTheme="minorAscii"/>
                <w:sz w:val="20"/>
                <w:szCs w:val="20"/>
              </w:rPr>
            </w:pPr>
          </w:p>
        </w:tc>
        <w:tc>
          <w:tcPr>
            <w:cnfStyle w:val="000000100000"/>
            <w:tcW w:w="2531" w:type="dxa"/>
            <w:vMerge w:val="continue"/>
          </w:tcPr>
          <w:p>
            <w:pPr>
              <w:rPr>
                <w:rFonts w:asciiTheme="minorAscii" w:cstheme="minorAscii" w:eastAsiaTheme="minorAscii" w:hAnsiTheme="minorAscii"/>
                <w:sz w:val="20"/>
                <w:szCs w:val="20"/>
              </w:rPr>
            </w:pPr>
          </w:p>
        </w:tc>
        <w:tc>
          <w:tcPr>
            <w:cnfStyle w:val="00000010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Tip memorie DDR4</w:t>
            </w:r>
          </w:p>
        </w:tc>
      </w:tr>
      <w:tr>
        <w:trPr/>
        <w:tc>
          <w:tcPr>
            <w:cnfStyle w:val="001000010000"/>
            <w:tcW w:w="2530" w:type="dxa"/>
            <w:vMerge w:val="continue"/>
          </w:tcPr>
          <w:p>
            <w:pPr>
              <w:rPr>
                <w:rFonts w:asciiTheme="minorAscii" w:cstheme="minorAscii" w:eastAsiaTheme="minorAscii" w:hAnsiTheme="minorAscii"/>
                <w:sz w:val="20"/>
                <w:szCs w:val="20"/>
              </w:rPr>
            </w:pPr>
          </w:p>
        </w:tc>
        <w:tc>
          <w:tcPr>
            <w:cnfStyle w:val="000000010000"/>
            <w:tcW w:w="2531" w:type="dxa"/>
            <w:vMerge w:val="continue"/>
          </w:tcPr>
          <w:p>
            <w:pPr>
              <w:rPr>
                <w:rFonts w:asciiTheme="minorAscii" w:cstheme="minorAscii" w:eastAsiaTheme="minorAscii" w:hAnsiTheme="minorAscii"/>
                <w:sz w:val="20"/>
                <w:szCs w:val="20"/>
              </w:rPr>
            </w:pPr>
          </w:p>
        </w:tc>
        <w:tc>
          <w:tcPr>
            <w:cnfStyle w:val="000000010000"/>
            <w:tcW w:w="484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Chipset retea Intel l219V</w:t>
            </w:r>
          </w:p>
        </w:tc>
      </w:tr>
    </w:tbl>
    <w:p>
      <w:pPr>
        <w:rPr>
          <w:rFonts w:asciiTheme="minorAscii" w:cstheme="minorAscii" w:eastAsiaTheme="minorAscii" w:hAnsiTheme="minorAscii"/>
          <w:sz w:val="20"/>
          <w:szCs w:val="20"/>
        </w:rPr>
      </w:pPr>
    </w:p>
    <w:p>
      <w:pPr>
        <w:pStyle w:val="ListParagraph"/>
        <w:numPr>
          <w:ilvl w:val="0"/>
          <w:numId w:val="4"/>
        </w:numPr>
        <w:rPr>
          <w:rFonts w:asciiTheme="minorAscii" w:cstheme="minorAscii" w:eastAsiaTheme="minorAscii" w:hAnsiTheme="minorAscii"/>
          <w:sz w:val="20"/>
          <w:szCs w:val="20"/>
        </w:rPr>
      </w:pPr>
      <w:r>
        <w:rPr>
          <w:rFonts w:asciiTheme="minorAscii" w:cstheme="minorAscii" w:eastAsiaTheme="minorAscii" w:hAnsiTheme="minorAscii"/>
          <w:sz w:val="20"/>
          <w:szCs w:val="20"/>
        </w:rPr>
        <w:t xml:space="preserve">B. </w:t>
      </w:r>
    </w:p>
    <w:tbl>
      <w:tblPr>
        <w:tblStyle w:val="TableGrid"/>
        <w:tblW w:w="9102" w:type="dxa"/>
        <w:tblLook w:val="04A0"/>
      </w:tblPr>
      <w:tblGrid>
        <w:gridCol w:w="4551"/>
        <w:gridCol w:w="4551"/>
      </w:tblGrid>
      <w:tr>
        <w:trPr>
          <w:trHeight w:val="463"/>
        </w:trPr>
        <w:tc>
          <w:tcPr>
            <w:cnfStyle w:val="101000000000"/>
            <w:tcW w:w="455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Denumire</w:t>
            </w:r>
            <w:r>
              <w:rPr>
                <w:rFonts w:asciiTheme="minorAscii" w:cstheme="minorAscii" w:eastAsiaTheme="minorAscii" w:hAnsiTheme="minorAscii"/>
                <w:sz w:val="20"/>
                <w:szCs w:val="20"/>
              </w:rPr>
              <w:t xml:space="preserve"> </w:t>
            </w:r>
            <w:r>
              <w:rPr>
                <w:rFonts w:asciiTheme="minorAscii" w:cstheme="minorAscii" w:eastAsiaTheme="minorAscii" w:hAnsiTheme="minorAscii"/>
                <w:sz w:val="20"/>
                <w:szCs w:val="20"/>
              </w:rPr>
              <w:t>conector</w:t>
            </w:r>
            <w:r>
              <w:rPr>
                <w:rFonts w:asciiTheme="minorAscii" w:cstheme="minorAscii" w:eastAsiaTheme="minorAscii" w:hAnsiTheme="minorAscii"/>
                <w:sz w:val="20"/>
                <w:szCs w:val="20"/>
              </w:rPr>
              <w:t>/port</w:t>
            </w:r>
          </w:p>
        </w:tc>
        <w:tc>
          <w:tcPr>
            <w:cnfStyle w:val="100000000000"/>
            <w:tcW w:w="4551"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Funcţie</w:t>
            </w:r>
            <w:r>
              <w:rPr>
                <w:rFonts w:asciiTheme="minorAscii" w:cstheme="minorAscii" w:eastAsiaTheme="minorAscii" w:hAnsiTheme="minorAscii"/>
                <w:sz w:val="20"/>
                <w:szCs w:val="20"/>
              </w:rPr>
              <w:t xml:space="preserve"> </w:t>
            </w:r>
            <w:r>
              <w:rPr>
                <w:rFonts w:asciiTheme="minorAscii" w:cstheme="minorAscii" w:eastAsiaTheme="minorAscii" w:hAnsiTheme="minorAscii"/>
                <w:sz w:val="20"/>
                <w:szCs w:val="20"/>
              </w:rPr>
              <w:t>conector</w:t>
            </w:r>
            <w:r>
              <w:rPr>
                <w:rFonts w:asciiTheme="minorAscii" w:cstheme="minorAscii" w:eastAsiaTheme="minorAscii" w:hAnsiTheme="minorAscii"/>
                <w:sz w:val="20"/>
                <w:szCs w:val="20"/>
              </w:rPr>
              <w:t>/port</w:t>
            </w:r>
          </w:p>
        </w:tc>
      </w:tr>
      <w:tr>
        <w:trPr>
          <w:trHeight w:val="487"/>
        </w:trPr>
        <w:tc>
          <w:tcPr>
            <w:cnfStyle w:val="001000100000"/>
            <w:tcW w:w="4551"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arial"/>
                <w:color w:val="000000"/>
                <w:sz w:val="18"/>
                <w:rtl w:val="off"/>
                <w:lang w:val="en-US"/>
              </w:rPr>
              <w:t>SATA</w:t>
            </w:r>
            <w:r>
              <w:rPr>
                <w:rFonts w:ascii="Segoe UI"/>
                <w:color w:val="000000"/>
                <w:sz w:val="18"/>
                <w:rtl w:val="off"/>
                <w:lang w:val="en-US"/>
              </w:rPr>
              <w:t xml:space="preserve"> </w:t>
            </w:r>
          </w:p>
          <w:p>
            <w:pPr>
              <w:rPr>
                <w:rFonts w:asciiTheme="minorAscii" w:cstheme="minorAscii" w:eastAsiaTheme="minorAscii" w:hAnsiTheme="minorAscii"/>
                <w:sz w:val="20"/>
                <w:szCs w:val="20"/>
              </w:rPr>
            </w:pPr>
          </w:p>
        </w:tc>
        <w:tc>
          <w:tcPr>
            <w:cnfStyle w:val="000000100000"/>
            <w:tcW w:w="4551"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open sans"/>
                <w:color w:val="000000"/>
                <w:sz w:val="22"/>
                <w:rtl w:val="off"/>
                <w:lang w:val="en-US"/>
              </w:rPr>
              <w:t>este o interfat</w:t>
            </w:r>
            <w:r>
              <w:rPr>
                <w:rFonts w:ascii="open sans"/>
                <w:color w:val="000000"/>
                <w:sz w:val="22"/>
                <w:rtl w:val="off"/>
                <w:lang w:val="en-US"/>
              </w:rPr>
              <w:t>a</w:t>
            </w:r>
            <w:r>
              <w:rPr>
                <w:rFonts w:ascii="open sans"/>
                <w:color w:val="000000"/>
                <w:sz w:val="22"/>
                <w:rtl w:val="off"/>
                <w:lang w:val="en-US"/>
              </w:rPr>
              <w:t xml:space="preserve"> c</w:t>
            </w:r>
            <w:r>
              <w:rPr>
                <w:rFonts w:ascii="open sans"/>
                <w:color w:val="000000"/>
                <w:sz w:val="22"/>
                <w:rtl w:val="off"/>
                <w:lang w:val="en-US"/>
              </w:rPr>
              <w:t>e</w:t>
            </w:r>
            <w:r>
              <w:rPr>
                <w:rFonts w:ascii="open sans"/>
                <w:color w:val="000000"/>
                <w:sz w:val="22"/>
                <w:rtl w:val="off"/>
                <w:lang w:val="en-US"/>
              </w:rPr>
              <w:t xml:space="preserve"> conecteaza </w:t>
            </w:r>
            <w:r>
              <w:rPr>
                <w:rFonts w:ascii="open sans"/>
                <w:color w:val="000000"/>
                <w:sz w:val="22"/>
                <w:rtl w:val="off"/>
                <w:lang w:val="en-US"/>
              </w:rPr>
              <w:t>calculatoarele</w:t>
            </w:r>
            <w:r>
              <w:rPr>
                <w:rFonts w:ascii="open sans"/>
                <w:color w:val="000000"/>
                <w:sz w:val="22"/>
                <w:rtl w:val="off"/>
                <w:lang w:val="en-US"/>
              </w:rPr>
              <w:t xml:space="preserve"> la dispozitive de stocare </w:t>
            </w:r>
            <w:r>
              <w:rPr>
                <w:rFonts w:ascii="open sans"/>
                <w:color w:val="000000"/>
                <w:sz w:val="22"/>
                <w:rtl w:val="off"/>
                <w:lang w:val="en-US"/>
              </w:rPr>
              <w:t>i</w:t>
            </w:r>
            <w:r>
              <w:rPr>
                <w:rFonts w:ascii="open sans"/>
                <w:color w:val="000000"/>
                <w:sz w:val="22"/>
                <w:rtl w:val="off"/>
                <w:lang w:val="en-US"/>
              </w:rPr>
              <w:t>n mas</w:t>
            </w:r>
            <w:r>
              <w:rPr>
                <w:rFonts w:ascii="open sans"/>
                <w:color w:val="000000"/>
                <w:sz w:val="22"/>
                <w:rtl w:val="off"/>
                <w:lang w:val="en-US"/>
              </w:rPr>
              <w:t>a</w:t>
            </w:r>
            <w:r>
              <w:rPr>
                <w:rFonts w:ascii="Segoe UI"/>
                <w:color w:val="000000"/>
                <w:sz w:val="18"/>
                <w:rtl w:val="off"/>
                <w:lang w:val="en-US"/>
              </w:rPr>
              <w:t xml:space="preserve"> </w:t>
            </w:r>
          </w:p>
          <w:p>
            <w:pPr>
              <w:rPr>
                <w:rFonts w:asciiTheme="minorAscii" w:cstheme="minorAscii" w:eastAsiaTheme="minorAscii" w:hAnsiTheme="minorAscii"/>
                <w:sz w:val="20"/>
                <w:szCs w:val="20"/>
              </w:rPr>
            </w:pPr>
          </w:p>
        </w:tc>
      </w:tr>
      <w:tr>
        <w:trPr>
          <w:trHeight w:val="463"/>
        </w:trPr>
        <w:tc>
          <w:tcPr>
            <w:cnfStyle w:val="001000010000"/>
            <w:tcW w:w="4551"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arial"/>
                <w:color w:val="000000"/>
                <w:sz w:val="18"/>
                <w:rtl w:val="off"/>
                <w:lang w:val="en-US"/>
              </w:rPr>
              <w:t>Molex</w:t>
            </w:r>
            <w:r>
              <w:rPr>
                <w:rFonts w:ascii="Segoe UI"/>
                <w:color w:val="000000"/>
                <w:sz w:val="18"/>
                <w:rtl w:val="off"/>
                <w:lang w:val="en-US"/>
              </w:rPr>
              <w:t xml:space="preserve"> </w:t>
            </w:r>
          </w:p>
          <w:p>
            <w:pPr>
              <w:rPr>
                <w:rFonts w:asciiTheme="minorAscii" w:cstheme="minorAscii" w:eastAsiaTheme="minorAscii" w:hAnsiTheme="minorAscii"/>
                <w:sz w:val="20"/>
                <w:szCs w:val="20"/>
              </w:rPr>
            </w:pPr>
          </w:p>
        </w:tc>
        <w:tc>
          <w:tcPr>
            <w:cnfStyle w:val="000000010000"/>
            <w:tcW w:w="4551"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inherit"/>
                <w:color w:val="000000"/>
                <w:sz w:val="22"/>
                <w:szCs w:val="22"/>
                <w:lang w:val="en-US"/>
              </w:rPr>
            </w:pPr>
            <w:r>
              <w:rPr>
                <w:rFonts w:asciiTheme="minorAscii" w:cstheme="minorAscii" w:eastAsiaTheme="minorAscii" w:hAnsiTheme="minorAscii"/>
                <w:sz w:val="22"/>
                <w:szCs w:val="22"/>
              </w:rPr>
              <w:t xml:space="preserve">Pt a intercolecta </w:t>
            </w:r>
            <w:r>
              <w:rPr>
                <w:rFonts w:asciiTheme="minorAscii" w:cstheme="minorAscii" w:eastAsiaTheme="minorAscii" w:hAnsiTheme="minorAscii"/>
                <w:color w:val="000000"/>
                <w:sz w:val="22"/>
                <w:szCs w:val="22"/>
                <w:rtl w:val="off"/>
                <w:lang w:val="en-US"/>
              </w:rPr>
              <w:t>cu două bucăți de pin și soclu</w:t>
            </w:r>
          </w:p>
          <w:p>
            <w:pPr>
              <w:rPr>
                <w:rFonts w:asciiTheme="minorAscii" w:cstheme="minorAscii" w:eastAsiaTheme="minorAscii" w:hAnsiTheme="minorAscii"/>
                <w:sz w:val="20"/>
                <w:szCs w:val="20"/>
              </w:rPr>
            </w:pPr>
          </w:p>
        </w:tc>
      </w:tr>
    </w:tbl>
    <w:p>
      <w:pPr>
        <w:rPr>
          <w:rFonts w:asciiTheme="minorAscii" w:cstheme="minorAscii" w:eastAsiaTheme="minorAscii" w:hAnsiTheme="minorAscii"/>
          <w:sz w:val="20"/>
          <w:szCs w:val="20"/>
        </w:rPr>
      </w:pPr>
    </w:p>
    <w:p>
      <w:pPr>
        <w:pStyle w:val="ListParagraph"/>
        <w:numPr>
          <w:ilvl w:val="0"/>
          <w:numId w:val="5"/>
        </w:numPr>
        <w:rPr>
          <w:rFonts w:asciiTheme="minorAscii" w:cstheme="minorAscii" w:eastAsiaTheme="minorAscii" w:hAnsiTheme="minorAscii"/>
          <w:sz w:val="20"/>
          <w:szCs w:val="20"/>
        </w:rPr>
      </w:pPr>
      <w:r>
        <w:rPr>
          <w:rFonts w:asciiTheme="minorAscii" w:cstheme="minorAscii" w:eastAsiaTheme="minorAscii" w:hAnsiTheme="minorAscii"/>
          <w:sz w:val="20"/>
          <w:szCs w:val="20"/>
        </w:rPr>
        <w:t xml:space="preserve">C. </w:t>
      </w:r>
    </w:p>
    <w:tbl>
      <w:tblPr>
        <w:tblStyle w:val="TableGrid"/>
        <w:tblW w:w="9128" w:type="dxa"/>
        <w:tblInd w:w="-312" w:type="dxa"/>
        <w:tblLook w:val="04A0"/>
      </w:tblPr>
      <w:tblGrid>
        <w:gridCol w:w="4564"/>
        <w:gridCol w:w="4564"/>
      </w:tblGrid>
      <w:tr>
        <w:trPr>
          <w:trHeight w:val="444"/>
        </w:trPr>
        <w:tc>
          <w:tcPr>
            <w:cnfStyle w:val="101000000000"/>
            <w:tcW w:w="4564"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Denumire</w:t>
            </w:r>
            <w:r>
              <w:rPr>
                <w:rFonts w:asciiTheme="minorAscii" w:cstheme="minorAscii" w:eastAsiaTheme="minorAscii" w:hAnsiTheme="minorAscii"/>
                <w:sz w:val="20"/>
                <w:szCs w:val="20"/>
              </w:rPr>
              <w:t xml:space="preserve"> port/</w:t>
            </w:r>
            <w:r>
              <w:rPr>
                <w:rFonts w:asciiTheme="minorAscii" w:cstheme="minorAscii" w:eastAsiaTheme="minorAscii" w:hAnsiTheme="minorAscii"/>
                <w:sz w:val="20"/>
                <w:szCs w:val="20"/>
              </w:rPr>
              <w:t>conector</w:t>
            </w:r>
          </w:p>
          <w:p>
            <w:pPr>
              <w:rPr>
                <w:rFonts w:asciiTheme="minorAscii" w:cstheme="minorAscii" w:eastAsiaTheme="minorAscii" w:hAnsiTheme="minorAscii"/>
                <w:sz w:val="20"/>
                <w:szCs w:val="20"/>
              </w:rPr>
            </w:pPr>
          </w:p>
        </w:tc>
        <w:tc>
          <w:tcPr>
            <w:cnfStyle w:val="100000000000"/>
            <w:tcW w:w="4564"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Dispozitiv</w:t>
            </w:r>
            <w:r>
              <w:rPr>
                <w:rFonts w:asciiTheme="minorAscii" w:cstheme="minorAscii" w:eastAsiaTheme="minorAscii" w:hAnsiTheme="minorAscii"/>
                <w:sz w:val="20"/>
                <w:szCs w:val="20"/>
              </w:rPr>
              <w:t xml:space="preserve"> I/O </w:t>
            </w:r>
            <w:r>
              <w:rPr>
                <w:rFonts w:asciiTheme="minorAscii" w:cstheme="minorAscii" w:eastAsiaTheme="minorAscii" w:hAnsiTheme="minorAscii"/>
                <w:sz w:val="20"/>
                <w:szCs w:val="20"/>
              </w:rPr>
              <w:t>deservit</w:t>
            </w:r>
          </w:p>
        </w:tc>
      </w:tr>
      <w:tr>
        <w:trPr>
          <w:trHeight w:val="842" w:hRule="atLeast"/>
        </w:trPr>
        <w:tc>
          <w:tcPr>
            <w:cnfStyle w:val="001000100000"/>
            <w:tcW w:w="4564"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arial"/>
                <w:color w:val="000000"/>
                <w:sz w:val="18"/>
                <w:rtl w:val="off"/>
                <w:lang w:val="en-US"/>
              </w:rPr>
              <w:t>Suport audio</w:t>
            </w:r>
            <w:r>
              <w:rPr>
                <w:rFonts w:ascii="Segoe UI"/>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arial"/>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t>DVI</w:t>
            </w:r>
          </w:p>
          <w:p>
            <w:pPr>
              <w:rPr>
                <w:rFonts w:asciiTheme="minorAscii" w:cstheme="minorAscii" w:eastAsiaTheme="minorAscii" w:hAnsiTheme="minorAscii"/>
                <w:sz w:val="20"/>
                <w:szCs w:val="20"/>
              </w:rPr>
            </w:pPr>
          </w:p>
        </w:tc>
        <w:tc>
          <w:tcPr>
            <w:cnfStyle w:val="000000100000"/>
            <w:tcW w:w="4564" w:type="dxa"/>
          </w:tcPr>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Dispozitiv audio</w:t>
            </w:r>
          </w:p>
          <w:p>
            <w:pPr>
              <w:rPr>
                <w:rFonts w:asciiTheme="minorAscii" w:cstheme="minorAscii" w:eastAsiaTheme="minorAscii" w:hAnsiTheme="minorAscii"/>
                <w:sz w:val="20"/>
                <w:szCs w:val="20"/>
              </w:rPr>
            </w:pPr>
          </w:p>
          <w:p>
            <w:pPr>
              <w:rPr>
                <w:rFonts w:asciiTheme="minorAscii" w:cstheme="minorAscii" w:eastAsiaTheme="minorAscii" w:hAnsiTheme="minorAscii"/>
                <w:sz w:val="20"/>
                <w:szCs w:val="20"/>
              </w:rPr>
            </w:pPr>
            <w:r>
              <w:rPr>
                <w:rFonts w:asciiTheme="minorAscii" w:cstheme="minorAscii" w:eastAsiaTheme="minorAscii" w:hAnsiTheme="minorAscii"/>
                <w:sz w:val="20"/>
                <w:szCs w:val="20"/>
              </w:rPr>
              <w:t>Dispozitiv videp</w:t>
            </w:r>
          </w:p>
        </w:tc>
      </w:tr>
      <w:tr>
        <w:trPr>
          <w:trHeight w:val="668" w:hRule="atLeast"/>
        </w:trPr>
        <w:tc>
          <w:tcPr>
            <w:cnfStyle w:val="001000010000"/>
            <w:tcW w:w="4564"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arial"/>
                <w:color w:val="000000"/>
                <w:sz w:val="18"/>
                <w:rtl w:val="off"/>
                <w:lang w:val="en-US"/>
              </w:rPr>
              <w:t>PS/2</w:t>
            </w:r>
            <w:r>
              <w:rPr>
                <w:rFonts w:ascii="Segoe UI"/>
                <w:color w:val="000000"/>
                <w:sz w:val="18"/>
                <w:rtl w:val="off"/>
                <w:lang w:val="en-US"/>
              </w:rPr>
              <w:t xml:space="preserve"> </w:t>
            </w:r>
          </w:p>
          <w:p>
            <w:pPr>
              <w:rPr>
                <w:rFonts w:cstheme="minorHAnsi"/>
                <w:sz w:val="20"/>
                <w:szCs w:val="20"/>
              </w:rPr>
            </w:pPr>
          </w:p>
        </w:tc>
        <w:tc>
          <w:tcPr>
            <w:cnfStyle w:val="000000010000"/>
            <w:tcW w:w="4564" w:type="dxa"/>
          </w:tcPr>
          <w:p>
            <w:pPr>
              <w:rPr>
                <w:rFonts w:cstheme="minorHAnsi"/>
                <w:sz w:val="20"/>
                <w:szCs w:val="20"/>
              </w:rPr>
            </w:pPr>
          </w:p>
          <w:p>
            <w:pPr>
              <w:rPr>
                <w:rFonts w:cstheme="minorHAnsi"/>
                <w:sz w:val="20"/>
                <w:szCs w:val="20"/>
              </w:rPr>
            </w:pPr>
            <w:r>
              <w:rPr>
                <w:rFonts w:cstheme="minorHAnsi"/>
                <w:sz w:val="20"/>
                <w:szCs w:val="20"/>
              </w:rPr>
              <w:t>Mouse , tastatura</w:t>
            </w:r>
          </w:p>
        </w:tc>
      </w:tr>
    </w:tbl>
    <w:p>
      <w:pPr>
        <w:rPr>
          <w:rFonts w:cstheme="minorHAnsi"/>
          <w:sz w:val="20"/>
          <w:szCs w:val="20"/>
        </w:rPr>
      </w:pPr>
      <w:r>
        <w:rPr>
          <w:rFonts w:cstheme="minorHAnsi"/>
          <w:sz w:val="20"/>
          <w:szCs w:val="20"/>
        </w:rPr>
        <w:drawing xmlns:mc="http://schemas.openxmlformats.org/markup-compatibility/2006">
          <wp:inline>
            <wp:extent cx="3987165" cy="1972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33"/>
                    <a:srcRect/>
                    <a:stretch>
                      <a:fillRect/>
                    </a:stretch>
                  </pic:blipFill>
                  <pic:spPr>
                    <a:xfrm>
                      <a:off x="0" y="0"/>
                      <a:ext cx="3987165" cy="1972310"/>
                    </a:xfrm>
                    <a:prstGeom prst="rect">
                      <a:avLst/>
                    </a:prstGeom>
                  </pic:spPr>
                </pic:pic>
              </a:graphicData>
            </a:graphic>
          </wp:inline>
        </w:drawing>
      </w:r>
    </w:p>
    <w:p>
      <w:pPr>
        <w:rPr>
          <w:rFonts w:cstheme="minorHAnsi"/>
          <w:sz w:val="20"/>
          <w:szCs w:val="20"/>
        </w:rPr>
      </w:pPr>
    </w:p>
    <w:p>
      <w:pPr>
        <w:pStyle w:val="ListParagraph"/>
        <w:numPr>
          <w:ilvl w:val="0"/>
          <w:numId w:val="5"/>
        </w:numPr>
        <w:rPr>
          <w:rFonts w:cstheme="minorHAnsi"/>
          <w:sz w:val="20"/>
          <w:szCs w:val="20"/>
        </w:rPr>
      </w:pPr>
    </w:p>
    <w:p>
      <w:pPr>
        <w:pStyle w:val="ListParagraph"/>
        <w:numPr>
          <w:ilvl w:val="0"/>
          <w:numId w:val="7"/>
        </w:numPr>
        <w:rPr>
          <w:rFonts w:cstheme="minorHAnsi"/>
          <w:sz w:val="20"/>
          <w:szCs w:val="20"/>
        </w:rPr>
      </w:pPr>
    </w:p>
    <w:tbl>
      <w:tblPr>
        <w:tblStyle w:val="TableGrid"/>
        <w:tblW w:w="9375" w:type="dxa"/>
        <w:tblLook w:val="04A0"/>
      </w:tblPr>
      <w:tblGrid>
        <w:gridCol w:w="1272"/>
        <w:gridCol w:w="1272"/>
        <w:gridCol w:w="6831"/>
      </w:tblGrid>
      <w:tr>
        <w:trPr>
          <w:trHeight w:val="1722"/>
        </w:trPr>
        <w:tc>
          <w:tcPr>
            <w:cnfStyle w:val="101000000000"/>
            <w:tcW w:w="3124" w:type="dxa"/>
          </w:tcPr>
          <w:p>
            <w:pPr>
              <w:rPr>
                <w:rFonts w:cstheme="minorHAnsi"/>
                <w:sz w:val="20"/>
                <w:szCs w:val="20"/>
              </w:rPr>
            </w:pPr>
            <w:r>
              <w:rPr>
                <w:rFonts w:cstheme="minorHAnsi"/>
                <w:sz w:val="20"/>
                <w:szCs w:val="20"/>
              </w:rPr>
              <w:t>Utilitare</w:t>
            </w:r>
            <w:r>
              <w:rPr>
                <w:rFonts w:cstheme="minorHAnsi"/>
                <w:sz w:val="20"/>
                <w:szCs w:val="20"/>
              </w:rPr>
              <w:t xml:space="preserve"> UI</w:t>
            </w:r>
          </w:p>
        </w:tc>
        <w:tc>
          <w:tcPr>
            <w:cnfStyle w:val="100000000000"/>
            <w:tcW w:w="3124" w:type="dxa"/>
          </w:tcPr>
          <w:p>
            <w:pPr>
              <w:rPr>
                <w:rFonts w:cstheme="minorHAnsi"/>
                <w:sz w:val="20"/>
                <w:szCs w:val="20"/>
              </w:rPr>
            </w:pPr>
            <w:r>
              <w:rPr>
                <w:rFonts w:cstheme="minorHAnsi"/>
                <w:sz w:val="20"/>
                <w:szCs w:val="20"/>
              </w:rPr>
              <w:t>Descrierea</w:t>
            </w:r>
            <w:r>
              <w:rPr>
                <w:rFonts w:cstheme="minorHAnsi"/>
                <w:sz w:val="20"/>
                <w:szCs w:val="20"/>
              </w:rPr>
              <w:t xml:space="preserve"> </w:t>
            </w:r>
            <w:r>
              <w:rPr>
                <w:rFonts w:cstheme="minorHAnsi"/>
                <w:sz w:val="20"/>
                <w:szCs w:val="20"/>
              </w:rPr>
              <w:t>rolului</w:t>
            </w:r>
            <w:r>
              <w:rPr>
                <w:rFonts w:cstheme="minorHAnsi"/>
                <w:sz w:val="20"/>
                <w:szCs w:val="20"/>
              </w:rPr>
              <w:t xml:space="preserve"> </w:t>
            </w:r>
            <w:r>
              <w:rPr>
                <w:rFonts w:cstheme="minorHAnsi"/>
                <w:sz w:val="20"/>
                <w:szCs w:val="20"/>
              </w:rPr>
              <w:t>comenzii</w:t>
            </w:r>
          </w:p>
        </w:tc>
        <w:tc>
          <w:tcPr>
            <w:cnfStyle w:val="100000000000"/>
            <w:tcW w:w="3127" w:type="dxa"/>
          </w:tcPr>
          <w:p>
            <w:pPr>
              <w:rPr>
                <w:rFonts w:cstheme="minorHAnsi"/>
                <w:sz w:val="20"/>
                <w:szCs w:val="20"/>
              </w:rPr>
            </w:pPr>
            <w:r>
              <w:rPr>
                <w:rFonts w:cstheme="minorHAnsi"/>
                <w:sz w:val="20"/>
                <w:szCs w:val="20"/>
              </w:rPr>
              <w:t>Captură</w:t>
            </w:r>
            <w:r>
              <w:rPr>
                <w:rFonts w:cstheme="minorHAnsi"/>
                <w:sz w:val="20"/>
                <w:szCs w:val="20"/>
              </w:rPr>
              <w:t xml:space="preserve"> de </w:t>
            </w:r>
            <w:r>
              <w:rPr>
                <w:rFonts w:cstheme="minorHAnsi"/>
                <w:sz w:val="20"/>
                <w:szCs w:val="20"/>
              </w:rPr>
              <w:t>ecran</w:t>
            </w:r>
            <w:r>
              <w:rPr>
                <w:rFonts w:cstheme="minorHAnsi"/>
                <w:sz w:val="20"/>
                <w:szCs w:val="20"/>
              </w:rPr>
              <w:t xml:space="preserve"> (</w:t>
            </w:r>
            <w:r>
              <w:rPr>
                <w:rFonts w:cstheme="minorHAnsi"/>
                <w:sz w:val="20"/>
                <w:szCs w:val="20"/>
              </w:rPr>
              <w:t>informaţii</w:t>
            </w:r>
            <w:r>
              <w:rPr>
                <w:rFonts w:cstheme="minorHAnsi"/>
                <w:sz w:val="20"/>
                <w:szCs w:val="20"/>
              </w:rPr>
              <w:t xml:space="preserve"> </w:t>
            </w:r>
            <w:r>
              <w:rPr>
                <w:rFonts w:cstheme="minorHAnsi"/>
                <w:sz w:val="20"/>
                <w:szCs w:val="20"/>
              </w:rPr>
              <w:t>returnate</w:t>
            </w:r>
            <w:r>
              <w:rPr>
                <w:rFonts w:cstheme="minorHAnsi"/>
                <w:sz w:val="20"/>
                <w:szCs w:val="20"/>
              </w:rPr>
              <w:t>)</w:t>
            </w:r>
          </w:p>
        </w:tc>
      </w:tr>
      <w:tr>
        <w:trPr>
          <w:trHeight w:val="839"/>
        </w:trPr>
        <w:tc>
          <w:tcPr>
            <w:cnfStyle w:val="001000100000"/>
            <w:tcW w:w="3124" w:type="dxa"/>
          </w:tcPr>
          <w:p>
            <w:pPr>
              <w:rPr>
                <w:rFonts w:cstheme="minorHAnsi"/>
                <w:i/>
                <w:iCs/>
                <w:sz w:val="20"/>
                <w:szCs w:val="20"/>
              </w:rPr>
            </w:pPr>
            <w:r>
              <w:rPr>
                <w:rFonts w:cstheme="minorHAnsi"/>
                <w:i/>
                <w:iCs/>
                <w:sz w:val="20"/>
                <w:szCs w:val="20"/>
              </w:rPr>
              <w:t>msinfo</w:t>
            </w:r>
          </w:p>
        </w:tc>
        <w:tc>
          <w:tcPr>
            <w:cnfStyle w:val="000000100000"/>
            <w:tcW w:w="3124"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20"/>
                <w:szCs w:val="20"/>
                <w:lang w:val="en-US"/>
              </w:rPr>
            </w:pPr>
            <w:r>
              <w:rPr>
                <w:rFonts w:asciiTheme="minorAscii" w:cstheme="minorAscii" w:eastAsiaTheme="minorAscii" w:hAnsiTheme="minorAscii"/>
                <w:b w:val="off"/>
                <w:bCs w:val="off"/>
                <w:color w:val="000000"/>
                <w:sz w:val="20"/>
                <w:szCs w:val="20"/>
                <w:rtl w:val="off"/>
                <w:lang w:val="en-US"/>
              </w:rPr>
              <w:t>Rapoartele Microsoft System Information (MSInfo) sunt utile pentru colectarea informațiilor despre sistemul de operare și identificarea problemelor comune.</w:t>
            </w:r>
          </w:p>
          <w:p>
            <w:pPr>
              <w:rPr>
                <w:rFonts w:cstheme="minorHAnsi"/>
                <w:sz w:val="20"/>
                <w:szCs w:val="20"/>
              </w:rPr>
            </w:pPr>
          </w:p>
        </w:tc>
        <w:tc>
          <w:tcPr>
            <w:cnfStyle w:val="000000100000"/>
            <w:tcW w:w="3127" w:type="dxa"/>
          </w:tcPr>
          <w:p>
            <w:pPr>
              <w:rPr>
                <w:rFonts w:cstheme="minorHAnsi"/>
                <w:sz w:val="20"/>
                <w:szCs w:val="20"/>
              </w:rPr>
            </w:pPr>
            <w:r>
              <w:rPr>
                <w:rFonts w:cstheme="minorHAnsi"/>
                <w:sz w:val="20"/>
                <w:szCs w:val="20"/>
              </w:rPr>
              <w:drawing xmlns:mc="http://schemas.openxmlformats.org/markup-compatibility/2006">
                <wp:inline distT="0" distB="0" distL="0" distR="0">
                  <wp:extent cx="4193540" cy="230632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Grp="0" noSelect="0" noChangeAspect="1" noMove="0"/>
                          </pic:cNvPicPr>
                        </pic:nvPicPr>
                        <pic:blipFill>
                          <a:blip r:embed="rId34"/>
                          <a:srcRect/>
                          <a:stretch>
                            <a:fillRect/>
                          </a:stretch>
                        </pic:blipFill>
                        <pic:spPr>
                          <a:xfrm>
                            <a:off x="0" y="0"/>
                            <a:ext cx="4193540" cy="2306320"/>
                          </a:xfrm>
                          <a:prstGeom prst="rect">
                            <a:avLst/>
                          </a:prstGeom>
                        </pic:spPr>
                      </pic:pic>
                    </a:graphicData>
                  </a:graphic>
                </wp:inline>
              </w:drawing>
            </w:r>
          </w:p>
        </w:tc>
      </w:tr>
      <w:tr>
        <w:trPr>
          <w:trHeight w:val="839"/>
        </w:trPr>
        <w:tc>
          <w:tcPr>
            <w:cnfStyle w:val="001000010000"/>
            <w:tcW w:w="3124" w:type="dxa"/>
          </w:tcPr>
          <w:p>
            <w:pPr>
              <w:rPr>
                <w:rFonts w:cstheme="minorHAnsi"/>
                <w:i/>
                <w:iCs/>
                <w:sz w:val="20"/>
                <w:szCs w:val="20"/>
              </w:rPr>
            </w:pPr>
            <w:r>
              <w:rPr>
                <w:rFonts w:cstheme="minorHAnsi"/>
                <w:i/>
                <w:iCs/>
                <w:sz w:val="20"/>
                <w:szCs w:val="20"/>
              </w:rPr>
              <w:t>diskmgmt</w:t>
            </w:r>
          </w:p>
        </w:tc>
        <w:tc>
          <w:tcPr>
            <w:cnfStyle w:val="000000010000"/>
            <w:tcW w:w="3124"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240" w:line="240" w:lineRule="auto"/>
              <w:ind w:left="0" w:right="0" w:firstLine="0"/>
              <w:jc w:val="left"/>
              <w:rPr>
                <w:rFonts w:asciiTheme="minorAscii" w:cstheme="minorAscii" w:eastAsiaTheme="minorAscii" w:hAnsiTheme="minorAscii"/>
                <w:color w:val="000000"/>
                <w:sz w:val="20"/>
                <w:szCs w:val="20"/>
                <w:lang w:val="en-US"/>
              </w:rPr>
            </w:pPr>
            <w:r>
              <w:rPr>
                <w:rFonts w:asciiTheme="minorAscii" w:cstheme="minorAscii" w:eastAsiaTheme="minorAscii" w:hAnsiTheme="minorAscii"/>
                <w:color w:val="000000"/>
                <w:sz w:val="20"/>
                <w:szCs w:val="20"/>
                <w:lang w:val="en-US"/>
              </w:rPr>
              <w:t>Stocarea de discuri de baza acceptata discurile care se pot partitiona. Un disc de baza este un disc fizic care obtine partitii primare, paritii extinse sau unitati logice. Partitiile si unitatile logice de pe discurile de baza sunt cunoscute su sub numele de volume de baza.Se pot crea pana la patru paritii primare sau trei paritii primare si o partitie extinsa,care contine unitati logice.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240" w:line="240" w:lineRule="auto"/>
              <w:ind w:left="0" w:right="0" w:firstLine="0"/>
              <w:jc w:val="left"/>
              <w:rPr>
                <w:rFonts w:ascii="merriweather"/>
                <w:color w:val="000000"/>
                <w:sz w:val="24"/>
                <w:lang w:val="en-US"/>
              </w:rPr>
            </w:pPr>
          </w:p>
          <w:p>
            <w:pPr>
              <w:rPr>
                <w:rFonts w:cstheme="minorHAnsi"/>
                <w:sz w:val="20"/>
                <w:szCs w:val="20"/>
              </w:rPr>
            </w:pPr>
          </w:p>
        </w:tc>
        <w:tc>
          <w:tcPr>
            <w:cnfStyle w:val="000000010000"/>
            <w:tcW w:w="3127" w:type="dxa"/>
          </w:tcPr>
          <w:p>
            <w:pPr>
              <w:rPr>
                <w:rFonts w:cstheme="minorHAnsi"/>
                <w:sz w:val="20"/>
                <w:szCs w:val="20"/>
              </w:rPr>
            </w:pPr>
            <w:r>
              <w:rPr>
                <w:rFonts w:cstheme="minorHAnsi"/>
                <w:sz w:val="20"/>
                <w:szCs w:val="20"/>
              </w:rPr>
              <w:drawing xmlns:mc="http://schemas.openxmlformats.org/markup-compatibility/2006">
                <wp:inline distT="0" distB="0" distL="0" distR="0">
                  <wp:extent cx="4478655" cy="234378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Grp="0" noSelect="0" noChangeAspect="1" noMove="0"/>
                          </pic:cNvPicPr>
                        </pic:nvPicPr>
                        <pic:blipFill>
                          <a:blip r:embed="rId35"/>
                          <a:srcRect/>
                          <a:stretch>
                            <a:fillRect/>
                          </a:stretch>
                        </pic:blipFill>
                        <pic:spPr>
                          <a:xfrm>
                            <a:off x="0" y="0"/>
                            <a:ext cx="4478655" cy="2343785"/>
                          </a:xfrm>
                          <a:prstGeom prst="rect">
                            <a:avLst/>
                          </a:prstGeom>
                        </pic:spPr>
                      </pic:pic>
                    </a:graphicData>
                  </a:graphic>
                </wp:inline>
              </w:drawing>
            </w:r>
          </w:p>
        </w:tc>
      </w:tr>
      <w:tr>
        <w:trPr>
          <w:trHeight w:val="839"/>
        </w:trPr>
        <w:tc>
          <w:tcPr>
            <w:cnfStyle w:val="001000100000"/>
            <w:tcW w:w="3124" w:type="dxa"/>
          </w:tcPr>
          <w:p>
            <w:pPr>
              <w:rPr>
                <w:rFonts w:cstheme="minorHAnsi"/>
                <w:i/>
                <w:iCs/>
                <w:sz w:val="20"/>
                <w:szCs w:val="20"/>
              </w:rPr>
            </w:pPr>
            <w:r>
              <w:rPr>
                <w:rFonts w:cstheme="minorHAnsi"/>
                <w:i/>
                <w:iCs/>
                <w:sz w:val="20"/>
                <w:szCs w:val="20"/>
              </w:rPr>
              <w:t>devmgmt</w:t>
            </w:r>
          </w:p>
        </w:tc>
        <w:tc>
          <w:tcPr>
            <w:cnfStyle w:val="000000100000"/>
            <w:tcW w:w="3124"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inherit"/>
                <w:color w:val="000000"/>
                <w:sz w:val="42"/>
                <w:lang w:val="en-US"/>
              </w:rPr>
            </w:pPr>
            <w:r>
              <w:rPr>
                <w:rFonts w:asciiTheme="minorAscii" w:cstheme="minorAscii" w:eastAsiaTheme="minorAscii" w:hAnsiTheme="minorAscii"/>
                <w:color w:val="000000"/>
                <w:sz w:val="20"/>
                <w:szCs w:val="20"/>
                <w:rtl w:val="off"/>
                <w:lang w:val="en-US"/>
              </w:rPr>
              <w:t>Device Manager este o componentă a sistemului de operare Microsoft Windows.</w:t>
            </w:r>
            <w:r>
              <w:rPr>
                <w:rFonts w:ascii="inherit"/>
                <w:color w:val="000000"/>
                <w:sz w:val="42"/>
                <w:rtl w:val="off"/>
                <w:lang w:val="en-US"/>
              </w:rPr>
              <w:t xml:space="preserve"> </w:t>
            </w:r>
            <w:r>
              <w:rPr>
                <w:rFonts w:asciiTheme="minorAscii" w:cstheme="minorAscii" w:eastAsiaTheme="minorAscii" w:hAnsiTheme="minorAscii"/>
                <w:color w:val="000000"/>
                <w:sz w:val="20"/>
                <w:szCs w:val="20"/>
                <w:rtl w:val="off"/>
                <w:lang w:val="en-US"/>
              </w:rPr>
              <w:t xml:space="preserve">Permite utilizatorilor să vizualizeze și să controleze hardware-ul atașat la computer. Atunci când o </w:t>
            </w:r>
            <w:r>
              <w:rPr>
                <w:rFonts w:asciiTheme="minorAscii" w:cstheme="minorAscii" w:eastAsiaTheme="minorAscii" w:hAnsiTheme="minorAscii"/>
                <w:color w:val="000000"/>
                <w:sz w:val="20"/>
                <w:szCs w:val="20"/>
                <w:rtl w:val="off"/>
                <w:lang w:val="en-US"/>
              </w:rPr>
              <w:t>componentă hardware nu funcționează, hardware-ul ofensat</w:t>
            </w:r>
            <w:r>
              <w:rPr>
                <w:rFonts w:asciiTheme="minorAscii" w:cstheme="minorAscii" w:eastAsiaTheme="minorAscii" w:hAnsiTheme="minorAscii"/>
                <w:color w:val="000000"/>
                <w:sz w:val="20"/>
                <w:szCs w:val="20"/>
                <w:rtl w:val="off"/>
                <w:lang w:val="en-US"/>
              </w:rPr>
              <w:t xml:space="preserve">or este evidențiat pentru ca </w:t>
            </w:r>
            <w:r>
              <w:rPr>
                <w:rFonts w:asciiTheme="minorAscii" w:cstheme="minorAscii" w:eastAsiaTheme="minorAscii" w:hAnsiTheme="minorAscii"/>
                <w:color w:val="000000"/>
                <w:sz w:val="20"/>
                <w:szCs w:val="20"/>
                <w:rtl w:val="off"/>
                <w:lang w:val="en-US"/>
              </w:rPr>
              <w:t xml:space="preserve">utilizatorul să se ocupe de acesta. </w:t>
            </w:r>
          </w:p>
          <w:p>
            <w:pPr>
              <w:rPr>
                <w:rFonts w:cstheme="minorHAnsi"/>
                <w:sz w:val="20"/>
                <w:szCs w:val="20"/>
              </w:rPr>
            </w:pPr>
          </w:p>
        </w:tc>
        <w:tc>
          <w:tcPr>
            <w:cnfStyle w:val="000000100000"/>
            <w:tcW w:w="3127" w:type="dxa"/>
          </w:tcPr>
          <w:p>
            <w:pPr>
              <w:rPr>
                <w:rFonts w:cstheme="minorHAnsi"/>
                <w:sz w:val="20"/>
                <w:szCs w:val="20"/>
              </w:rPr>
            </w:pPr>
            <w:r>
              <w:rPr>
                <w:rFonts w:cstheme="minorHAnsi"/>
                <w:sz w:val="20"/>
                <w:szCs w:val="20"/>
              </w:rPr>
              <w:drawing xmlns:mc="http://schemas.openxmlformats.org/markup-compatibility/2006">
                <wp:inline distT="0" distB="0" distL="0" distR="0">
                  <wp:extent cx="4498975" cy="239204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Grp="0" noSelect="0" noChangeAspect="1" noMove="0"/>
                          </pic:cNvPicPr>
                        </pic:nvPicPr>
                        <pic:blipFill>
                          <a:blip r:embed="rId36"/>
                          <a:srcRect/>
                          <a:stretch>
                            <a:fillRect/>
                          </a:stretch>
                        </pic:blipFill>
                        <pic:spPr>
                          <a:xfrm>
                            <a:off x="0" y="0"/>
                            <a:ext cx="4498975" cy="2392045"/>
                          </a:xfrm>
                          <a:prstGeom prst="rect">
                            <a:avLst/>
                          </a:prstGeom>
                        </pic:spPr>
                      </pic:pic>
                    </a:graphicData>
                  </a:graphic>
                </wp:inline>
              </w:drawing>
            </w:r>
          </w:p>
        </w:tc>
      </w:tr>
    </w:tbl>
    <w:p>
      <w:pPr>
        <w:rPr>
          <w:rFonts w:cstheme="minorHAnsi"/>
          <w:sz w:val="20"/>
          <w:szCs w:val="20"/>
        </w:rPr>
      </w:pPr>
    </w:p>
    <w:p>
      <w:pPr>
        <w:pStyle w:val="ListParagraph"/>
        <w:numPr>
          <w:ilvl w:val="0"/>
          <w:numId w:val="7"/>
        </w:numPr>
        <w:rPr>
          <w:rFonts w:cstheme="minorHAnsi"/>
          <w:sz w:val="20"/>
          <w:szCs w:val="20"/>
        </w:rPr>
      </w:pPr>
    </w:p>
    <w:tbl>
      <w:tblPr>
        <w:tblStyle w:val="TableGrid"/>
        <w:tblW w:w="9389" w:type="dxa"/>
        <w:tblLook w:val="04A0"/>
      </w:tblPr>
      <w:tblGrid>
        <w:gridCol w:w="1223"/>
        <w:gridCol w:w="1782"/>
        <w:gridCol w:w="6384"/>
      </w:tblGrid>
      <w:tr>
        <w:trPr>
          <w:trHeight w:val="1420"/>
        </w:trPr>
        <w:tc>
          <w:tcPr>
            <w:cnfStyle w:val="101000000000"/>
            <w:tcW w:w="3129" w:type="dxa"/>
          </w:tcPr>
          <w:p>
            <w:pPr>
              <w:rPr>
                <w:rFonts w:cstheme="minorHAnsi"/>
                <w:sz w:val="20"/>
                <w:szCs w:val="20"/>
              </w:rPr>
            </w:pPr>
            <w:r>
              <w:rPr>
                <w:rFonts w:cstheme="minorHAnsi"/>
                <w:sz w:val="20"/>
                <w:szCs w:val="20"/>
              </w:rPr>
              <w:t>Linia</w:t>
            </w:r>
            <w:r>
              <w:rPr>
                <w:rFonts w:cstheme="minorHAnsi"/>
                <w:sz w:val="20"/>
                <w:szCs w:val="20"/>
              </w:rPr>
              <w:t xml:space="preserve"> de </w:t>
            </w:r>
            <w:r>
              <w:rPr>
                <w:rFonts w:cstheme="minorHAnsi"/>
                <w:sz w:val="20"/>
                <w:szCs w:val="20"/>
              </w:rPr>
              <w:t>comandă</w:t>
            </w:r>
          </w:p>
        </w:tc>
        <w:tc>
          <w:tcPr>
            <w:cnfStyle w:val="100000000000"/>
            <w:tcW w:w="3129" w:type="dxa"/>
          </w:tcPr>
          <w:p>
            <w:pPr>
              <w:rPr>
                <w:rFonts w:cstheme="minorHAnsi"/>
                <w:sz w:val="20"/>
                <w:szCs w:val="20"/>
              </w:rPr>
            </w:pPr>
            <w:r>
              <w:rPr>
                <w:rFonts w:cstheme="minorHAnsi"/>
                <w:sz w:val="20"/>
                <w:szCs w:val="20"/>
              </w:rPr>
              <w:t>Descrierea</w:t>
            </w:r>
            <w:r>
              <w:rPr>
                <w:rFonts w:cstheme="minorHAnsi"/>
                <w:sz w:val="20"/>
                <w:szCs w:val="20"/>
              </w:rPr>
              <w:t xml:space="preserve"> </w:t>
            </w:r>
            <w:r>
              <w:rPr>
                <w:rFonts w:cstheme="minorHAnsi"/>
                <w:sz w:val="20"/>
                <w:szCs w:val="20"/>
              </w:rPr>
              <w:t>rolului</w:t>
            </w:r>
            <w:r>
              <w:rPr>
                <w:rFonts w:cstheme="minorHAnsi"/>
                <w:sz w:val="20"/>
                <w:szCs w:val="20"/>
              </w:rPr>
              <w:t xml:space="preserve"> </w:t>
            </w:r>
            <w:r>
              <w:rPr>
                <w:rFonts w:cstheme="minorHAnsi"/>
                <w:sz w:val="20"/>
                <w:szCs w:val="20"/>
              </w:rPr>
              <w:t>comenzii</w:t>
            </w:r>
          </w:p>
        </w:tc>
        <w:tc>
          <w:tcPr>
            <w:cnfStyle w:val="100000000000"/>
            <w:tcW w:w="3131" w:type="dxa"/>
          </w:tcPr>
          <w:p>
            <w:pPr>
              <w:rPr>
                <w:rFonts w:cstheme="minorHAnsi"/>
                <w:sz w:val="20"/>
                <w:szCs w:val="20"/>
              </w:rPr>
            </w:pPr>
            <w:r>
              <w:rPr>
                <w:rFonts w:cstheme="minorHAnsi"/>
                <w:sz w:val="20"/>
                <w:szCs w:val="20"/>
              </w:rPr>
              <w:t>Captură</w:t>
            </w:r>
            <w:r>
              <w:rPr>
                <w:rFonts w:cstheme="minorHAnsi"/>
                <w:sz w:val="20"/>
                <w:szCs w:val="20"/>
              </w:rPr>
              <w:t xml:space="preserve"> de </w:t>
            </w:r>
            <w:r>
              <w:rPr>
                <w:rFonts w:cstheme="minorHAnsi"/>
                <w:sz w:val="20"/>
                <w:szCs w:val="20"/>
              </w:rPr>
              <w:t>ecran</w:t>
            </w:r>
            <w:r>
              <w:rPr>
                <w:rFonts w:cstheme="minorHAnsi"/>
                <w:sz w:val="20"/>
                <w:szCs w:val="20"/>
              </w:rPr>
              <w:t xml:space="preserve"> (</w:t>
            </w:r>
            <w:r>
              <w:rPr>
                <w:rFonts w:cstheme="minorHAnsi"/>
                <w:sz w:val="20"/>
                <w:szCs w:val="20"/>
              </w:rPr>
              <w:t>informaţii</w:t>
            </w:r>
            <w:r>
              <w:rPr>
                <w:rFonts w:cstheme="minorHAnsi"/>
                <w:sz w:val="20"/>
                <w:szCs w:val="20"/>
              </w:rPr>
              <w:t xml:space="preserve"> </w:t>
            </w:r>
            <w:r>
              <w:rPr>
                <w:rFonts w:cstheme="minorHAnsi"/>
                <w:sz w:val="20"/>
                <w:szCs w:val="20"/>
              </w:rPr>
              <w:t>returnate</w:t>
            </w:r>
            <w:r>
              <w:rPr>
                <w:rFonts w:cstheme="minorHAnsi"/>
                <w:sz w:val="20"/>
                <w:szCs w:val="20"/>
              </w:rPr>
              <w:t>)</w:t>
            </w:r>
          </w:p>
        </w:tc>
      </w:tr>
      <w:tr>
        <w:trPr>
          <w:trHeight w:val="692"/>
        </w:trPr>
        <w:tc>
          <w:tcPr>
            <w:cnfStyle w:val="001000100000"/>
            <w:tcW w:w="3129" w:type="dxa"/>
          </w:tcPr>
          <w:p>
            <w:pPr>
              <w:rPr>
                <w:rFonts w:cstheme="minorHAnsi"/>
                <w:i/>
                <w:iCs/>
                <w:sz w:val="20"/>
                <w:szCs w:val="20"/>
              </w:rPr>
            </w:pPr>
            <w:r>
              <w:rPr>
                <w:rFonts w:cstheme="minorHAnsi"/>
                <w:i/>
                <w:iCs/>
                <w:sz w:val="20"/>
                <w:szCs w:val="20"/>
              </w:rPr>
              <w:t>Chkdsk</w:t>
            </w:r>
          </w:p>
        </w:tc>
        <w:tc>
          <w:tcPr>
            <w:cnfStyle w:val="000000100000"/>
            <w:tcW w:w="3129"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r>
              <w:rPr>
                <w:rFonts w:asciiTheme="minorAscii" w:cstheme="minorAscii" w:eastAsiaTheme="minorAscii" w:hAnsiTheme="minorAscii"/>
                <w:color w:val="000000"/>
                <w:sz w:val="20"/>
                <w:szCs w:val="20"/>
                <w:rtl w:val="off"/>
                <w:lang w:val="en-US"/>
              </w:rPr>
              <w:t>CHKDSK este un utilitar Windows care poate verifica integritatea hard disk-ului și poate remedia diverse erori ale sistemului de fișiere.</w:t>
            </w:r>
          </w:p>
          <w:p>
            <w:pPr>
              <w:rPr>
                <w:rFonts w:cstheme="minorHAnsi"/>
                <w:sz w:val="20"/>
                <w:szCs w:val="20"/>
              </w:rPr>
            </w:pPr>
          </w:p>
        </w:tc>
        <w:tc>
          <w:tcPr>
            <w:cnfStyle w:val="000000100000"/>
            <w:tcW w:w="3131" w:type="dxa"/>
          </w:tcPr>
          <w:p>
            <w:pPr>
              <w:rPr>
                <w:rFonts w:cstheme="minorHAnsi"/>
                <w:sz w:val="20"/>
                <w:szCs w:val="20"/>
              </w:rPr>
            </w:pPr>
            <w:r>
              <w:rPr>
                <w:rFonts w:cstheme="minorHAnsi"/>
                <w:sz w:val="20"/>
                <w:szCs w:val="20"/>
              </w:rPr>
              <w:drawing xmlns:mc="http://schemas.openxmlformats.org/markup-compatibility/2006">
                <wp:inline distT="0" distB="0" distL="0" distR="0">
                  <wp:extent cx="4079240" cy="314325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Grp="0" noSelect="0" noChangeAspect="1" noMove="0"/>
                          </pic:cNvPicPr>
                        </pic:nvPicPr>
                        <pic:blipFill>
                          <a:blip r:embed="rId37"/>
                          <a:srcRect/>
                          <a:stretch>
                            <a:fillRect/>
                          </a:stretch>
                        </pic:blipFill>
                        <pic:spPr>
                          <a:xfrm>
                            <a:off x="0" y="0"/>
                            <a:ext cx="4079240" cy="3143250"/>
                          </a:xfrm>
                          <a:prstGeom prst="rect">
                            <a:avLst/>
                          </a:prstGeom>
                        </pic:spPr>
                      </pic:pic>
                    </a:graphicData>
                  </a:graphic>
                </wp:inline>
              </w:drawing>
            </w:r>
          </w:p>
        </w:tc>
      </w:tr>
      <w:tr>
        <w:trPr>
          <w:trHeight w:val="692"/>
        </w:trPr>
        <w:tc>
          <w:tcPr>
            <w:cnfStyle w:val="001000010000"/>
            <w:tcW w:w="3129" w:type="dxa"/>
          </w:tcPr>
          <w:p>
            <w:pPr>
              <w:rPr>
                <w:rFonts w:cstheme="minorHAnsi"/>
                <w:i/>
                <w:iCs/>
                <w:sz w:val="20"/>
                <w:szCs w:val="20"/>
              </w:rPr>
            </w:pPr>
            <w:r>
              <w:rPr>
                <w:rFonts w:cstheme="minorHAnsi"/>
                <w:i/>
                <w:iCs/>
                <w:sz w:val="20"/>
                <w:szCs w:val="20"/>
              </w:rPr>
              <w:t>Defrag</w:t>
            </w:r>
          </w:p>
        </w:tc>
        <w:tc>
          <w:tcPr>
            <w:cnfStyle w:val="000000010000"/>
            <w:tcW w:w="3129"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val="off"/>
                <w:bCs w:val="off"/>
                <w:color w:val="000000"/>
                <w:sz w:val="20"/>
                <w:szCs w:val="20"/>
                <w:lang w:val="en-US"/>
              </w:rPr>
            </w:pPr>
            <w:r>
              <w:rPr>
                <w:rFonts w:asciiTheme="minorAscii" w:cstheme="minorAscii" w:eastAsiaTheme="minorAscii" w:hAnsiTheme="minorAscii"/>
                <w:b w:val="off"/>
                <w:bCs w:val="off"/>
                <w:color w:val="000000"/>
                <w:sz w:val="20"/>
                <w:szCs w:val="20"/>
                <w:lang w:val="en-US"/>
              </w:rPr>
              <w:t>Aceasta comanda ne ofera posibilitatea de a defragmenta un anumit disc.Odata executata vom primi un raport. Acest raport include informatii de dinainte si dupa ce a rulat procesul de optimizare.Include lucruri precum dimensiunea volumului, spatiului liber, spatiu total fragmentat si spatiul liber continuu cu cea mai mare dimensiune.</w:t>
            </w:r>
          </w:p>
          <w:p>
            <w:pPr>
              <w:rPr>
                <w:rFonts w:cstheme="minorHAnsi"/>
                <w:sz w:val="20"/>
                <w:szCs w:val="20"/>
              </w:rPr>
            </w:pPr>
          </w:p>
        </w:tc>
        <w:tc>
          <w:tcPr>
            <w:cnfStyle w:val="000000010000"/>
            <w:tcW w:w="3131" w:type="dxa"/>
          </w:tcPr>
          <w:p>
            <w:pPr>
              <w:ind w:right="-1140"/>
              <w:rPr>
                <w:rFonts w:cstheme="minorHAnsi"/>
                <w:sz w:val="20"/>
                <w:szCs w:val="20"/>
              </w:rPr>
            </w:pPr>
            <w:r>
              <w:rPr>
                <w:rFonts w:cstheme="minorHAnsi"/>
                <w:sz w:val="20"/>
                <w:szCs w:val="20"/>
              </w:rPr>
              <w:drawing xmlns:mc="http://schemas.openxmlformats.org/markup-compatibility/2006">
                <wp:inline distT="0" distB="0" distL="0" distR="0">
                  <wp:extent cx="4113530" cy="1594485"/>
                  <wp:effectExtent l="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Grp="0" noSelect="0" noChangeAspect="1" noMove="0"/>
                          </pic:cNvPicPr>
                        </pic:nvPicPr>
                        <pic:blipFill>
                          <a:blip r:embed="rId38"/>
                          <a:srcRect/>
                          <a:stretch>
                            <a:fillRect/>
                          </a:stretch>
                        </pic:blipFill>
                        <pic:spPr>
                          <a:xfrm>
                            <a:off x="0" y="0"/>
                            <a:ext cx="4113530" cy="1594485"/>
                          </a:xfrm>
                          <a:prstGeom prst="rect">
                            <a:avLst/>
                          </a:prstGeom>
                        </pic:spPr>
                      </pic:pic>
                    </a:graphicData>
                  </a:graphic>
                </wp:inline>
              </w:drawing>
            </w:r>
          </w:p>
        </w:tc>
      </w:tr>
      <w:tr>
        <w:trPr>
          <w:trHeight w:val="692"/>
        </w:trPr>
        <w:tc>
          <w:tcPr>
            <w:cnfStyle w:val="001000100000"/>
            <w:tcW w:w="3129" w:type="dxa"/>
          </w:tcPr>
          <w:p>
            <w:pPr>
              <w:rPr>
                <w:rFonts w:cstheme="minorHAnsi"/>
                <w:i/>
                <w:iCs/>
                <w:sz w:val="20"/>
                <w:szCs w:val="20"/>
              </w:rPr>
            </w:pPr>
            <w:r>
              <w:rPr>
                <w:rFonts w:cstheme="minorHAnsi"/>
                <w:i/>
                <w:iCs/>
                <w:sz w:val="20"/>
                <w:szCs w:val="20"/>
              </w:rPr>
              <w:t>Fdisk</w:t>
            </w:r>
          </w:p>
        </w:tc>
        <w:tc>
          <w:tcPr>
            <w:cnfStyle w:val="000000100000"/>
            <w:tcW w:w="3129"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inherit"/>
                <w:color w:val="000000"/>
                <w:sz w:val="42"/>
                <w:lang w:val="en-US"/>
              </w:rPr>
            </w:pPr>
            <w:r>
              <w:rPr>
                <w:rFonts w:asciiTheme="minorAscii" w:cstheme="minorAscii" w:eastAsiaTheme="minorAscii" w:hAnsiTheme="minorAscii"/>
                <w:color w:val="000000"/>
                <w:sz w:val="20"/>
                <w:szCs w:val="20"/>
                <w:rtl w:val="off"/>
                <w:lang w:val="en-US"/>
              </w:rPr>
              <w:t xml:space="preserve">În calcul, utilitarul de linie de comandă fdisk oferă funcții de partiționare a discului, pregătitoare pentru definirea sistemelor de fișiere. </w:t>
            </w:r>
          </w:p>
          <w:p>
            <w:pPr>
              <w:rPr>
                <w:rFonts w:cstheme="minorHAnsi"/>
                <w:sz w:val="20"/>
                <w:szCs w:val="20"/>
              </w:rPr>
            </w:pPr>
          </w:p>
        </w:tc>
        <w:tc>
          <w:tcPr>
            <w:cnfStyle w:val="000000100000"/>
            <w:tcW w:w="3131" w:type="dxa"/>
          </w:tcPr>
          <w:p>
            <w:pPr>
              <w:rPr>
                <w:rFonts w:cstheme="minorHAnsi"/>
                <w:sz w:val="20"/>
                <w:szCs w:val="20"/>
              </w:rPr>
            </w:pPr>
            <w:r>
              <w:rPr>
                <w:rFonts w:cstheme="minorHAnsi"/>
                <w:sz w:val="20"/>
                <w:szCs w:val="20"/>
              </w:rPr>
              <w:drawing xmlns:mc="http://schemas.openxmlformats.org/markup-compatibility/2006">
                <wp:inline distT="0" distB="0" distL="0" distR="0">
                  <wp:extent cx="4131945" cy="2729230"/>
                  <wp:effectExtent l="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Grp="0" noSelect="0" noChangeAspect="1" noMove="0"/>
                          </pic:cNvPicPr>
                        </pic:nvPicPr>
                        <pic:blipFill>
                          <a:blip r:embed="rId39"/>
                          <a:srcRect/>
                          <a:stretch>
                            <a:fillRect/>
                          </a:stretch>
                        </pic:blipFill>
                        <pic:spPr>
                          <a:xfrm>
                            <a:off x="0" y="0"/>
                            <a:ext cx="4131945" cy="2729230"/>
                          </a:xfrm>
                          <a:prstGeom prst="rect">
                            <a:avLst/>
                          </a:prstGeom>
                        </pic:spPr>
                      </pic:pic>
                    </a:graphicData>
                  </a:graphic>
                </wp:inline>
              </w:drawing>
            </w:r>
          </w:p>
        </w:tc>
      </w:tr>
      <w:tr>
        <w:trPr>
          <w:trHeight w:val="692"/>
        </w:trPr>
        <w:tc>
          <w:tcPr>
            <w:cnfStyle w:val="001000010000"/>
            <w:tcW w:w="3129" w:type="dxa"/>
          </w:tcPr>
          <w:p>
            <w:pPr>
              <w:rPr>
                <w:rFonts w:cstheme="minorHAnsi"/>
                <w:i/>
                <w:iCs/>
                <w:sz w:val="20"/>
                <w:szCs w:val="20"/>
              </w:rPr>
            </w:pPr>
            <w:r>
              <w:rPr>
                <w:rFonts w:cstheme="minorHAnsi"/>
                <w:i/>
                <w:iCs/>
                <w:sz w:val="20"/>
                <w:szCs w:val="20"/>
              </w:rPr>
              <w:t>DiskPart</w:t>
            </w:r>
          </w:p>
        </w:tc>
        <w:tc>
          <w:tcPr>
            <w:cnfStyle w:val="000000010000"/>
            <w:tcW w:w="3129"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inherit"/>
                <w:color w:val="000000"/>
                <w:sz w:val="42"/>
                <w:lang w:val="en-US"/>
              </w:rPr>
            </w:pPr>
            <w:r>
              <w:rPr>
                <w:rFonts w:asciiTheme="minorAscii" w:cstheme="minorAscii" w:eastAsiaTheme="minorAscii" w:hAnsiTheme="minorAscii"/>
                <w:color w:val="000000"/>
                <w:sz w:val="20"/>
                <w:szCs w:val="20"/>
                <w:lang w:val="en-US"/>
              </w:rPr>
              <w:t>Putem folosii utilitarul Diskpart.exe pt a gestiona discuri,partitii si volume dintr-o interfata de linie de comanda.Diskpart.exe poate fi utilizat atat cu discuri simple,cat si cu discuri dinamice.Daca un volum NTFS se afla intr-un container hardware RAID 5 care are capaciatatea de a adauga spatiu la container , avem posibilitatea sa extindem volumul  NTFS cu Diskpart.exe, in timpul ce discul ramane un disc de baza.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inherit"/>
                <w:color w:val="000000"/>
                <w:sz w:val="42"/>
                <w:lang w:val="en-US"/>
              </w:rPr>
            </w:pPr>
          </w:p>
          <w:p>
            <w:pPr>
              <w:rPr>
                <w:rFonts w:cstheme="minorHAnsi"/>
                <w:sz w:val="20"/>
                <w:szCs w:val="20"/>
              </w:rPr>
            </w:pPr>
          </w:p>
        </w:tc>
        <w:tc>
          <w:tcPr>
            <w:cnfStyle w:val="000000010000"/>
            <w:tcW w:w="3131" w:type="dxa"/>
          </w:tcPr>
          <w:p>
            <w:pPr>
              <w:rPr>
                <w:rFonts w:cstheme="minorHAnsi"/>
                <w:sz w:val="20"/>
                <w:szCs w:val="20"/>
              </w:rPr>
            </w:pPr>
            <w:r>
              <w:rPr>
                <w:rFonts w:cstheme="minorHAnsi"/>
                <w:sz w:val="20"/>
                <w:szCs w:val="20"/>
              </w:rPr>
              <w:drawing xmlns:mc="http://schemas.openxmlformats.org/markup-compatibility/2006">
                <wp:inline distT="0" distB="0" distL="0" distR="0">
                  <wp:extent cx="4327525" cy="1772920"/>
                  <wp:effectExtent l="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Grp="0" noSelect="0" noChangeAspect="1" noMove="0"/>
                          </pic:cNvPicPr>
                        </pic:nvPicPr>
                        <pic:blipFill>
                          <a:blip r:embed="rId40"/>
                          <a:srcRect/>
                          <a:stretch>
                            <a:fillRect/>
                          </a:stretch>
                        </pic:blipFill>
                        <pic:spPr>
                          <a:xfrm>
                            <a:off x="0" y="0"/>
                            <a:ext cx="4327525" cy="1772920"/>
                          </a:xfrm>
                          <a:prstGeom prst="rect">
                            <a:avLst/>
                          </a:prstGeom>
                        </pic:spPr>
                      </pic:pic>
                    </a:graphicData>
                  </a:graphic>
                </wp:inline>
              </w:drawing>
            </w:r>
          </w:p>
        </w:tc>
      </w:tr>
      <w:tr>
        <w:trPr>
          <w:trHeight w:val="692"/>
        </w:trPr>
        <w:tc>
          <w:tcPr>
            <w:cnfStyle w:val="001000100000"/>
            <w:tcW w:w="3129" w:type="dxa"/>
          </w:tcPr>
          <w:p>
            <w:pPr>
              <w:rPr>
                <w:rFonts w:cstheme="minorHAnsi"/>
                <w:i/>
                <w:iCs/>
                <w:sz w:val="20"/>
                <w:szCs w:val="20"/>
              </w:rPr>
            </w:pPr>
            <w:r>
              <w:rPr>
                <w:rFonts w:cstheme="minorHAnsi"/>
                <w:i/>
                <w:iCs/>
                <w:sz w:val="20"/>
                <w:szCs w:val="20"/>
              </w:rPr>
              <w:t>Wmic</w:t>
            </w:r>
          </w:p>
        </w:tc>
        <w:tc>
          <w:tcPr>
            <w:cnfStyle w:val="000000100000"/>
            <w:tcW w:w="3129" w:type="dxa"/>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r>
              <w:rPr>
                <w:rFonts w:asciiTheme="minorAscii" w:cstheme="minorAscii" w:eastAsiaTheme="minorAscii" w:hAnsiTheme="minorAscii"/>
                <w:color w:val="000000"/>
                <w:sz w:val="20"/>
                <w:szCs w:val="20"/>
                <w:rtl w:val="off"/>
                <w:lang w:val="en-US"/>
              </w:rPr>
              <w:t xml:space="preserve">Utilitarul de linie de comandă WMI (WMIC) oferă o interfață de linie de comandă pentru Windows Management </w:t>
            </w:r>
            <w:r>
              <w:rPr>
                <w:rFonts w:asciiTheme="minorAscii" w:cstheme="minorAscii" w:eastAsiaTheme="minorAscii" w:hAnsiTheme="minorAscii"/>
                <w:color w:val="000000"/>
                <w:sz w:val="20"/>
                <w:szCs w:val="20"/>
                <w:rtl w:val="off"/>
                <w:lang w:val="en-US"/>
              </w:rPr>
              <w:t xml:space="preserve">Instrumentation (WMI). WMIC este compatibil cu shell-urile și comenzile de utilitate existente. </w:t>
            </w:r>
          </w:p>
          <w:p>
            <w:pPr>
              <w:rPr>
                <w:rFonts w:cstheme="minorHAnsi"/>
                <w:sz w:val="20"/>
                <w:szCs w:val="20"/>
              </w:rPr>
            </w:pPr>
          </w:p>
        </w:tc>
        <w:tc>
          <w:tcPr>
            <w:cnfStyle w:val="000000100000"/>
            <w:tcW w:w="3131" w:type="dxa"/>
          </w:tcPr>
          <w:p>
            <w:pPr>
              <w:rPr>
                <w:rFonts w:cstheme="minorHAnsi"/>
                <w:sz w:val="20"/>
                <w:szCs w:val="20"/>
              </w:rPr>
            </w:pPr>
            <w:r>
              <w:rPr>
                <w:rFonts w:cstheme="minorHAnsi"/>
                <w:sz w:val="20"/>
                <w:szCs w:val="20"/>
              </w:rPr>
              <w:drawing xmlns:mc="http://schemas.openxmlformats.org/markup-compatibility/2006">
                <wp:inline distT="0" distB="0" distL="0" distR="0">
                  <wp:extent cx="4481830" cy="551815"/>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Grp="0" noSelect="0" noChangeAspect="1" noMove="0"/>
                          </pic:cNvPicPr>
                        </pic:nvPicPr>
                        <pic:blipFill>
                          <a:blip r:embed="rId41"/>
                          <a:srcRect/>
                          <a:stretch>
                            <a:fillRect/>
                          </a:stretch>
                        </pic:blipFill>
                        <pic:spPr>
                          <a:xfrm>
                            <a:off x="0" y="0"/>
                            <a:ext cx="4481830" cy="551815"/>
                          </a:xfrm>
                          <a:prstGeom prst="rect">
                            <a:avLst/>
                          </a:prstGeom>
                        </pic:spPr>
                      </pic:pic>
                    </a:graphicData>
                  </a:graphic>
                </wp:inline>
              </w:drawing>
            </w:r>
          </w:p>
        </w:tc>
      </w:tr>
    </w:tbl>
    <w:p>
      <w:pPr>
        <w:rPr>
          <w:rFonts w:cstheme="minorHAnsi"/>
          <w:sz w:val="20"/>
          <w:szCs w:val="20"/>
        </w:rPr>
      </w:pPr>
    </w:p>
    <w:p>
      <w:pPr>
        <w:rPr>
          <w:rFonts w:cstheme="minorHAnsi"/>
          <w:sz w:val="20"/>
          <w:szCs w:val="20"/>
        </w:rPr>
      </w:pPr>
    </w:p>
    <w:p>
      <w:pPr>
        <w:rPr>
          <w:rFonts w:cstheme="minorHAnsi"/>
          <w:sz w:val="20"/>
          <w:szCs w:val="20"/>
        </w:rPr>
      </w:pPr>
    </w:p>
    <w:p>
      <w:pPr>
        <w:rPr>
          <w:rFonts w:cstheme="minorHAnsi"/>
          <w:sz w:val="20"/>
          <w:szCs w:val="20"/>
        </w:rPr>
      </w:pPr>
    </w:p>
    <w:p>
      <w:pPr>
        <w:rPr>
          <w:rFonts w:cstheme="minorHAnsi"/>
          <w:sz w:val="20"/>
          <w:szCs w:val="20"/>
        </w:rPr>
      </w:pPr>
    </w:p>
    <w:p>
      <w:pPr>
        <w:rPr>
          <w:rFonts w:cstheme="minorHAnsi"/>
          <w:sz w:val="20"/>
          <w:szCs w:val="20"/>
        </w:rPr>
      </w:pPr>
    </w:p>
    <w:p>
      <w:pPr>
        <w:rPr>
          <w:rFonts w:cstheme="minorHAnsi"/>
          <w:sz w:val="20"/>
          <w:szCs w:val="20"/>
        </w:rPr>
      </w:pPr>
    </w:p>
    <w:p>
      <w:pPr>
        <w:pStyle w:val="ListParagraph"/>
        <w:numPr>
          <w:ilvl w:val="0"/>
          <w:numId w:val="5"/>
        </w:numPr>
        <w:rPr>
          <w:rFonts w:cstheme="minorHAnsi"/>
          <w:sz w:val="20"/>
          <w:szCs w:val="20"/>
        </w:rPr>
      </w:pPr>
    </w:p>
    <w:p>
      <w:pPr>
        <w:pStyle w:val="ListParagraph"/>
        <w:numPr>
          <w:ilvl w:val="0"/>
          <w:numId w:val="8"/>
        </w:numPr>
        <w:rPr>
          <w:rFonts w:cstheme="minorHAnsi"/>
          <w:sz w:val="20"/>
          <w:szCs w:val="20"/>
        </w:rPr>
      </w:pPr>
      <w:r>
        <w:rPr>
          <w:rFonts w:cstheme="minorHAnsi"/>
          <w:sz w:val="20"/>
          <w:szCs w:val="20"/>
        </w:rPr>
        <w:t>Denumiți</w:t>
      </w:r>
      <w:r>
        <w:rPr>
          <w:rFonts w:cstheme="minorHAnsi"/>
          <w:sz w:val="20"/>
          <w:szCs w:val="20"/>
        </w:rPr>
        <w:t xml:space="preserve"> </w:t>
      </w:r>
      <w:r>
        <w:rPr>
          <w:rFonts w:cstheme="minorHAnsi"/>
          <w:sz w:val="20"/>
          <w:szCs w:val="20"/>
        </w:rPr>
        <w:t>componenta</w:t>
      </w:r>
      <w:r>
        <w:rPr>
          <w:rFonts w:cstheme="minorHAnsi"/>
          <w:sz w:val="20"/>
          <w:szCs w:val="20"/>
        </w:rPr>
        <w:t xml:space="preserve"> hardware </w:t>
      </w:r>
      <w:r>
        <w:rPr>
          <w:rFonts w:cstheme="minorHAnsi"/>
          <w:sz w:val="20"/>
          <w:szCs w:val="20"/>
        </w:rPr>
        <w:t>conectată</w:t>
      </w:r>
      <w:r>
        <w:rPr>
          <w:rFonts w:cstheme="minorHAnsi"/>
          <w:sz w:val="20"/>
          <w:szCs w:val="20"/>
        </w:rPr>
        <w:t xml:space="preserve"> la </w:t>
      </w:r>
      <w:r>
        <w:rPr>
          <w:rFonts w:cstheme="minorHAnsi"/>
          <w:sz w:val="20"/>
          <w:szCs w:val="20"/>
        </w:rPr>
        <w:t>placa</w:t>
      </w:r>
      <w:r>
        <w:rPr>
          <w:rFonts w:cstheme="minorHAnsi"/>
          <w:sz w:val="20"/>
          <w:szCs w:val="20"/>
        </w:rPr>
        <w:t xml:space="preserve"> de </w:t>
      </w:r>
      <w:r>
        <w:rPr>
          <w:rFonts w:cstheme="minorHAnsi"/>
          <w:sz w:val="20"/>
          <w:szCs w:val="20"/>
        </w:rPr>
        <w:t>bază</w:t>
      </w:r>
      <w:r>
        <w:rPr>
          <w:rFonts w:cstheme="minorHAnsi"/>
          <w:sz w:val="20"/>
          <w:szCs w:val="20"/>
        </w:rPr>
        <w:t xml:space="preserve"> </w:t>
      </w:r>
      <w:r>
        <w:rPr>
          <w:rFonts w:cstheme="minorHAnsi"/>
          <w:sz w:val="20"/>
          <w:szCs w:val="20"/>
        </w:rPr>
        <w:t>prin</w:t>
      </w:r>
      <w:r>
        <w:rPr>
          <w:rFonts w:cstheme="minorHAnsi"/>
          <w:sz w:val="20"/>
          <w:szCs w:val="20"/>
        </w:rPr>
        <w:t xml:space="preserve"> </w:t>
      </w:r>
      <w:r>
        <w:rPr>
          <w:rFonts w:cstheme="minorHAnsi"/>
          <w:sz w:val="20"/>
          <w:szCs w:val="20"/>
        </w:rPr>
        <w:t>intermediul</w:t>
      </w:r>
      <w:r>
        <w:rPr>
          <w:rFonts w:cstheme="minorHAnsi"/>
          <w:sz w:val="20"/>
          <w:szCs w:val="20"/>
        </w:rPr>
        <w:t xml:space="preserve"> </w:t>
      </w:r>
      <w:r>
        <w:rPr>
          <w:rFonts w:cstheme="minorHAnsi"/>
          <w:sz w:val="20"/>
          <w:szCs w:val="20"/>
        </w:rPr>
        <w:t>unui</w:t>
      </w:r>
      <w:r>
        <w:rPr>
          <w:rFonts w:cstheme="minorHAnsi"/>
          <w:sz w:val="20"/>
          <w:szCs w:val="20"/>
        </w:rPr>
        <w:t xml:space="preserve"> </w:t>
      </w:r>
      <w:r>
        <w:rPr>
          <w:rFonts w:cstheme="minorHAnsi"/>
          <w:sz w:val="20"/>
          <w:szCs w:val="20"/>
        </w:rPr>
        <w:t>conector</w:t>
      </w:r>
      <w:r>
        <w:rPr>
          <w:rFonts w:cstheme="minorHAnsi"/>
          <w:sz w:val="20"/>
          <w:szCs w:val="20"/>
        </w:rPr>
        <w:t xml:space="preserve"> IDE0: </w:t>
      </w:r>
    </w:p>
    <w:p>
      <w:pPr>
        <w:ind w:left="360"/>
        <w:rPr>
          <w:rFonts w:cstheme="minorHAnsi"/>
          <w:sz w:val="20"/>
          <w:szCs w:val="20"/>
        </w:rPr>
      </w:pPr>
      <w:r>
        <w:rPr>
          <w:rFonts w:cstheme="minorHAnsi"/>
          <w:sz w:val="20"/>
          <w:szCs w:val="20"/>
        </w:rPr>
        <w:t>Răspuns</w:t>
      </w:r>
      <w:r>
        <w:rPr>
          <w:rFonts w:cstheme="minorHAnsi"/>
          <w:sz w:val="20"/>
          <w:szCs w:val="20"/>
        </w:rPr>
        <w:t>:a)DVD-RW si c</w:t>
      </w:r>
      <w:r>
        <w:rPr>
          <w:rFonts w:cstheme="minorHAnsi"/>
          <w:sz w:val="20"/>
          <w:szCs w:val="20"/>
        </w:rPr>
        <w:t>)HDD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r>
        <w:rPr>
          <w:rFonts w:cstheme="minorHAnsi"/>
          <w:sz w:val="20"/>
          <w:szCs w:val="20"/>
        </w:rPr>
        <w:t xml:space="preserve">        Justificare</w:t>
      </w:r>
      <w:r>
        <w:rPr>
          <w:rFonts w:cstheme="minorHAnsi"/>
          <w:sz w:val="20"/>
          <w:szCs w:val="20"/>
        </w:rPr>
        <w:t>:</w:t>
      </w:r>
      <w:r>
        <w:rPr>
          <w:rFonts w:asciiTheme="minorAscii" w:cstheme="minorAscii" w:eastAsiaTheme="minorAscii" w:hAnsiTheme="minorAscii"/>
          <w:color w:val="000000"/>
          <w:sz w:val="20"/>
          <w:szCs w:val="20"/>
          <w:rtl w:val="off"/>
          <w:lang w:val="en-US"/>
        </w:rPr>
        <w:t xml:space="preserve">IDE (integrated </w:t>
      </w:r>
      <w:r>
        <w:rPr>
          <w:rFonts w:asciiTheme="minorAscii" w:cstheme="minorAscii" w:eastAsiaTheme="minorAscii" w:hAnsiTheme="minorAscii"/>
          <w:color w:val="000000"/>
          <w:sz w:val="20"/>
          <w:szCs w:val="20"/>
          <w:rtl w:val="off"/>
          <w:lang w:val="en-US"/>
        </w:rPr>
        <w:t>drive electronics) se foloseste pentru conectarea dispozitivelor de</w:t>
      </w:r>
      <w:r>
        <w:rPr>
          <w:rFonts w:asciiTheme="minorAscii" w:cstheme="minorAscii" w:eastAsiaTheme="minorAscii" w:hAnsiTheme="minorAscii"/>
          <w:color w:val="000000"/>
          <w:sz w:val="20"/>
          <w:szCs w:val="20"/>
          <w:rtl w:val="off"/>
          <w:lang w:val="en-US"/>
        </w:rPr>
        <w:t xml:space="preserve">stocare ca si </w:t>
      </w:r>
      <w:r>
        <w:rPr>
          <w:rFonts w:asciiTheme="minorAscii" w:cstheme="minorAscii" w:eastAsiaTheme="minorAscii" w:hAnsiTheme="minorAscii"/>
          <w:color w:val="000000"/>
          <w:sz w:val="20"/>
          <w:szCs w:val="20"/>
          <w:rtl w:val="off"/>
          <w:lang w:val="en-US"/>
        </w:rPr>
        <w:t>DVD-</w:t>
      </w:r>
      <w:r>
        <w:rPr>
          <w:rFonts w:asciiTheme="minorAscii" w:cstheme="minorAscii" w:eastAsiaTheme="minorAscii" w:hAnsiTheme="minorAscii"/>
          <w:color w:val="000000"/>
          <w:sz w:val="20"/>
          <w:szCs w:val="20"/>
          <w:rtl w:val="off"/>
          <w:lang w:val="en-US"/>
        </w:rPr>
        <w:t>RW și HDD.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cstheme="minorHAnsi"/>
          <w:color w:val="000000"/>
          <w:sz w:val="20"/>
          <w:szCs w:val="20"/>
        </w:rPr>
      </w:pPr>
    </w:p>
    <w:p>
      <w:pPr>
        <w:numPr>
          <w:ilvl w:val="0"/>
          <w:numId w:val="8"/>
        </w:numPr>
        <w:spacing w:after="0" w:line="240" w:lineRule="auto"/>
        <w:rPr>
          <w:rFonts w:cstheme="minorHAnsi"/>
          <w:color w:val="000000"/>
          <w:sz w:val="20"/>
          <w:szCs w:val="20"/>
        </w:rPr>
      </w:pPr>
      <w:r>
        <w:rPr>
          <w:rFonts w:cstheme="minorHAnsi"/>
          <w:color w:val="000000"/>
          <w:sz w:val="20"/>
          <w:szCs w:val="20"/>
        </w:rPr>
        <w:t>Placa</w:t>
      </w:r>
      <w:r>
        <w:rPr>
          <w:rFonts w:cstheme="minorHAnsi"/>
          <w:color w:val="000000"/>
          <w:sz w:val="20"/>
          <w:szCs w:val="20"/>
        </w:rPr>
        <w:t xml:space="preserve"> de </w:t>
      </w:r>
      <w:r>
        <w:rPr>
          <w:rFonts w:cstheme="minorHAnsi"/>
          <w:color w:val="000000"/>
          <w:sz w:val="20"/>
          <w:szCs w:val="20"/>
        </w:rPr>
        <w:t>bază</w:t>
      </w:r>
      <w:r>
        <w:rPr>
          <w:rFonts w:cstheme="minorHAnsi"/>
          <w:color w:val="000000"/>
          <w:sz w:val="20"/>
          <w:szCs w:val="20"/>
        </w:rPr>
        <w:t xml:space="preserve"> ATX </w:t>
      </w:r>
      <w:r>
        <w:rPr>
          <w:rFonts w:cstheme="minorHAnsi"/>
          <w:color w:val="000000"/>
          <w:sz w:val="20"/>
          <w:szCs w:val="20"/>
        </w:rPr>
        <w:t>folosește</w:t>
      </w:r>
      <w:r>
        <w:rPr>
          <w:rFonts w:cstheme="minorHAnsi"/>
          <w:color w:val="000000"/>
          <w:sz w:val="20"/>
          <w:szCs w:val="20"/>
        </w:rPr>
        <w:t xml:space="preserve"> un </w:t>
      </w:r>
      <w:r>
        <w:rPr>
          <w:rFonts w:cstheme="minorHAnsi"/>
          <w:color w:val="000000"/>
          <w:sz w:val="20"/>
          <w:szCs w:val="20"/>
        </w:rPr>
        <w:t>conector</w:t>
      </w:r>
      <w:r>
        <w:rPr>
          <w:rFonts w:cstheme="minorHAnsi"/>
          <w:color w:val="000000"/>
          <w:sz w:val="20"/>
          <w:szCs w:val="20"/>
        </w:rPr>
        <w:t xml:space="preserve"> de </w:t>
      </w:r>
      <w:r>
        <w:rPr>
          <w:rFonts w:cstheme="minorHAnsi"/>
          <w:color w:val="000000"/>
          <w:sz w:val="20"/>
          <w:szCs w:val="20"/>
        </w:rPr>
        <w:t>alimentare</w:t>
      </w:r>
      <w:r>
        <w:rPr>
          <w:rFonts w:cstheme="minorHAnsi"/>
          <w:color w:val="000000"/>
          <w:sz w:val="20"/>
          <w:szCs w:val="20"/>
        </w:rPr>
        <w:t xml:space="preserve"> cu: </w:t>
      </w:r>
      <w:r>
        <w:rPr>
          <w:rFonts w:cstheme="minorHAnsi"/>
          <w:sz w:val="20"/>
          <w:szCs w:val="20"/>
        </w:rPr>
        <w:t xml:space="preserve"> </w:t>
      </w:r>
    </w:p>
    <w:p>
      <w:pPr>
        <w:ind w:left="360"/>
        <w:rPr>
          <w:rFonts w:cstheme="minorHAnsi"/>
          <w:sz w:val="20"/>
          <w:szCs w:val="20"/>
        </w:rPr>
      </w:pPr>
      <w:r>
        <w:rPr>
          <w:rFonts w:cstheme="minorHAnsi"/>
          <w:sz w:val="20"/>
          <w:szCs w:val="20"/>
        </w:rPr>
        <w:t>Răspuns</w:t>
      </w:r>
      <w:r>
        <w:rPr>
          <w:rFonts w:cstheme="minorHAnsi"/>
          <w:sz w:val="20"/>
          <w:szCs w:val="20"/>
        </w:rPr>
        <w:t>:c) 20 pini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ro-RO"/>
        </w:rPr>
      </w:pPr>
      <w:r>
        <w:rPr>
          <w:rFonts w:cstheme="minorHAnsi"/>
          <w:sz w:val="20"/>
          <w:szCs w:val="20"/>
        </w:rPr>
        <w:t xml:space="preserve">        Justificare</w:t>
      </w:r>
      <w:r>
        <w:rPr>
          <w:rFonts w:cstheme="minorHAnsi"/>
          <w:sz w:val="20"/>
          <w:szCs w:val="20"/>
        </w:rPr>
        <w:t>:</w:t>
      </w:r>
      <w:r>
        <w:rPr>
          <w:rFonts w:cstheme="minorHAnsi"/>
          <w:sz w:val="20"/>
          <w:szCs w:val="20"/>
          <w:lang w:val="ro-RO"/>
        </w:rPr>
        <w:t>Placa de bază ATX folosește un conector de alimentare standard d</w:t>
      </w:r>
      <w:r>
        <w:rPr>
          <w:rFonts w:ascii="Segoe UI"/>
          <w:color w:val="000000"/>
          <w:sz w:val="18"/>
          <w:lang w:val="ro-RO"/>
        </w:rPr>
        <w:t>e 20 pini.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ind w:left="360"/>
        <w:rPr>
          <w:rFonts w:cstheme="minorHAnsi"/>
          <w:sz w:val="20"/>
          <w:szCs w:val="20"/>
        </w:rPr>
      </w:pPr>
    </w:p>
    <w:p>
      <w:pPr>
        <w:spacing w:after="0" w:line="240" w:lineRule="auto"/>
        <w:rPr>
          <w:rFonts w:cstheme="minorHAnsi"/>
          <w:color w:val="000000"/>
          <w:sz w:val="20"/>
          <w:szCs w:val="20"/>
        </w:rPr>
      </w:pPr>
    </w:p>
    <w:p>
      <w:pPr>
        <w:numPr>
          <w:ilvl w:val="0"/>
          <w:numId w:val="8"/>
        </w:numPr>
        <w:spacing w:after="0" w:line="240" w:lineRule="auto"/>
        <w:rPr>
          <w:rFonts w:cstheme="minorHAnsi"/>
          <w:color w:val="000000"/>
          <w:sz w:val="20"/>
          <w:szCs w:val="20"/>
        </w:rPr>
      </w:pPr>
      <w:r>
        <w:rPr>
          <w:rFonts w:cstheme="minorHAnsi"/>
          <w:color w:val="000000"/>
          <w:sz w:val="20"/>
          <w:szCs w:val="20"/>
        </w:rPr>
        <w:t xml:space="preserve">Un </w:t>
      </w:r>
      <w:r>
        <w:rPr>
          <w:rFonts w:cstheme="minorHAnsi"/>
          <w:color w:val="000000"/>
          <w:sz w:val="20"/>
          <w:szCs w:val="20"/>
        </w:rPr>
        <w:t>conector</w:t>
      </w:r>
      <w:r>
        <w:rPr>
          <w:rFonts w:cstheme="minorHAnsi"/>
          <w:color w:val="000000"/>
          <w:sz w:val="20"/>
          <w:szCs w:val="20"/>
        </w:rPr>
        <w:t xml:space="preserve"> </w:t>
      </w:r>
      <w:r>
        <w:rPr>
          <w:rFonts w:cstheme="minorHAnsi"/>
          <w:color w:val="000000"/>
          <w:sz w:val="20"/>
          <w:szCs w:val="20"/>
        </w:rPr>
        <w:t>cablu</w:t>
      </w:r>
      <w:r>
        <w:rPr>
          <w:rFonts w:cstheme="minorHAnsi"/>
          <w:color w:val="000000"/>
          <w:sz w:val="20"/>
          <w:szCs w:val="20"/>
        </w:rPr>
        <w:t xml:space="preserve"> VGA </w:t>
      </w:r>
      <w:r>
        <w:rPr>
          <w:rFonts w:cstheme="minorHAnsi"/>
          <w:color w:val="000000"/>
          <w:sz w:val="20"/>
          <w:szCs w:val="20"/>
        </w:rPr>
        <w:t>este</w:t>
      </w:r>
      <w:r>
        <w:rPr>
          <w:rFonts w:cstheme="minorHAnsi"/>
          <w:color w:val="000000"/>
          <w:sz w:val="20"/>
          <w:szCs w:val="20"/>
        </w:rPr>
        <w:t xml:space="preserve"> </w:t>
      </w:r>
      <w:r>
        <w:rPr>
          <w:rFonts w:cstheme="minorHAnsi"/>
          <w:color w:val="000000"/>
          <w:sz w:val="20"/>
          <w:szCs w:val="20"/>
        </w:rPr>
        <w:t>dispus</w:t>
      </w:r>
      <w:r>
        <w:rPr>
          <w:rFonts w:cstheme="minorHAnsi"/>
          <w:color w:val="000000"/>
          <w:sz w:val="20"/>
          <w:szCs w:val="20"/>
        </w:rPr>
        <w:t xml:space="preserve"> cu: </w:t>
      </w:r>
      <w:r>
        <w:rPr>
          <w:rFonts w:cstheme="minorHAnsi"/>
          <w:sz w:val="20"/>
          <w:szCs w:val="20"/>
        </w:rPr>
        <w:t xml:space="preserve"> </w:t>
      </w:r>
    </w:p>
    <w:p>
      <w:pPr>
        <w:ind w:left="360"/>
        <w:rPr>
          <w:rFonts w:cstheme="minorHAnsi"/>
          <w:sz w:val="20"/>
          <w:szCs w:val="20"/>
        </w:rPr>
      </w:pPr>
      <w:r>
        <w:rPr>
          <w:rFonts w:cstheme="minorHAnsi"/>
          <w:sz w:val="20"/>
          <w:szCs w:val="20"/>
        </w:rPr>
        <w:t>Răspuns</w:t>
      </w:r>
      <w:r>
        <w:rPr>
          <w:rFonts w:cstheme="minorHAnsi"/>
          <w:sz w:val="20"/>
          <w:szCs w:val="20"/>
        </w:rPr>
        <w:t>:15 PINI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cstheme="minorHAnsi"/>
          <w:sz w:val="20"/>
          <w:szCs w:val="20"/>
        </w:rPr>
        <w:t xml:space="preserve">        Justificare</w:t>
      </w:r>
      <w:r>
        <w:rPr>
          <w:rFonts w:cstheme="minorHAnsi"/>
          <w:sz w:val="20"/>
          <w:szCs w:val="20"/>
        </w:rPr>
        <w:t>:</w:t>
      </w:r>
      <w:r>
        <w:rPr>
          <w:rFonts w:cstheme="minorHAnsi"/>
          <w:sz w:val="20"/>
          <w:szCs w:val="20"/>
        </w:rPr>
        <w:t>P</w:t>
      </w:r>
      <w:r>
        <w:rPr>
          <w:rFonts w:ascii="calibri"/>
          <w:color w:val="000000"/>
          <w:sz w:val="20"/>
          <w:rtl w:val="off"/>
          <w:lang w:val="en-US"/>
        </w:rPr>
        <w:t>rimele 3 pinuri sunt  pentru culorile principale Red, Green, Blue, iar restul de 12 pini sunt pt HSync, VSync , ID3/SCL etc</w:t>
      </w:r>
      <w:r>
        <w:rPr>
          <w:rFonts w:ascii="calibri"/>
          <w:color w:val="000000"/>
          <w:sz w:val="20"/>
          <w:rtl w:val="off"/>
          <w:lang w:val="en-US"/>
        </w:rPr>
        <w:t xml:space="preserve"> </w:t>
      </w:r>
      <w:r>
        <w:rPr>
          <w:rFonts w:ascii="Segoe UI"/>
          <w:color w:val="000000"/>
          <w:sz w:val="18"/>
          <w:rtl w:val="off"/>
          <w:lang w:val="en-US"/>
        </w:rPr>
        <w:t xml:space="preserve"> .</w:t>
      </w:r>
    </w:p>
    <w:p>
      <w:pPr>
        <w:ind w:left="360"/>
        <w:rPr>
          <w:rFonts w:cstheme="minorHAnsi"/>
          <w:sz w:val="20"/>
          <w:szCs w:val="20"/>
        </w:rPr>
      </w:pPr>
    </w:p>
    <w:p>
      <w:pPr>
        <w:ind w:left="360"/>
        <w:rPr>
          <w:rFonts w:cstheme="minorHAnsi"/>
          <w:sz w:val="20"/>
          <w:szCs w:val="20"/>
        </w:rPr>
      </w:pPr>
    </w:p>
    <w:p>
      <w:pPr>
        <w:pStyle w:val="ListParagraph"/>
        <w:numPr>
          <w:ilvl w:val="0"/>
          <w:numId w:val="8"/>
        </w:numPr>
        <w:rPr>
          <w:rFonts w:cstheme="minorHAnsi"/>
          <w:sz w:val="20"/>
          <w:szCs w:val="20"/>
        </w:rPr>
      </w:pPr>
      <w:r>
        <w:rPr>
          <w:rFonts w:cstheme="minorHAnsi"/>
          <w:sz w:val="20"/>
          <w:szCs w:val="20"/>
        </w:rPr>
        <w:t>Comanda</w:t>
      </w:r>
      <w:r>
        <w:rPr>
          <w:rFonts w:cstheme="minorHAnsi"/>
          <w:sz w:val="20"/>
          <w:szCs w:val="20"/>
        </w:rPr>
        <w:t xml:space="preserve"> </w:t>
      </w:r>
      <w:r>
        <w:rPr>
          <w:rFonts w:cstheme="minorHAnsi"/>
          <w:sz w:val="20"/>
          <w:szCs w:val="20"/>
        </w:rPr>
        <w:t>pentru</w:t>
      </w:r>
      <w:r>
        <w:rPr>
          <w:rFonts w:cstheme="minorHAnsi"/>
          <w:sz w:val="20"/>
          <w:szCs w:val="20"/>
        </w:rPr>
        <w:t xml:space="preserve"> </w:t>
      </w:r>
      <w:r>
        <w:rPr>
          <w:rFonts w:cstheme="minorHAnsi"/>
          <w:sz w:val="20"/>
          <w:szCs w:val="20"/>
        </w:rPr>
        <w:t>inspectarea</w:t>
      </w:r>
      <w:r>
        <w:rPr>
          <w:rFonts w:cstheme="minorHAnsi"/>
          <w:sz w:val="20"/>
          <w:szCs w:val="20"/>
        </w:rPr>
        <w:t xml:space="preserve"> </w:t>
      </w:r>
      <w:r>
        <w:rPr>
          <w:rFonts w:cstheme="minorHAnsi"/>
          <w:sz w:val="20"/>
          <w:szCs w:val="20"/>
        </w:rPr>
        <w:t>erorilor</w:t>
      </w:r>
      <w:r>
        <w:rPr>
          <w:rFonts w:cstheme="minorHAnsi"/>
          <w:sz w:val="20"/>
          <w:szCs w:val="20"/>
        </w:rPr>
        <w:t xml:space="preserve"> de hard disk:</w:t>
      </w:r>
      <w:r>
        <w:rPr>
          <w:rFonts w:cstheme="minorHAnsi"/>
          <w:sz w:val="20"/>
          <w:szCs w:val="20"/>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cstheme="minorHAnsi"/>
          <w:sz w:val="20"/>
          <w:szCs w:val="20"/>
        </w:rPr>
        <w:t xml:space="preserve">          Răspuns</w:t>
      </w:r>
      <w:r>
        <w:rPr>
          <w:rFonts w:cstheme="minorHAnsi"/>
          <w:sz w:val="20"/>
          <w:szCs w:val="20"/>
        </w:rPr>
        <w:t>:a)</w:t>
      </w:r>
      <w:r>
        <w:rPr>
          <w:rFonts w:ascii="times new roman"/>
          <w:color w:val="000000"/>
          <w:sz w:val="18"/>
          <w:rtl w:val="off"/>
          <w:lang w:val="en-US"/>
        </w:rPr>
        <w:t>Chkdsk</w:t>
      </w:r>
      <w:r>
        <w:rPr>
          <w:rFonts w:ascii="Segoe UI"/>
          <w:color w:val="000000"/>
          <w:sz w:val="18"/>
          <w:rtl w:val="off"/>
          <w:lang w:val="en-US"/>
        </w:rPr>
        <w:t xml:space="preserve"> </w:t>
      </w:r>
    </w:p>
    <w:p>
      <w:pPr>
        <w:ind w:left="360"/>
        <w:rPr>
          <w:rFonts w:cstheme="minorHAnsi"/>
          <w:sz w:val="20"/>
          <w:szCs w:val="20"/>
        </w:rPr>
      </w:pPr>
    </w:p>
    <w:p>
      <w:pPr>
        <w:ind w:left="360"/>
        <w:rPr>
          <w:rFonts w:cstheme="minorHAnsi"/>
          <w:sz w:val="20"/>
          <w:szCs w:val="20"/>
        </w:rPr>
      </w:pPr>
      <w:r>
        <w:rPr>
          <w:rFonts w:cstheme="minorHAnsi"/>
          <w:sz w:val="20"/>
          <w:szCs w:val="20"/>
        </w:rPr>
        <w:t xml:space="preserve"> Justificare</w:t>
      </w:r>
      <w:r>
        <w:rPr>
          <w:rFonts w:cstheme="minorHAnsi"/>
          <w:sz w:val="20"/>
          <w:szCs w:val="20"/>
        </w:rPr>
        <w:t>:</w:t>
      </w:r>
      <w:r>
        <w:rPr>
          <w:rFonts w:asciiTheme="minorAscii" w:cstheme="minorAscii" w:eastAsiaTheme="minorAscii" w:hAnsiTheme="minorAscii"/>
          <w:color w:val="000000"/>
          <w:sz w:val="20"/>
          <w:szCs w:val="20"/>
          <w:rtl w:val="off"/>
          <w:lang w:val="en-US"/>
        </w:rPr>
        <w:t>CHKDSK este un utilitar Windows care poate verifica integritatea hard disk-ului și poate remedia diverse erori ale sistemului de fișiere.</w:t>
      </w:r>
    </w:p>
    <w:p>
      <w:pPr>
        <w:ind w:left="360"/>
        <w:rPr>
          <w:rFonts w:cstheme="minorHAnsi"/>
          <w:sz w:val="20"/>
          <w:szCs w:val="20"/>
        </w:rPr>
      </w:pPr>
    </w:p>
    <w:p>
      <w:pPr>
        <w:pStyle w:val="ListParagraph"/>
        <w:numPr>
          <w:ilvl w:val="0"/>
          <w:numId w:val="8"/>
        </w:numPr>
        <w:rPr>
          <w:rFonts w:cstheme="minorHAnsi"/>
          <w:sz w:val="20"/>
          <w:szCs w:val="20"/>
        </w:rPr>
      </w:pPr>
      <w:r>
        <w:rPr>
          <w:rFonts w:cstheme="minorHAnsi"/>
          <w:sz w:val="20"/>
          <w:szCs w:val="20"/>
        </w:rPr>
        <w:t xml:space="preserve">Slot-urile </w:t>
      </w:r>
      <w:r>
        <w:rPr>
          <w:rFonts w:cstheme="minorHAnsi"/>
          <w:sz w:val="20"/>
          <w:szCs w:val="20"/>
        </w:rPr>
        <w:t>pentru</w:t>
      </w:r>
      <w:r>
        <w:rPr>
          <w:rFonts w:cstheme="minorHAnsi"/>
          <w:sz w:val="20"/>
          <w:szCs w:val="20"/>
        </w:rPr>
        <w:t xml:space="preserve"> </w:t>
      </w:r>
      <w:r>
        <w:rPr>
          <w:rFonts w:cstheme="minorHAnsi"/>
          <w:sz w:val="20"/>
          <w:szCs w:val="20"/>
        </w:rPr>
        <w:t>plasarea</w:t>
      </w:r>
      <w:r>
        <w:rPr>
          <w:rFonts w:cstheme="minorHAnsi"/>
          <w:sz w:val="20"/>
          <w:szCs w:val="20"/>
        </w:rPr>
        <w:t xml:space="preserve"> </w:t>
      </w:r>
      <w:r>
        <w:rPr>
          <w:rFonts w:cstheme="minorHAnsi"/>
          <w:sz w:val="20"/>
          <w:szCs w:val="20"/>
        </w:rPr>
        <w:t>memoriei</w:t>
      </w:r>
      <w:r>
        <w:rPr>
          <w:rFonts w:cstheme="minorHAnsi"/>
          <w:sz w:val="20"/>
          <w:szCs w:val="20"/>
        </w:rPr>
        <w:t xml:space="preserve"> RAM pe </w:t>
      </w:r>
      <w:r>
        <w:rPr>
          <w:rFonts w:cstheme="minorHAnsi"/>
          <w:sz w:val="20"/>
          <w:szCs w:val="20"/>
        </w:rPr>
        <w:t>placa</w:t>
      </w:r>
      <w:r>
        <w:rPr>
          <w:rFonts w:cstheme="minorHAnsi"/>
          <w:sz w:val="20"/>
          <w:szCs w:val="20"/>
        </w:rPr>
        <w:t xml:space="preserve"> de </w:t>
      </w:r>
      <w:r>
        <w:rPr>
          <w:rFonts w:cstheme="minorHAnsi"/>
          <w:sz w:val="20"/>
          <w:szCs w:val="20"/>
        </w:rPr>
        <w:t>bază</w:t>
      </w:r>
      <w:r>
        <w:rPr>
          <w:rFonts w:cstheme="minorHAnsi"/>
          <w:sz w:val="20"/>
          <w:szCs w:val="20"/>
        </w:rPr>
        <w:t xml:space="preserve"> sunt:</w:t>
      </w:r>
    </w:p>
    <w:p>
      <w:pPr>
        <w:ind w:left="360"/>
        <w:rPr>
          <w:rFonts w:cstheme="minorHAnsi"/>
          <w:sz w:val="20"/>
          <w:szCs w:val="20"/>
        </w:rPr>
      </w:pPr>
      <w:r>
        <w:rPr>
          <w:rFonts w:cstheme="minorHAnsi"/>
          <w:sz w:val="20"/>
          <w:szCs w:val="20"/>
        </w:rPr>
        <w:t>Răspuns</w:t>
      </w:r>
      <w:r>
        <w:rPr>
          <w:rFonts w:cstheme="minorHAnsi"/>
          <w:sz w:val="20"/>
          <w:szCs w:val="20"/>
        </w:rPr>
        <w:t xml:space="preserve">:a)PCle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r>
        <w:rPr>
          <w:rFonts w:cstheme="minorHAnsi"/>
          <w:sz w:val="20"/>
          <w:szCs w:val="20"/>
        </w:rPr>
        <w:t xml:space="preserve">        Justificare</w:t>
      </w:r>
      <w:r>
        <w:rPr>
          <w:rFonts w:cstheme="minorHAnsi"/>
          <w:sz w:val="20"/>
          <w:szCs w:val="20"/>
        </w:rPr>
        <w:t>:</w:t>
      </w:r>
      <w:r>
        <w:rPr>
          <w:rFonts w:asciiTheme="minorAscii" w:cstheme="minorAscii" w:eastAsiaTheme="minorAscii" w:hAnsiTheme="minorAscii"/>
          <w:color w:val="000000"/>
          <w:sz w:val="20"/>
          <w:szCs w:val="20"/>
          <w:rtl w:val="off"/>
          <w:lang w:val="en-US"/>
        </w:rPr>
        <w:t xml:space="preserve">Sloturile PCI și PCI-e sunt interfețe fizice în care sunt introduse plăcile de expansiune dedicate precum: </w:t>
      </w:r>
      <w:r>
        <w:fldChar w:fldCharType="begin"/>
      </w:r>
      <w:r>
        <w:instrText xml:space="preserve"> HYPERLINK "https://ro.wikipedia.org/wiki/Plac%C4%83_video" </w:instrText>
      </w:r>
      <w:r>
        <w:fldChar w:fldCharType="separate"/>
      </w:r>
      <w:r>
        <w:rPr>
          <w:rFonts w:asciiTheme="minorAscii" w:cstheme="minorAscii" w:eastAsiaTheme="minorAscii" w:hAnsiTheme="minorAscii"/>
          <w:color w:val="000000" w:themeColor="dk1"/>
          <w:sz w:val="20"/>
          <w:szCs w:val="20"/>
          <w:u w:val="single"/>
          <w:rtl w:val="off"/>
          <w:lang w:val="en-US"/>
        </w:rPr>
        <w:t>placă video</w:t>
      </w:r>
      <w:r>
        <w:fldChar w:fldCharType="end"/>
      </w:r>
      <w:r>
        <w:rPr>
          <w:rFonts w:asciiTheme="minorAscii" w:cstheme="minorAscii" w:eastAsiaTheme="minorAscii" w:hAnsiTheme="minorAscii"/>
          <w:color w:val="000000" w:themeColor="dk1"/>
          <w:sz w:val="20"/>
          <w:szCs w:val="20"/>
          <w:rtl w:val="off"/>
          <w:lang w:val="en-US"/>
        </w:rPr>
        <w:t xml:space="preserve">, </w:t>
      </w:r>
      <w:r>
        <w:fldChar w:fldCharType="begin"/>
      </w:r>
      <w:r>
        <w:instrText xml:space="preserve"> HYPERLINK "https://ro.wikipedia.org/w/index.php?title=Plac%C4%83_audio&amp;action=edit&amp;redlink=1" </w:instrText>
      </w:r>
      <w:r>
        <w:fldChar w:fldCharType="separate"/>
      </w:r>
      <w:r>
        <w:rPr>
          <w:rFonts w:asciiTheme="minorAscii" w:cstheme="minorAscii" w:eastAsiaTheme="minorAscii" w:hAnsiTheme="minorAscii"/>
          <w:color w:val="000000" w:themeColor="dk1"/>
          <w:sz w:val="20"/>
          <w:szCs w:val="20"/>
          <w:u w:val="single"/>
          <w:rtl w:val="off"/>
          <w:lang w:val="en-US"/>
        </w:rPr>
        <w:t>placă audio</w:t>
      </w:r>
      <w:r>
        <w:fldChar w:fldCharType="end"/>
      </w:r>
      <w:r>
        <w:rPr>
          <w:rFonts w:asciiTheme="minorAscii" w:cstheme="minorAscii" w:eastAsiaTheme="minorAscii" w:hAnsiTheme="minorAscii"/>
          <w:color w:val="000000" w:themeColor="dk1"/>
          <w:sz w:val="20"/>
          <w:szCs w:val="20"/>
          <w:rtl w:val="off"/>
          <w:lang w:val="en-US"/>
        </w:rPr>
        <w:t xml:space="preserve">, </w:t>
      </w:r>
      <w:r>
        <w:fldChar w:fldCharType="begin"/>
      </w:r>
      <w:r>
        <w:instrText xml:space="preserve"> HYPERLINK "https://ro.wikipedia.org/wiki/Plac%C4%83_de_re%C8%9Bea" </w:instrText>
      </w:r>
      <w:r>
        <w:fldChar w:fldCharType="separate"/>
      </w:r>
      <w:r>
        <w:rPr>
          <w:rFonts w:asciiTheme="minorAscii" w:cstheme="minorAscii" w:eastAsiaTheme="minorAscii" w:hAnsiTheme="minorAscii"/>
          <w:color w:val="000000" w:themeColor="dk1"/>
          <w:sz w:val="20"/>
          <w:szCs w:val="20"/>
          <w:u w:val="single"/>
          <w:rtl w:val="off"/>
          <w:lang w:val="en-US"/>
        </w:rPr>
        <w:t>placă de rețea</w:t>
      </w:r>
      <w:r>
        <w:fldChar w:fldCharType="end"/>
      </w:r>
      <w:r>
        <w:rPr>
          <w:rFonts w:asciiTheme="minorAscii" w:cstheme="minorAscii" w:eastAsiaTheme="minorAscii" w:hAnsiTheme="minorAscii"/>
          <w:color w:val="000000" w:themeColor="dk1"/>
          <w:sz w:val="20"/>
          <w:szCs w:val="20"/>
          <w:rtl w:val="off"/>
          <w:lang w:val="en-US"/>
        </w:rPr>
        <w:t xml:space="preserve">, </w:t>
      </w:r>
      <w:r>
        <w:fldChar w:fldCharType="begin"/>
      </w:r>
      <w:r>
        <w:instrText xml:space="preserve"> HYPERLINK "https://ro.wikipedia.org/wiki/TV_Tuner" </w:instrText>
      </w:r>
      <w:r>
        <w:fldChar w:fldCharType="separate"/>
      </w:r>
      <w:r>
        <w:rPr>
          <w:rFonts w:asciiTheme="minorAscii" w:cstheme="minorAscii" w:eastAsiaTheme="minorAscii" w:hAnsiTheme="minorAscii"/>
          <w:color w:val="000000" w:themeColor="dk1"/>
          <w:sz w:val="20"/>
          <w:szCs w:val="20"/>
          <w:u w:val="single"/>
          <w:rtl w:val="off"/>
          <w:lang w:val="en-US"/>
        </w:rPr>
        <w:t>TV Tuner</w:t>
      </w:r>
      <w:r>
        <w:fldChar w:fldCharType="end"/>
      </w:r>
      <w:r>
        <w:rPr>
          <w:rFonts w:asciiTheme="minorAscii" w:cstheme="minorAscii" w:eastAsiaTheme="minorAscii" w:hAnsiTheme="minorAscii"/>
          <w:color w:val="000000" w:themeColor="dk1"/>
          <w:sz w:val="20"/>
          <w:szCs w:val="20"/>
          <w:rtl w:val="off"/>
          <w:lang w:val="en-US"/>
        </w:rPr>
        <w:t>, etc</w:t>
      </w:r>
      <w:r>
        <w:rPr>
          <w:rFonts w:asciiTheme="minorAscii" w:cstheme="minorAscii" w:eastAsiaTheme="minorAscii" w:hAnsiTheme="minorAscii"/>
          <w:color w:val="000000"/>
          <w:sz w:val="20"/>
          <w:szCs w:val="20"/>
          <w:rtl w:val="off"/>
          <w:lang w:val="en-US"/>
        </w:rPr>
        <w:t xml:space="preserve">. </w:t>
      </w:r>
      <w:r>
        <w:rPr>
          <w:rFonts w:asciiTheme="minorAscii" w:cstheme="minorAscii" w:eastAsiaTheme="minorAscii" w:hAnsiTheme="minorAscii"/>
          <w:color w:val="000000"/>
          <w:sz w:val="20"/>
          <w:szCs w:val="20"/>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p>
    <w:p>
      <w:pPr>
        <w:pStyle w:val="ListParagraph"/>
        <w:numPr>
          <w:ilvl w:val="0"/>
          <w:numId w:val="8"/>
        </w:numPr>
        <w:rPr>
          <w:rFonts w:cstheme="minorHAnsi"/>
          <w:sz w:val="20"/>
          <w:szCs w:val="20"/>
        </w:rPr>
      </w:pPr>
      <w:r>
        <w:rPr>
          <w:rFonts w:cstheme="minorHAnsi"/>
          <w:sz w:val="20"/>
          <w:szCs w:val="20"/>
        </w:rPr>
        <w:t>Alimentarea</w:t>
      </w:r>
      <w:r>
        <w:rPr>
          <w:rFonts w:cstheme="minorHAnsi"/>
          <w:sz w:val="20"/>
          <w:szCs w:val="20"/>
        </w:rPr>
        <w:t xml:space="preserve"> </w:t>
      </w:r>
      <w:r>
        <w:rPr>
          <w:rFonts w:cstheme="minorHAnsi"/>
          <w:sz w:val="20"/>
          <w:szCs w:val="20"/>
        </w:rPr>
        <w:t>unui</w:t>
      </w:r>
      <w:r>
        <w:rPr>
          <w:rFonts w:cstheme="minorHAnsi"/>
          <w:sz w:val="20"/>
          <w:szCs w:val="20"/>
        </w:rPr>
        <w:t xml:space="preserve"> HDD ATA se </w:t>
      </w:r>
      <w:r>
        <w:rPr>
          <w:rFonts w:cstheme="minorHAnsi"/>
          <w:sz w:val="20"/>
          <w:szCs w:val="20"/>
        </w:rPr>
        <w:t>realizează</w:t>
      </w:r>
      <w:r>
        <w:rPr>
          <w:rFonts w:cstheme="minorHAnsi"/>
          <w:sz w:val="20"/>
          <w:szCs w:val="20"/>
        </w:rPr>
        <w:t xml:space="preserve"> </w:t>
      </w:r>
      <w:r>
        <w:rPr>
          <w:rFonts w:cstheme="minorHAnsi"/>
          <w:sz w:val="20"/>
          <w:szCs w:val="20"/>
        </w:rPr>
        <w:t>printr</w:t>
      </w:r>
      <w:r>
        <w:rPr>
          <w:rFonts w:cstheme="minorHAnsi"/>
          <w:sz w:val="20"/>
          <w:szCs w:val="20"/>
        </w:rPr>
        <w:t xml:space="preserve">-un </w:t>
      </w:r>
      <w:r>
        <w:rPr>
          <w:rFonts w:cstheme="minorHAnsi"/>
          <w:sz w:val="20"/>
          <w:szCs w:val="20"/>
        </w:rPr>
        <w:t>conector</w:t>
      </w:r>
      <w:r>
        <w:rPr>
          <w:rFonts w:cstheme="minorHAnsi"/>
          <w:sz w:val="20"/>
          <w:szCs w:val="20"/>
        </w:rPr>
        <w:t xml:space="preserve"> de tip</w:t>
      </w:r>
      <w:r>
        <w:rPr>
          <w:rFonts w:cstheme="minorHAnsi"/>
          <w:sz w:val="20"/>
          <w:szCs w:val="20"/>
        </w:rPr>
        <w:t xml:space="preserve">: </w:t>
      </w:r>
    </w:p>
    <w:p>
      <w:pPr>
        <w:ind w:left="360"/>
        <w:rPr>
          <w:rFonts w:cstheme="minorHAnsi"/>
          <w:sz w:val="20"/>
          <w:szCs w:val="20"/>
        </w:rPr>
      </w:pPr>
      <w:r>
        <w:rPr>
          <w:rFonts w:cstheme="minorHAnsi"/>
          <w:sz w:val="20"/>
          <w:szCs w:val="20"/>
        </w:rPr>
        <w:t>Răspuns</w:t>
      </w:r>
      <w:r>
        <w:rPr>
          <w:rFonts w:cstheme="minorHAnsi"/>
          <w:sz w:val="20"/>
          <w:szCs w:val="20"/>
        </w:rPr>
        <w:t>:a)Molex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0"/>
          <w:lang w:val="en-US"/>
        </w:rPr>
      </w:pPr>
      <w:r>
        <w:rPr>
          <w:rFonts w:cstheme="minorHAnsi"/>
          <w:sz w:val="20"/>
          <w:szCs w:val="20"/>
        </w:rPr>
        <w:t xml:space="preserve">         Justificare</w:t>
      </w:r>
      <w:r>
        <w:rPr>
          <w:rFonts w:cstheme="minorHAnsi"/>
          <w:sz w:val="20"/>
          <w:szCs w:val="20"/>
        </w:rPr>
        <w:t>:</w:t>
      </w:r>
      <w:r>
        <w:rPr>
          <w:rFonts w:asciiTheme="minorAscii" w:cstheme="minorAscii" w:eastAsiaTheme="minorAscii" w:hAnsiTheme="minorAscii"/>
          <w:color w:val="000000"/>
          <w:sz w:val="20"/>
          <w:szCs w:val="20"/>
          <w:rtl w:val="off"/>
          <w:lang w:val="en-US"/>
        </w:rPr>
        <w:t xml:space="preserve">Unele versiuni anterioare ale unitatii SATA au inclus conectorul de alimentare Molex cu patru pini, impreuna cu noul conector de </w:t>
      </w:r>
      <w:r>
        <w:rPr>
          <w:rFonts w:asciiTheme="minorAscii" w:cstheme="minorAscii" w:eastAsiaTheme="minorAscii" w:hAnsiTheme="minorAscii"/>
          <w:color w:val="000000"/>
          <w:sz w:val="20"/>
          <w:szCs w:val="20"/>
          <w:rtl w:val="off"/>
          <w:lang w:val="en-US"/>
        </w:rPr>
        <w:t>15</w:t>
      </w:r>
      <w:r>
        <w:rPr>
          <w:rFonts w:asciiTheme="minorAscii" w:cstheme="minorAscii" w:eastAsiaTheme="minorAscii" w:hAnsiTheme="minorAscii"/>
          <w:color w:val="000000"/>
          <w:sz w:val="20"/>
          <w:szCs w:val="20"/>
          <w:rtl w:val="off"/>
          <w:lang w:val="en-US"/>
        </w:rPr>
        <w:t xml:space="preserve"> pini, dar majoritatea unitatilor SATA au acum doar conectorul de 15 pini.</w:t>
      </w:r>
      <w:r>
        <w:rPr>
          <w:rFonts w:asciiTheme="minorAscii" w:cstheme="minorAscii" w:eastAsiaTheme="minorAscii" w:hAnsiTheme="minorAscii"/>
          <w:color w:val="000000"/>
          <w:sz w:val="20"/>
          <w:szCs w:val="20"/>
          <w:rtl w:val="off"/>
          <w:lang w:val="en-US"/>
        </w:rPr>
        <w:t xml:space="preserve"> </w:t>
      </w:r>
    </w:p>
    <w:p>
      <w:pPr>
        <w:ind w:left="360"/>
        <w:rPr>
          <w:rFonts w:cstheme="minorHAnsi"/>
          <w:sz w:val="20"/>
          <w:szCs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p>
      <w:pPr>
        <w:rPr>
          <w:rFonts w:cstheme="minorHAnsi"/>
          <w:sz w:val="20"/>
        </w:rPr>
      </w:pPr>
    </w:p>
    <w:sectPr>
      <w:pgSz w:w="11906" w:h="16838"/>
      <w:pgMar w:top="1440" w:right="1440" w:bottom="1440" w:left="144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0" w:usb1="00000000" w:usb2="00000009" w:usb3="00000000" w:csb0="000001ff" w:csb1="00000000"/>
  </w:font>
  <w:font w:name="Calibri">
    <w:panose1 w:val="020f0502020204030204"/>
    <w:charset w:val="00"/>
    <w:family w:val="swiss"/>
    <w:pitch w:val="variable"/>
    <w:sig w:usb0="00000000" w:usb1="00000000" w:usb2="00000009" w:usb3="00000000" w:csb0="000001ff" w:csb1="00000000"/>
  </w:font>
  <w:font w:name="Arial">
    <w:altName w:val="Arial"/>
    <w:panose1 w:val="020b0604020202020204"/>
    <w:charset w:val="00"/>
    <w:family w:val="swiss"/>
    <w:pitch w:val="variable"/>
    <w:sig w:usb0="00000000" w:usb1="00000000" w:usb2="00000009" w:usb3="00000000" w:csb0="000001ff" w:csb1="00000000"/>
  </w:font>
  <w:font w:name="Calibri Light">
    <w:panose1 w:val="020f0302020204030204"/>
    <w:charset w:val="00"/>
    <w:family w:val="swiss"/>
    <w:pitch w:val="variable"/>
    <w:sig w:usb0="00000000" w:usb1="00000000" w:usb2="00000009" w:usb3="00000000" w:csb0="000001f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noto sans">
    <w:charset w:val="00"/>
  </w:font>
  <w:font w:name="roboto condensed">
    <w:charset w:val="00"/>
  </w:font>
  <w:font w:name="Segoe UI">
    <w:charset w:val="00"/>
  </w:font>
  <w:font w:name="helvetica">
    <w:charset w:val="00"/>
  </w:font>
  <w:font w:name="arial">
    <w:charset w:val="00"/>
  </w:font>
  <w:font w:name="inherit">
    <w:charset w:val="00"/>
  </w:font>
  <w:font w:name="merriweather">
    <w:charset w:val="00"/>
  </w:font>
  <w:font w:name="roboto">
    <w:charset w:val="00"/>
  </w:font>
  <w:font w:name="open sans">
    <w:charset w:val="00"/>
  </w:font>
  <w:font w:name="times new roman">
    <w:charset w:val="00"/>
  </w:font>
  <w:font w:name="sans-serif">
    <w:charset w:val="00"/>
  </w:font>
  <w:font w:name="calibri">
    <w:charset w:val="00"/>
  </w:font>
  <w:font w:name="ff8">
    <w:charset w:val="00"/>
  </w:font>
  <w:font w:name="ff1">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1">
    <w:multiLevelType w:val="hybridMultilevel"/>
    <w:lvl w:ilvl="0" w:tentative="0">
      <w:start w:val="1"/>
      <w:numFmt w:val="bullet"/>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2">
    <w:multiLevelType w:val="hybridMultilevel"/>
    <w:lvl w:ilvl="0" w:tentative="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multiLevelType w:val="hybridMultilevel"/>
    <w:lvl w:ilvl="0" w:tentative="0">
      <w:start w:val="1"/>
      <w:numFmt w:val="lowerLetter"/>
      <w:lvlText w:val="%1)"/>
      <w:lvlJc w:val="left"/>
      <w:pPr>
        <w:ind w:left="720" w:hanging="360"/>
      </w:pPr>
      <w:rPr>
        <w:rFonts w:cstheme="minorBid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multiLevelType w:val="hybridMultilevel"/>
    <w:lvl w:ilvl="0" w:tentative="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um w:numId="1">
    <w:abstractNumId w:val="6"/>
  </w:num>
  <w:num w:numId="2">
    <w:abstractNumId w:val="8"/>
  </w:num>
  <w:num w:numId="3">
    <w:abstractNumId w:val="5"/>
  </w:num>
  <w:num w:numId="4">
    <w:abstractNumId w:val="9"/>
  </w:num>
  <w:num w:numId="5">
    <w:abstractNumId w:val="7"/>
  </w:num>
  <w:num w:numId="6">
    <w:abstractNumId w:val="4"/>
  </w:num>
  <w:num w:numId="7">
    <w:abstractNumId w:val="2"/>
  </w:num>
  <w:num w:numId="8">
    <w:abstractNumId w:val="3"/>
  </w:num>
  <w:num w:numId="9">
    <w:abstractNumId w:val="1"/>
  </w:num>
  <w:num w:numId="10">
    <w:abstractNumId w:val="0"/>
  </w:num>
  <w:num w:numId="11">
    <w:abstractNumId w:val="10"/>
    <w:lvlOverride w:ilvl="0">
      <w:lvl w:ilvl="0" w:tentative="1">
        <w:numFmt w:val="bullet"/>
        <w:suff w:val="tab"/>
        <w:lvlText w:val="·"/>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BC"/>
    <w:rsid w:val="00287919"/>
    <w:rsid w:val="002B3C8D"/>
    <w:rsid w:val="009B48F5"/>
    <w:rsid w:val="00DE6CD0"/>
    <w:rsid w:val="00FD6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1AAA"/>
  <w15:chartTrackingRefBased/>
  <w15:docId w15:val="{3FBBE704-6D84-4601-A001-FA9A1A951661}"/>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GB" w:bidi="ar-SA" w:eastAsia="en-US"/>
      </w:rPr>
    </w:rPrDefault>
    <w:pPrDefault>
      <w:pPr>
        <w:spacing w:after="160" w:line="259" w:lineRule="auto"/>
      </w:pPr>
    </w:pPrDefault>
  </w:docDefaults>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563c1"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 w:type="paragraph" w:default="1" w:styleId="Normal">
    <w:name w:val="Normal"/>
    <w:uiPriority w:val="99"/>
    <w:qFormat w:val="on"/>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table" w:styleId="TableGrid">
    <w:name w:val="Table Grid"/>
    <w:basedOn w:val="NormalTab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val="on"/>
    <w:pPr>
      <w:ind w:left="720"/>
      <w:contextualSpacing w:val="on"/>
    </w:pPr>
  </w:style>
  <w:style w:type="paragraph" w:customStyle="1" w:styleId="Default">
    <w:name w:val="Default"/>
    <w:uiPriority w:val="99"/>
    <w:pPr>
      <w:spacing w:after="0" w:line="240" w:lineRule="auto"/>
    </w:pPr>
    <w:rPr>
      <w:rFonts w:ascii="Arial" w:cs="Arial" w:hAnsi="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8.png"/><Relationship Id="rId5" Type="http://schemas.openxmlformats.org/officeDocument/2006/relationships/fontTable" Target="fontTable.xml"/><Relationship Id="rId6" Type="http://schemas.openxmlformats.org/officeDocument/2006/relationships/theme" Target="theme/theme1.xml"/><Relationship Id="rId4" Type="http://schemas.openxmlformats.org/officeDocument/2006/relationships/webSettings" Target="webSettings.xml"/><Relationship Id="rId7" Type="http://schemas.openxmlformats.org/officeDocument/2006/relationships/customXml" Target="../customXml/item1.xml"/><Relationship Id="rId8" Type="http://schemas.openxmlformats.org/officeDocument/2006/relationships/customXml" Target="../customXml/item2.xml"/><Relationship Id="rId9" Type="http://schemas.openxmlformats.org/officeDocument/2006/relationships/customXml" Target="../customXml/item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DCE1AF461B684CB8F09C30CE9CEA99" ma:contentTypeVersion="2" ma:contentTypeDescription="Create a new document." ma:contentTypeScope="" ma:versionID="ff6984f450a63139897f9a87234b3f83">
  <xsd:schema xmlns:xsd="http://www.w3.org/2001/XMLSchema" xmlns:xs="http://www.w3.org/2001/XMLSchema" xmlns:p="http://schemas.microsoft.com/office/2006/metadata/properties" xmlns:ns2="37275563-18aa-4f23-92c0-b28680eeb757" targetNamespace="http://schemas.microsoft.com/office/2006/metadata/properties" ma:root="true" ma:fieldsID="9230a0c671885693fa2a9b1bea9a55bd" ns2:_="">
    <xsd:import namespace="37275563-18aa-4f23-92c0-b28680eeb75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275563-18aa-4f23-92c0-b28680eeb7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A06768-947A-4697-8375-4363D9F1DC9B}"/>
</file>

<file path=customXml/itemProps2.xml><?xml version="1.0" encoding="utf-8"?>
<ds:datastoreItem xmlns:ds="http://schemas.openxmlformats.org/officeDocument/2006/customXml" ds:itemID="{1DF6D42A-23E1-4523-8425-39229F715F91}"/>
</file>

<file path=customXml/itemProps3.xml><?xml version="1.0" encoding="utf-8"?>
<ds:datastoreItem xmlns:ds="http://schemas.openxmlformats.org/officeDocument/2006/customXml" ds:itemID="{0937833B-37B9-4334-9CFA-48F68EDFD1D4}"/>
</file>

<file path=docProps/app.xml><?xml version="1.0" encoding="utf-8"?>
<Properties xmlns="http://schemas.openxmlformats.org/officeDocument/2006/extended-properties" xmlns:vt="http://schemas.openxmlformats.org/officeDocument/2006/docPropsVTypes">
  <Template>Normal</Template>
  <TotalTime>26</TotalTime>
  <Pages>3</Pages>
  <Words>173</Words>
  <Characters>989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Miruna Cont</dc:creator>
  <cp:lastModifiedBy>Opre Antonia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0x010100B6DCE1AF461B684CB8F09C30CE9CEA99</vt:lpwstr>
  </property>
</Properties>
</file>