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  <w:pBdr>
          <w:bottom w:val="single" w:sz="10" w:space="5" w:color="28B779"/>
        </w:pBdr>
      </w:pPr>
      <w:r>
        <w:t>POC On Device</w:t>
        <w:br/>
        <w:t>Semantic Search</w:t>
      </w:r>
    </w:p>
    <w:p>
      <w:pPr>
        <w:spacing w:before="80" w:after="360"/>
      </w:pPr>
      <w:r>
        <w:rPr>
          <w:rFonts w:ascii="Aptos Display" w:hAnsi="Aptos Display"/>
          <w:b/>
          <w:color w:val="28B779"/>
          <w:sz w:val="32"/>
        </w:rPr>
        <w:t>Guida tecnica e domande per il talk</w:t>
      </w:r>
    </w:p>
    <w:p>
      <w:pPr>
        <w:spacing w:after="200"/>
      </w:pPr>
      <w:r>
        <w:rPr>
          <w:sz w:val="22"/>
        </w:rPr>
        <w:t>Questo documento riassume il funzionamento della Proof of Concept e raccoglie le principali domande tecniche che potrebbero emergere durante una presentazione. Le risposte distinguono le funzionalità già realizzate dalle possibili evoluzioni verso una soluzione industriale.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6633"/>
      </w:tblGrid>
      <w:tr>
        <w:trPr>
          <w:cantSplit/>
        </w:trPr>
        <w:tc>
          <w:tcPr>
            <w:tcW w:type="dxa" w:w="49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8F6"/>
          </w:tcPr>
          <w:p>
            <w:pPr>
              <w:spacing w:after="0"/>
            </w:pPr>
            <w:r>
              <w:rPr>
                <w:b/>
                <w:color w:val="111111"/>
              </w:rPr>
              <w:t>Knowledge base finale</w:t>
            </w:r>
          </w:p>
        </w:tc>
        <w:tc>
          <w:tcPr>
            <w:tcW w:type="dxa" w:w="49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t>1.709 prodotti: 709 iniziali e 1.000 aggiuntivi</w:t>
            </w:r>
          </w:p>
        </w:tc>
      </w:tr>
      <w:tr>
        <w:trPr>
          <w:cantSplit/>
        </w:trPr>
        <w:tc>
          <w:tcPr>
            <w:tcW w:type="dxa" w:w="49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8F6"/>
          </w:tcPr>
          <w:p>
            <w:pPr>
              <w:spacing w:after="0"/>
            </w:pPr>
            <w:r>
              <w:rPr>
                <w:b/>
                <w:color w:val="111111"/>
              </w:rPr>
              <w:t>Modello selezionato</w:t>
            </w:r>
          </w:p>
        </w:tc>
        <w:tc>
          <w:tcPr>
            <w:tcW w:type="dxa" w:w="49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t>Xenova/multilingual-e5-small, quantizzazione q4, 384 dimensioni</w:t>
            </w:r>
          </w:p>
        </w:tc>
      </w:tr>
      <w:tr>
        <w:trPr>
          <w:cantSplit/>
        </w:trPr>
        <w:tc>
          <w:tcPr>
            <w:tcW w:type="dxa" w:w="49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8F6"/>
          </w:tcPr>
          <w:p>
            <w:pPr>
              <w:spacing w:after="0"/>
            </w:pPr>
            <w:r>
              <w:rPr>
                <w:b/>
                <w:color w:val="111111"/>
              </w:rPr>
              <w:t>Esecuzione</w:t>
            </w:r>
          </w:p>
        </w:tc>
        <w:tc>
          <w:tcPr>
            <w:tcW w:type="dxa" w:w="49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t>Generazione degli embedding, ricerca e ranking nel browser</w:t>
            </w:r>
          </w:p>
        </w:tc>
      </w:tr>
    </w:tbl>
    <w:p/>
    <w:p>
      <w:pPr>
        <w:pStyle w:val="Heading2"/>
      </w:pPr>
      <w:r>
        <w:t>Contenuti</w:t>
      </w:r>
    </w:p>
    <w:p>
      <w:pPr>
        <w:pStyle w:val="ListBullet"/>
        <w:spacing w:after="40"/>
      </w:pPr>
      <w:r>
        <w:t>1. Flusso tecnico della POC</w:t>
      </w:r>
    </w:p>
    <w:p>
      <w:pPr>
        <w:pStyle w:val="ListBullet"/>
        <w:spacing w:after="40"/>
      </w:pPr>
      <w:r>
        <w:t>2. Architettura</w:t>
      </w:r>
    </w:p>
    <w:p>
      <w:pPr>
        <w:pStyle w:val="ListBullet"/>
        <w:spacing w:after="40"/>
      </w:pPr>
      <w:r>
        <w:t>3. Modello ed embedding</w:t>
      </w:r>
    </w:p>
    <w:p>
      <w:pPr>
        <w:pStyle w:val="ListBullet"/>
        <w:spacing w:after="40"/>
      </w:pPr>
      <w:r>
        <w:t>4. Ricerca e ranking</w:t>
      </w:r>
    </w:p>
    <w:p>
      <w:pPr>
        <w:pStyle w:val="ListBullet"/>
        <w:spacing w:after="40"/>
      </w:pPr>
      <w:r>
        <w:t>5. Filtri automatici</w:t>
      </w:r>
    </w:p>
    <w:p>
      <w:pPr>
        <w:pStyle w:val="ListBullet"/>
        <w:spacing w:after="40"/>
      </w:pPr>
      <w:r>
        <w:t>6. Prestazioni</w:t>
      </w:r>
    </w:p>
    <w:p>
      <w:pPr>
        <w:pStyle w:val="ListBullet"/>
        <w:spacing w:after="40"/>
      </w:pPr>
      <w:r>
        <w:t>7. Dati, qualità e limiti</w:t>
      </w:r>
    </w:p>
    <w:p>
      <w:pPr>
        <w:pStyle w:val="ListBullet"/>
        <w:spacing w:after="40"/>
      </w:pPr>
      <w:r>
        <w:t>8. Domande critiche</w:t>
      </w:r>
    </w:p>
    <w:p>
      <w:r>
        <w:br w:type="page"/>
      </w:r>
    </w:p>
    <w:p>
      <w:pPr>
        <w:pStyle w:val="Heading1"/>
      </w:pPr>
      <w:r>
        <w:t>1. Flusso tecnico della POC</w:t>
      </w:r>
    </w:p>
    <w:p>
      <w:r>
        <w:t>La POC dimostra che una ricerca semantica può essere eseguita direttamente nel frontend. Il browser carica un modello di embedding tramite Transformers.js, trasforma query e prodotti in vettori numerici confrontabili e calcola il ranking senza inviare ogni ricerca a un servizio AI esterno.</w:t>
      </w:r>
    </w:p>
    <w:p>
      <w:pPr>
        <w:pStyle w:val="Heading2"/>
      </w:pPr>
      <w:r>
        <w:t>Preparazione della knowledge base</w:t>
      </w:r>
    </w:p>
    <w:p>
      <w:r>
        <w:t>I prodotti arrivano come dati strutturati. Il codice applicativo seleziona e normalizza gli attributi rilevanti, quindi costruisce per ogni prodotto una descrizione testuale uniforme. Questa descrizione non viene scritta dal modello: è prodotta in modo deterministico dal nostro codice, così prodotti diversi vengono rappresentati secondo lo stesso schema.</w:t>
      </w:r>
    </w:p>
    <w:p>
      <w:pPr>
        <w:pStyle w:val="Heading2"/>
      </w:pPr>
      <w:r>
        <w:t>Generazione e riuso degli embedding</w:t>
      </w:r>
    </w:p>
    <w:p>
      <w:r>
        <w:t>Al primo caricamento utile, il modello Xenova/multilingual-e5-small viene inizializzato nel browser. Le descrizioni dei prodotti, precedute dal prefisso “passage:”, vengono tokenizzate e trasformate in embedding normalizzati di 384 valori. Gli embedding sono associati agli identificativi dei prodotti e persistiti con le informazioni di versione del modello, in modo da poterli recuperare negli accessi successivi.</w:t>
      </w:r>
    </w:p>
    <w:p>
      <w:r>
        <w:t>Quando l’applicazione viene riaperta, la copia in memoria viene ricostruita recuperando gli embedding già disponibili. Se il modello o la versione della rappresentazione testuale cambiano, gli elementi non più compatibili vengono rigenerati. I file del modello sono inoltre memorizzati nella cache del browser.</w:t>
      </w:r>
    </w:p>
    <w:p>
      <w:pPr>
        <w:pStyle w:val="Heading2"/>
      </w:pPr>
      <w:r>
        <w:t>Esecuzione della ricerca</w:t>
      </w:r>
    </w:p>
    <w:p>
      <w:r>
        <w:t>La query dell’utente è già testo in linguaggio naturale e non richiede la costruzione della descrizione usata per i prodotti. Viene preceduta dal prefisso “query:” e trasformata dallo stesso modello in un embedding. Il sistema confronta quindi il vettore della query con tutti i vettori dei prodotti attraverso la similarità coseno. Al punteggio semantico possono essere sommati boost derivati da regole di business configurabili; il risultato finale determina l’ordinamento e i Top Match.</w:t>
      </w:r>
    </w:p>
    <w:p>
      <w:pPr>
        <w:pStyle w:val="Heading2"/>
      </w:pPr>
      <w:r>
        <w:t>Esperienza AI-driven</w:t>
      </w:r>
    </w:p>
    <w:p>
      <w:r>
        <w:t>L’interfaccia rende immediatamente visibili i tre risultati migliori, il relativo score e i criteri che hanno contribuito al ranking. In parallelo, alcune informazioni riconoscibili nella query possono precompilare i filtri della ricerca avanzata. Nella versione attuale questo secondo comportamento è deterministico e basato su regole; l’adozione di un ulteriore modello locale per il query understanding è una possibile evoluzione.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cantSplit/>
        </w:trPr>
        <w:tc>
          <w:tcPr>
            <w:tcW w:type="dxa" w:w="1361"/>
            <w:tcMar>
              <w:top w:w="90" w:type="dxa"/>
              <w:start w:w="55" w:type="dxa"/>
              <w:bottom w:w="90" w:type="dxa"/>
              <w:end w:w="55" w:type="dxa"/>
            </w:tcMar>
            <w:vAlign w:val="center"/>
            <w:shd w:fill="F4F8F6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Prodotti</w:t>
              <w:br/>
              <w:t>normalizzati</w:t>
            </w:r>
          </w:p>
        </w:tc>
        <w:tc>
          <w:tcPr>
            <w:tcW w:type="dxa" w:w="1191"/>
            <w:tcMar>
              <w:top w:w="90" w:type="dxa"/>
              <w:start w:w="55" w:type="dxa"/>
              <w:bottom w:w="90" w:type="dxa"/>
              <w:end w:w="55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Embedding</w:t>
              <w:br/>
              <w:t>prodotti</w:t>
            </w:r>
          </w:p>
        </w:tc>
        <w:tc>
          <w:tcPr>
            <w:tcW w:type="dxa" w:w="1361"/>
            <w:tcMar>
              <w:top w:w="90" w:type="dxa"/>
              <w:start w:w="55" w:type="dxa"/>
              <w:bottom w:w="90" w:type="dxa"/>
              <w:end w:w="55" w:type="dxa"/>
            </w:tcMar>
            <w:vAlign w:val="center"/>
            <w:shd w:fill="F4F8F6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Indice</w:t>
              <w:br/>
              <w:t>in memoria</w:t>
            </w:r>
          </w:p>
        </w:tc>
        <w:tc>
          <w:tcPr>
            <w:tcW w:type="dxa" w:w="1134"/>
            <w:tcMar>
              <w:top w:w="90" w:type="dxa"/>
              <w:start w:w="55" w:type="dxa"/>
              <w:bottom w:w="90" w:type="dxa"/>
              <w:end w:w="55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Query →</w:t>
              <w:br/>
              <w:t>embedding</w:t>
            </w:r>
          </w:p>
        </w:tc>
        <w:tc>
          <w:tcPr>
            <w:tcW w:type="dxa" w:w="1361"/>
            <w:tcMar>
              <w:top w:w="90" w:type="dxa"/>
              <w:start w:w="55" w:type="dxa"/>
              <w:bottom w:w="90" w:type="dxa"/>
              <w:end w:w="55" w:type="dxa"/>
            </w:tcMar>
            <w:vAlign w:val="center"/>
            <w:shd w:fill="F4F8F6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Similarità</w:t>
              <w:br/>
              <w:t>coseno</w:t>
            </w:r>
          </w:p>
        </w:tc>
        <w:tc>
          <w:tcPr>
            <w:tcW w:type="dxa" w:w="1134"/>
            <w:tcMar>
              <w:top w:w="90" w:type="dxa"/>
              <w:start w:w="55" w:type="dxa"/>
              <w:bottom w:w="90" w:type="dxa"/>
              <w:end w:w="55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Ranking</w:t>
              <w:br/>
              <w:t>finale</w:t>
            </w:r>
          </w:p>
        </w:tc>
        <w:tc>
          <w:tcPr>
            <w:tcW w:type="dxa" w:w="1361"/>
            <w:tcMar>
              <w:top w:w="90" w:type="dxa"/>
              <w:start w:w="55" w:type="dxa"/>
              <w:bottom w:w="90" w:type="dxa"/>
              <w:end w:w="55" w:type="dxa"/>
            </w:tcMar>
            <w:vAlign w:val="center"/>
            <w:shd w:fill="F4F8F6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Top Match</w:t>
              <w:br/>
              <w:t>e filtri</w:t>
            </w:r>
          </w:p>
        </w:tc>
      </w:tr>
    </w:tbl>
    <w:p>
      <w:r>
        <w:br w:type="page"/>
      </w:r>
    </w:p>
    <w:p>
      <w:pPr>
        <w:pStyle w:val="Heading1"/>
      </w:pPr>
      <w:r>
        <w:t>2. Domande e risposte</w:t>
      </w:r>
    </w:p>
    <w:p>
      <w:r>
        <w:t>Le risposte seguenti sono formulate per essere utilizzate anche oralmente. Dove opportuno, viene indicato il confine tra la POC attuale e una possibile industrializzazione.</w:t>
      </w:r>
    </w:p>
    <w:p>
      <w:pPr>
        <w:pStyle w:val="Heading2"/>
      </w:pPr>
      <w:r>
        <w:t>Architettura</w:t>
      </w:r>
    </w:p>
    <w:p>
      <w:pPr>
        <w:pStyle w:val="Question"/>
      </w:pPr>
      <w:r>
        <w:t>1. Cosa significa realmente “on-device”?</w:t>
      </w:r>
    </w:p>
    <w:p>
      <w:pPr>
        <w:pStyle w:val="Answer"/>
      </w:pPr>
      <w:r>
        <w:t>Significa che l’inferenza necessaria a trasformare la query in embedding e il confronto con gli embedding dei prodotti avvengono nel browser dell’utente. Il backend continua a distribuire il dataset e a supportare la persistenza. Quindi la POC è on-device per la parte AI e di ricerca, ma non è un’applicazione completamente offline.</w:t>
      </w:r>
    </w:p>
    <w:p>
      <w:pPr>
        <w:pStyle w:val="Question"/>
      </w:pPr>
      <w:r>
        <w:t>2. Qual è il ruolo di Transformers.js?</w:t>
      </w:r>
    </w:p>
    <w:p>
      <w:pPr>
        <w:pStyle w:val="Answer"/>
      </w:pPr>
      <w:r>
        <w:t>Transformers.js consente di scaricare, inizializzare ed eseguire nel browser un modello compatibile con il formato ONNX. Nel nostro caso espone una pipeline di feature extraction: riceve il testo tokenizzato, esegue il modello e restituisce un vettore normalizzato utilizzabile per la ricerca semantica.</w:t>
      </w:r>
    </w:p>
    <w:p>
      <w:pPr>
        <w:pStyle w:val="Question"/>
      </w:pPr>
      <w:r>
        <w:t>3. Dove vengono memorizzati il modello e gli embedding?</w:t>
      </w:r>
    </w:p>
    <w:p>
      <w:pPr>
        <w:pStyle w:val="Answer"/>
      </w:pPr>
      <w:r>
        <w:t>I file del modello vengono memorizzati dalla cache del browser. Gli embedding dei prodotti vengono persistiti lato backend insieme all’identificativo del prodotto e alla versione del modello; quando la pagina è attiva, vengono inoltre caricati in un indice in memoria, cioè una struttura JavaScript disponibile nella RAM del browser.</w:t>
      </w:r>
    </w:p>
    <w:p>
      <w:pPr>
        <w:pStyle w:val="Question"/>
      </w:pPr>
      <w:r>
        <w:t>4. Gli embedding vengono rigenerati a ogni accesso?</w:t>
      </w:r>
    </w:p>
    <w:p>
      <w:pPr>
        <w:pStyle w:val="Answer"/>
      </w:pPr>
      <w:r>
        <w:t>No. All’avvio il sistema verifica se esiste un embedding compatibile per ciascun prodotto. Se modello, versione e rappresentazione testuale coincidono, l’embedding viene riutilizzato. Vengono rigenerati soltanto gli elementi mancanti o non più compatibili.</w:t>
      </w:r>
    </w:p>
    <w:p>
      <w:pPr>
        <w:pStyle w:val="Question"/>
      </w:pPr>
      <w:r>
        <w:t>5. Perché è stato usato SQLite e non un database vettoriale?</w:t>
      </w:r>
    </w:p>
    <w:p>
      <w:pPr>
        <w:pStyle w:val="Answer"/>
      </w:pPr>
      <w:r>
        <w:t>Per una POC con 1.709 prodotti, SQLite è sufficiente per persistere vettori e metadati senza introdurre ulteriore infrastruttura. La ricerca non viene eseguita da SQLite: i vettori vengono caricati in memoria e confrontati nel browser. Un database vettoriale o un indice ANN diventerebbero opportuni con cataloghi molto più grandi o requisiti di ricerca server-side.</w:t>
      </w:r>
    </w:p>
    <w:p>
      <w:pPr>
        <w:pStyle w:val="Heading2"/>
      </w:pPr>
      <w:r>
        <w:t>Modello ed embedding</w:t>
      </w:r>
    </w:p>
    <w:p>
      <w:pPr>
        <w:pStyle w:val="Question"/>
      </w:pPr>
      <w:r>
        <w:t>6. Come viene trasformato un prodotto in un embedding?</w:t>
      </w:r>
    </w:p>
    <w:p>
      <w:pPr>
        <w:pStyle w:val="Answer"/>
      </w:pPr>
      <w:r>
        <w:t>Il codice estrae i campi rilevanti, normalizza valori e categorie e costruisce una descrizione testuale uniforme. Il tokenizer suddivide il testo in token e li converte in identificativi numerici. Il modello elabora questi token nel loro contesto e produce rappresentazioni interne; con mean pooling e normalizzazione si ottiene un singolo vettore di 384 dimensioni.</w:t>
      </w:r>
    </w:p>
    <w:p>
      <w:pPr>
        <w:pStyle w:val="Question"/>
      </w:pPr>
      <w:r>
        <w:t>7. È il modello a costruire la descrizione del prodotto?</w:t>
      </w:r>
    </w:p>
    <w:p>
      <w:pPr>
        <w:pStyle w:val="Answer"/>
      </w:pPr>
      <w:r>
        <w:t>No. La descrizione viene costruita dal codice applicativo con un template deterministico. Il modello interviene dopo e trasforma quella descrizione in un embedding. Questa separazione rende la rappresentazione ripetibile e controllabile.</w:t>
      </w:r>
    </w:p>
    <w:p>
      <w:pPr>
        <w:pStyle w:val="Question"/>
      </w:pPr>
      <w:r>
        <w:t>8. Come riconosce sinonimi e contesto?</w:t>
      </w:r>
    </w:p>
    <w:p>
      <w:pPr>
        <w:pStyle w:val="Answer"/>
      </w:pPr>
      <w:r>
        <w:t>La conoscenza linguistica deriva dall’addestramento del modello su grandi quantità di coppie e frasi semanticamente correlate. Durante l’inferenza i token non vengono interpretati isolatamente: i meccanismi di attenzione producono rappresentazioni contestuali, per cui termini diversi possono risultare vicini quando esprimono concetti simili.</w:t>
      </w:r>
    </w:p>
    <w:p>
      <w:pPr>
        <w:pStyle w:val="Question"/>
      </w:pPr>
      <w:r>
        <w:t>9. Perché un modello di embedding invece di un LLM?</w:t>
      </w:r>
    </w:p>
    <w:p>
      <w:pPr>
        <w:pStyle w:val="Answer"/>
      </w:pPr>
      <w:r>
        <w:t>Il problema principale è il retrieval, cioè confrontare rapidamente una query con molti elementi. Un modello di embedding è più leggero, produce vettori riutilizzabili, ha latenza e requisiti inferiori ed è adatto al calcolo massivo della similarità. Un LLM è più indicato per comprendere o riscrivere richieste complesse e generare spiegazioni; può essere aggiunto in una fase separata, senza sostituire il motore di retrieval.</w:t>
      </w:r>
    </w:p>
    <w:p>
      <w:pPr>
        <w:pStyle w:val="Question"/>
      </w:pPr>
      <w:r>
        <w:t>10. Perché vengono usati i prefissi “query:” e “passage:”?</w:t>
      </w:r>
    </w:p>
    <w:p>
      <w:pPr>
        <w:pStyle w:val="Answer"/>
      </w:pPr>
      <w:r>
        <w:t>Il modello E5 è stato addestrato distinguendo testi di ricerca e documenti da recuperare. I prefissi indicano il ruolo del testo e permettono di utilizzare il modello come previsto dal suo addestramento: “query:” per la richiesta e “passage:” per la descrizione del prodotto.</w:t>
      </w:r>
    </w:p>
    <w:p>
      <w:pPr>
        <w:pStyle w:val="Question"/>
      </w:pPr>
      <w:r>
        <w:t>11. Perché è stato scelto multilingual-e5-small?</w:t>
      </w:r>
    </w:p>
    <w:p>
      <w:pPr>
        <w:pStyle w:val="Answer"/>
      </w:pPr>
      <w:r>
        <w:t>Nel confronto svolto nella POC ha offerto il miglior equilibrio tra qualità, dimensione e velocità. Supporta più lingue, produce vettori compatti da 384 dimensioni ed è abbastanza leggero per l’esecuzione nel browser. Sul benchmark manuale di nove query ha ottenuto otto risultati giudicati buoni e uno parziale, senza casi deboli.</w:t>
      </w:r>
    </w:p>
    <w:p>
      <w:pPr>
        <w:pStyle w:val="Heading2"/>
      </w:pPr>
      <w:r>
        <w:t>Ricerca e ranking</w:t>
      </w:r>
    </w:p>
    <w:p>
      <w:pPr>
        <w:pStyle w:val="Question"/>
      </w:pPr>
      <w:r>
        <w:t>12. Come viene calcolata la similarità?</w:t>
      </w:r>
    </w:p>
    <w:p>
      <w:pPr>
        <w:pStyle w:val="Answer"/>
      </w:pPr>
      <w:r>
        <w:t>Per ogni prodotto viene calcolata la similarità coseno tra il suo embedding e quello della query. La misura confronta la direzione dei due vettori: più sono allineati, maggiore è la vicinanza semantica. Poiché gli embedding sono normalizzati, il calcolo è efficiente e stabile.</w:t>
      </w:r>
    </w:p>
    <w:p>
      <w:pPr>
        <w:pStyle w:val="Question"/>
      </w:pPr>
      <w:r>
        <w:t>13. Perché è stata scelta la similarità coseno?</w:t>
      </w:r>
    </w:p>
    <w:p>
      <w:pPr>
        <w:pStyle w:val="Answer"/>
      </w:pPr>
      <w:r>
        <w:t>È la metrica normalmente associata ai modelli di sentence embedding e misura l’orientamento semantico senza essere influenzata dalla lunghezza del vettore. Per il modello adottato è una scelta coerente con il modo in cui gli embedding vengono addestrati e normalizzati.</w:t>
      </w:r>
    </w:p>
    <w:p>
      <w:pPr>
        <w:pStyle w:val="Question"/>
      </w:pPr>
      <w:r>
        <w:t>14. Lo score mostrato dipende soltanto dal modello?</w:t>
      </w:r>
    </w:p>
    <w:p>
      <w:pPr>
        <w:pStyle w:val="Answer"/>
      </w:pPr>
      <w:r>
        <w:t>No. Il sistema calcola uno score semantico e può aggiungere un business boost derivato da regole esplicite. Lo score finale è quindi la somma dei due contributi. Nei log vengono mantenuti separati semanticScore, businessBoost, finalScore e matchedRules, così il ranking resta ispezionabile.</w:t>
      </w:r>
    </w:p>
    <w:p>
      <w:pPr>
        <w:pStyle w:val="Question"/>
      </w:pPr>
      <w:r>
        <w:t>15. Le regole di business non rischiano di alterare troppo i risultati?</w:t>
      </w:r>
    </w:p>
    <w:p>
      <w:pPr>
        <w:pStyle w:val="Answer"/>
      </w:pPr>
      <w:r>
        <w:t>Sì, se configurate con pesi eccessivi. Per questo devono essere trasparenti, misurabili e validate su query rappresentative. Il vantaggio dell’approccio ibrido è poter riflettere vincoli applicativi; il rischio è mascherare la qualità semantica. I due contributi vanno quindi monitorati separatamente.</w:t>
      </w:r>
    </w:p>
    <w:p>
      <w:pPr>
        <w:pStyle w:val="Question"/>
      </w:pPr>
      <w:r>
        <w:t>16. Perché vengono evidenziati proprio tre Top Match?</w:t>
      </w:r>
    </w:p>
    <w:p>
      <w:pPr>
        <w:pStyle w:val="Answer"/>
      </w:pPr>
      <w:r>
        <w:t>Tre risultati consentono di dare una risposta immediata senza nascondere il resto del catalogo. È una scelta di interfaccia, non un limite del motore: la lista completa resta disponibile e il numero di elementi evidenziati può essere configurato.</w:t>
      </w:r>
    </w:p>
    <w:p>
      <w:pPr>
        <w:pStyle w:val="Question"/>
      </w:pPr>
      <w:r>
        <w:t>17. La ricerca semantica sostituisce la ricerca esatta?</w:t>
      </w:r>
    </w:p>
    <w:p>
      <w:pPr>
        <w:pStyle w:val="Answer"/>
      </w:pPr>
      <w:r>
        <w:t>No. Identificativi, codici e nomi precisi devono beneficiare di corrispondenze esatte o di un ranking ibrido. La ricerca semantica è particolarmente utile per bisogni descrittivi e concetti approssimativi; una soluzione completa combina ricerca esatta, filtri e similarità semantica.</w:t>
      </w:r>
    </w:p>
    <w:p>
      <w:pPr>
        <w:pStyle w:val="Heading2"/>
      </w:pPr>
      <w:r>
        <w:t>Filtri automatici</w:t>
      </w:r>
    </w:p>
    <w:p>
      <w:pPr>
        <w:pStyle w:val="Question"/>
      </w:pPr>
      <w:r>
        <w:t>18. È il modello E5 a popolare automaticamente i filtri?</w:t>
      </w:r>
    </w:p>
    <w:p>
      <w:pPr>
        <w:pStyle w:val="Answer"/>
      </w:pPr>
      <w:r>
        <w:t>No. Nella POC attuale il popolamento dei filtri è deterministico. Il testo viene normalizzato e confrontato con espressioni regolari, parole chiave e gruppi di sinonimi configurati nel codice. Sono gestiti valori espliciti, categorie, valuta, attributi booleani e alcune forme di negazione.</w:t>
      </w:r>
    </w:p>
    <w:p>
      <w:pPr>
        <w:pStyle w:val="Question"/>
      </w:pPr>
      <w:r>
        <w:t>19. Possiamo comunque definire l’interfaccia “AI-driven”?</w:t>
      </w:r>
    </w:p>
    <w:p>
      <w:pPr>
        <w:pStyle w:val="Answer"/>
      </w:pPr>
      <w:r>
        <w:t>Sì, perché l’esperienza complessiva è guidata dal ranking semantico e presenta Top Match, score e criteri riconosciuti. È però corretto precisare che l’autocompilazione dei filtri è oggi rule-based. Un secondo modello locale per il query understanding è una possibile evoluzione, non una funzionalità già presente.</w:t>
      </w:r>
    </w:p>
    <w:p>
      <w:pPr>
        <w:pStyle w:val="Question"/>
      </w:pPr>
      <w:r>
        <w:t>20. Cosa succede con un sinonimo non previsto dalle regole dei filtri?</w:t>
      </w:r>
    </w:p>
    <w:p>
      <w:pPr>
        <w:pStyle w:val="Answer"/>
      </w:pPr>
      <w:r>
        <w:t>Il retrieval semantico può comunque recuperare prodotti coerenti, perché il modello riconosce relazioni linguistiche apprese. Il filtro, invece, potrebbe non essere precompilato. È il limite principale dell’approccio deterministico e il motivo per cui è stata valutata l’aggiunta futura di un modello dedicato alla classificazione degli intenti.</w:t>
      </w:r>
    </w:p>
    <w:p>
      <w:pPr>
        <w:pStyle w:val="Heading2"/>
      </w:pPr>
      <w:r>
        <w:t>Prestazioni</w:t>
      </w:r>
    </w:p>
    <w:p>
      <w:pPr>
        <w:pStyle w:val="Question"/>
      </w:pPr>
      <w:r>
        <w:t>21. Come sono stati misurati i tempi della query?</w:t>
      </w:r>
    </w:p>
    <w:p>
      <w:pPr>
        <w:pStyle w:val="Answer"/>
      </w:pPr>
      <w:r>
        <w:t>Il codice usa performance.now() prima e dopo l’intera funzione di ricerca. La misura comprende la generazione dell’embedding della query, il confronto coseno con tutti i prodotti, l’applicazione dei boost e l’ordinamento. Non comprende il rendering dell’interfaccia, il download iniziale del modello o la generazione iniziale dell’indice.</w:t>
      </w:r>
    </w:p>
    <w:p>
      <w:pPr>
        <w:pStyle w:val="Question"/>
      </w:pPr>
      <w:r>
        <w:t>22. Cosa significa “query warm”?</w:t>
      </w:r>
    </w:p>
    <w:p>
      <w:pPr>
        <w:pStyle w:val="Answer"/>
      </w:pPr>
      <w:r>
        <w:t>È una ricerca eseguita quando il modello è già caricato, gli embedding dei prodotti sono già disponibili in memoria e il motore ha già completato l’inizializzazione. Misura quindi il comportamento normale dopo il primo avvio, senza includere i costi di preparazione.</w:t>
      </w:r>
    </w:p>
    <w:p>
      <w:pPr>
        <w:pStyle w:val="Question"/>
      </w:pPr>
      <w:r>
        <w:t>23. I 21 millisecondi sono un valore garantito?</w:t>
      </w:r>
    </w:p>
    <w:p>
      <w:pPr>
        <w:pStyle w:val="Answer"/>
      </w:pPr>
      <w:r>
        <w:t>No. È la media osservata nella macchina usata per la POC sulle nove query di benchmark con il modello E5 e il catalogo disponibile. Il valore dipende da hardware, browser, numero di prodotti e carico del dispositivo; va presentato come misura sperimentale, non come SLA.</w:t>
      </w:r>
    </w:p>
    <w:p>
      <w:pPr>
        <w:pStyle w:val="Question"/>
      </w:pPr>
      <w:r>
        <w:t>24. Perché il primo caricamento è più lento?</w:t>
      </w:r>
    </w:p>
    <w:p>
      <w:pPr>
        <w:pStyle w:val="Answer"/>
      </w:pPr>
      <w:r>
        <w:t>La prima esecuzione può richiedere il download e l’inizializzazione del modello, il controllo della cache e la generazione degli embedding mancanti. Nel benchmark su 1.509 prodotti, la generazione completa con E5 ha richiesto circa 6 minuti e 16 secondi. Il catalogo finale è poi cresciuto a 1.709 elementi, quindi i due numeri non descrivono lo stesso dataset.</w:t>
      </w:r>
    </w:p>
    <w:p>
      <w:pPr>
        <w:pStyle w:val="Question"/>
      </w:pPr>
      <w:r>
        <w:t>25. Come viene evitato il blocco dell’interfaccia?</w:t>
      </w:r>
    </w:p>
    <w:p>
      <w:pPr>
        <w:pStyle w:val="Answer"/>
      </w:pPr>
      <w:r>
        <w:t>L’indicizzazione viene suddivisa in batch e il controllo viene periodicamente restituito al browser, così la pagina può continuare a reagire. Per carichi più elevati o per un secondo modello locale, l’evoluzione naturale è spostare l’elaborazione in un Web Worker, separandola dal thread che gestisce l’interfaccia.</w:t>
      </w:r>
    </w:p>
    <w:p>
      <w:pPr>
        <w:pStyle w:val="Heading2"/>
      </w:pPr>
      <w:r>
        <w:t>Dati, qualità e limiti</w:t>
      </w:r>
    </w:p>
    <w:p>
      <w:pPr>
        <w:pStyle w:val="Question"/>
      </w:pPr>
      <w:r>
        <w:t>26. Il modello conosce già i prodotti del catalogo?</w:t>
      </w:r>
    </w:p>
    <w:p>
      <w:pPr>
        <w:pStyle w:val="Answer"/>
      </w:pPr>
      <w:r>
        <w:t>No. Il modello conosce strutture linguistiche generali, non il catalogo specifico. Sono la knowledge base e le descrizioni costruite dal codice a fornire le informazioni sui prodotti. Il modello le traduce in uno spazio vettoriale confrontabile.</w:t>
      </w:r>
    </w:p>
    <w:p>
      <w:pPr>
        <w:pStyle w:val="Question"/>
      </w:pPr>
      <w:r>
        <w:t>27. Cosa accade se i dati dei prodotti sono incompleti?</w:t>
      </w:r>
    </w:p>
    <w:p>
      <w:pPr>
        <w:pStyle w:val="Answer"/>
      </w:pPr>
      <w:r>
        <w:t>La qualità del retrieval diminuisce: un embedding non può rappresentare caratteristiche che non sono presenti nella descrizione. La completezza, la coerenza e la normalizzazione della knowledge base sono quindi parte integrante della qualità della soluzione.</w:t>
      </w:r>
    </w:p>
    <w:p>
      <w:pPr>
        <w:pStyle w:val="Question"/>
      </w:pPr>
      <w:r>
        <w:t>28. Come è stata valutata la qualità dei modelli?</w:t>
      </w:r>
    </w:p>
    <w:p>
      <w:pPr>
        <w:pStyle w:val="Answer"/>
      </w:pPr>
      <w:r>
        <w:t>Sono state usate nove query rappresentative. Per ciascuna query sono stati analizzati manualmente i primi tre risultati e classificati come buoni, parziali o deboli. È un benchmark utile per la POC, ma non sostituisce una valutazione più ampia con giudizi di dominio, metriche come Precision@K o nDCG e un insieme di query versionato.</w:t>
      </w:r>
    </w:p>
    <w:p>
      <w:pPr>
        <w:pStyle w:val="Question"/>
      </w:pPr>
      <w:r>
        <w:t>29. Perché compaiono sia 1.509 sia 1.709 prodotti?</w:t>
      </w:r>
    </w:p>
    <w:p>
      <w:pPr>
        <w:pStyle w:val="Answer"/>
      </w:pPr>
      <w:r>
        <w:t>Il benchmark di generazione e confronto tra modelli è stato eseguito quando il dataset conteneva 1.509 prodotti. La knowledge base finale è poi arrivata a 1.709 elementi. Nel talk bisogna associare sempre ogni misura alla versione del dataset utilizzata.</w:t>
      </w:r>
    </w:p>
    <w:p>
      <w:pPr>
        <w:pStyle w:val="Question"/>
      </w:pPr>
      <w:r>
        <w:t>30. La soluzione è già pronta per la produzione?</w:t>
      </w:r>
    </w:p>
    <w:p>
      <w:pPr>
        <w:pStyle w:val="Answer"/>
      </w:pPr>
      <w:r>
        <w:t>No. La POC dimostra fattibilità tecnica e valore dell’esperienza utente. Per un’industrializzazione servono benchmark più ampi, gestione robusta degli errori, osservabilità, accessibilità, policy di aggiornamento del modello, sicurezza, test su più dispositivi e una strategia di scalabilità per cataloghi più grandi.</w:t>
      </w:r>
    </w:p>
    <w:p>
      <w:pPr>
        <w:pStyle w:val="Heading2"/>
      </w:pPr>
      <w:r>
        <w:t>Domande critiche</w:t>
      </w:r>
    </w:p>
    <w:p>
      <w:pPr>
        <w:pStyle w:val="Question"/>
      </w:pPr>
      <w:r>
        <w:t>31. Perché eseguire questa logica nel frontend invece che su un server?</w:t>
      </w:r>
    </w:p>
    <w:p>
      <w:pPr>
        <w:pStyle w:val="Answer"/>
      </w:pPr>
      <w:r>
        <w:t>Il frontend riduce la latenza dopo l’inizializzazione, evita una chiamata AI per ogni query, mantiene la richiesta sul dispositivo e dimostra che il retrieval può essere integrato in applicazioni esistenti con infrastruttura ridotta. Il compromesso è trasferire download, memoria e calcolo al dispositivo dell’utente.</w:t>
      </w:r>
    </w:p>
    <w:p>
      <w:pPr>
        <w:pStyle w:val="Question"/>
      </w:pPr>
      <w:r>
        <w:t>32. La query dell’utente viene inviata a terze parti?</w:t>
      </w:r>
    </w:p>
    <w:p>
      <w:pPr>
        <w:pStyle w:val="Answer"/>
      </w:pPr>
      <w:r>
        <w:t>Durante la ricerca no: la query viene elaborata localmente dal modello già caricato. Al primo utilizzo, i file del modello sono scaricati dall’hosting configurato, attualmente Hugging Face, a meno di scegliere il self-hosting. Questa distinzione va esplicitata quando si parla di privacy e on-device.</w:t>
      </w:r>
    </w:p>
    <w:p>
      <w:pPr>
        <w:pStyle w:val="Question"/>
      </w:pPr>
      <w:r>
        <w:t>33. Cosa succede se il modello non si carica?</w:t>
      </w:r>
    </w:p>
    <w:p>
      <w:pPr>
        <w:pStyle w:val="Answer"/>
      </w:pPr>
      <w:r>
        <w:t>La POC prevede un fallback mock utile allo sviluppo. In una versione industriale sarebbe preferibile mostrare chiaramente l’indisponibilità della ricerca semantica e mantenere funzionanti ricerca tradizionale e filtri, evitando di presentare risultati simulati come risultati reali.</w:t>
      </w:r>
    </w:p>
    <w:p>
      <w:pPr>
        <w:pStyle w:val="Question"/>
      </w:pPr>
      <w:r>
        <w:t>34. Qual è oggi il limite tecnico principale?</w:t>
      </w:r>
    </w:p>
    <w:p>
      <w:pPr>
        <w:pStyle w:val="Answer"/>
      </w:pPr>
      <w:r>
        <w:t>L’indice in memoria è una semplice collezione JavaScript e ogni query confronta linearmente tutti i vettori. Con 1.709 prodotti è una soluzione adeguata; con cataloghi molto più grandi sarebbe necessario valutare un indice ANN, un motore vettoriale o una ricerca server-side. Anche il query understanding dei filtri è ancora basato su regole.</w:t>
      </w:r>
    </w:p>
    <w:p>
      <w:r>
        <w:br w:type="page"/>
      </w:r>
    </w:p>
    <w:p>
      <w:pPr>
        <w:pStyle w:val="Heading1"/>
      </w:pPr>
      <w:r>
        <w:t>Risposta prudente quando manca una misura</w:t>
      </w:r>
    </w:p>
    <w:p>
      <w:pPr>
        <w:spacing w:before="200" w:after="200"/>
        <w:ind w:left="454" w:right="454"/>
      </w:pPr>
      <w:r>
        <w:rPr>
          <w:i/>
          <w:color w:val="111111"/>
          <w:sz w:val="26"/>
        </w:rPr>
        <w:t>“Non abbiamo ancora un dato sufficientemente validato per dare un numero definitivo. Nella POC abbiamo verificato la fattibilità; quel punto rientra tra le misurazioni necessarie prima di un’eventuale industrializzazione.”</w:t>
      </w:r>
    </w:p>
    <w:p>
      <w:r>
        <w:t>Questa formulazione evita stime non dimostrate e mantiene il focus sul risultato effettivamente raggiunto: la fattibilità della ricerca semantica nel browser e il valore dell’interfaccia AI-driven.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F6368"/>
        <w:sz w:val="16"/>
      </w:rPr>
      <w:t xml:space="preserve">Open Reply  |  Documento di preparazione al talk  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ptos" w:hAnsi="Aptos"/>
        <w:b/>
        <w:color w:val="5F6368"/>
        <w:sz w:val="16"/>
      </w:rPr>
      <w:t>ON DEVICE SEMANTIC SEARCH  |  GUIDA TECNICA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111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111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1111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11111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180" w:after="40"/>
    </w:pPr>
    <w:rPr>
      <w:rFonts w:ascii="Aptos" w:hAnsi="Aptos"/>
      <w:b/>
      <w:color w:val="111111"/>
      <w:sz w:val="22"/>
    </w:rPr>
  </w:style>
  <w:style w:type="paragraph" w:customStyle="1" w:styleId="Answer">
    <w:name w:val="Answer"/>
    <w:pPr>
      <w:spacing w:after="140" w:line="264" w:lineRule="auto"/>
    </w:pPr>
    <w:rPr>
      <w:rFonts w:ascii="Aptos" w:hAnsi="Aptos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