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Calibri" w:cs="Calibri" w:eastAsia="Calibri" w:hAnsi="Calibri"/>
          <w:b/>
          <w:bCs/>
          <w:color w:val="808080"/>
          <w:sz w:val="24"/>
          <w:szCs w:val="24"/>
        </w:rPr>
        <w:t xml:space="preserve">PROPOSTA DE DESENVOLVIMENTO</w:t>
      </w:r>
    </w:p>
    <w:p>
      <w:pPr>
        <w:spacing w:after="160"/>
        <w:jc w:val="center"/>
      </w:pPr>
      <w:r>
        <w:rPr>
          <w:rFonts w:ascii="Calibri" w:cs="Calibri" w:eastAsia="Calibri" w:hAnsi="Calibri"/>
          <w:b/>
          <w:bCs/>
          <w:color w:val="1F4E79"/>
          <w:sz w:val="40"/>
          <w:szCs w:val="40"/>
        </w:rPr>
        <w:t xml:space="preserve">Portal de Submissão de Pedidos de Intervenção</w:t>
      </w:r>
    </w:p>
    <w:p>
      <w:pPr>
        <w:spacing w:after="1200"/>
        <w:jc w:val="center"/>
      </w:pPr>
      <w:r>
        <w:rPr>
          <w:rFonts w:ascii="Calibri" w:cs="Calibri" w:eastAsia="Calibri" w:hAnsi="Calibri"/>
          <w:color w:val="595959"/>
          <w:sz w:val="24"/>
          <w:szCs w:val="24"/>
        </w:rPr>
        <w:t xml:space="preserve">Gestão de assistência técnica ao parque de impressoras</w:t>
      </w:r>
    </w:p>
    <w:p>
      <w:pPr>
        <w:pBdr>
          <w:top w:val="single" w:color="1F4E79" w:sz="6"/>
        </w:pBdr>
        <w:spacing w:after="300" w:before="200"/>
        <w:jc w:val="center"/>
      </w:pPr>
    </w:p>
    <w:p>
      <w:pPr>
        <w:spacing w:after="120" w:before="0"/>
        <w:jc w:val="center"/>
      </w:pPr>
      <w:r>
        <w:rPr>
          <w:rFonts w:ascii="Calibri" w:cs="Calibri" w:eastAsia="Calibri" w:hAnsi="Calibri"/>
          <w:b/>
          <w:bCs/>
          <w:sz w:val="22"/>
          <w:szCs w:val="22"/>
        </w:rPr>
        <w:t xml:space="preserve">Cliente: Hélio Matsinhe</w:t>
      </w:r>
    </w:p>
    <w:p>
      <w:pPr>
        <w:spacing w:after="120" w:before="0"/>
        <w:jc w:val="center"/>
      </w:pPr>
      <w:r>
        <w:rPr>
          <w:rFonts w:ascii="Calibri" w:cs="Calibri" w:eastAsia="Calibri" w:hAnsi="Calibri"/>
          <w:sz w:val="22"/>
          <w:szCs w:val="22"/>
        </w:rPr>
        <w:t xml:space="preserve">Apresentado por: ____________________</w:t>
      </w:r>
    </w:p>
    <w:p>
      <w:pPr>
        <w:spacing w:after="120" w:before="0"/>
        <w:jc w:val="center"/>
      </w:pPr>
      <w:r>
        <w:rPr>
          <w:rFonts w:ascii="Calibri" w:cs="Calibri" w:eastAsia="Calibri" w:hAnsi="Calibri"/>
          <w:sz w:val="22"/>
          <w:szCs w:val="22"/>
        </w:rPr>
        <w:t xml:space="preserve">Data: ____________________</w:t>
      </w:r>
    </w:p>
    <w:p>
      <w:pPr>
        <w:spacing w:after="120" w:before="0"/>
        <w:jc w:val="center"/>
      </w:pPr>
      <w:r>
        <w:rPr>
          <w:rFonts w:ascii="Calibri" w:cs="Calibri" w:eastAsia="Calibri" w:hAnsi="Calibri"/>
          <w:color w:val="595959"/>
          <w:sz w:val="20"/>
          <w:szCs w:val="20"/>
        </w:rPr>
        <w:t xml:space="preserve">Prazo total: 16 semanas (4 meses)  ·  Validade da proposta: 30 dias</w:t>
      </w:r>
    </w:p>
    <w:p>
      <w:r>
        <w:br w:type="page"/>
      </w:r>
    </w:p>
    <w:p>
      <w:pPr>
        <w:pStyle w:val="Heading1"/>
        <w:spacing w:after="160" w:before="320"/>
      </w:pPr>
      <w:r>
        <w:rPr>
          <w:rFonts w:ascii="Calibri" w:cs="Calibri" w:eastAsia="Calibri" w:hAnsi="Calibri"/>
          <w:b/>
          <w:bCs/>
          <w:color w:val="1F4E79"/>
          <w:sz w:val="28"/>
          <w:szCs w:val="28"/>
        </w:rPr>
        <w:t xml:space="preserve">1. Entregas, prazos e investimento</w:t>
      </w:r>
    </w:p>
    <w:p>
      <w:pPr>
        <w:spacing w:after="120" w:before="0"/>
      </w:pPr>
      <w:r>
        <w:rPr>
          <w:rFonts w:ascii="Calibri" w:cs="Calibri" w:eastAsia="Calibri" w:hAnsi="Calibri"/>
          <w:sz w:val="21"/>
          <w:szCs w:val="21"/>
        </w:rPr>
        <w:t xml:space="preserve">O trabalho está dividido em onze entregas independentes. Cada entrega corresponde a um conjunto de funcionalidades que fica a funcionar por si, é demonstrada no fim do respectivo período e é facturada nessa altura. Não há pagamento adiantado por trabalho que ainda não foi visto.</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900"/>
        <w:gridCol w:w="4726"/>
        <w:gridCol w:w="1200"/>
        <w:gridCol w:w="1000"/>
        <w:gridCol w:w="1200"/>
      </w:tblGrid>
      <w:tr>
        <w:trPr>
          <w:tblHeader/>
        </w:trPr>
        <w:tc>
          <w:tcPr>
            <w:tcW w:type="dxa" w:w="9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Ent.</w:t>
            </w:r>
          </w:p>
        </w:tc>
        <w:tc>
          <w:tcPr>
            <w:tcW w:type="dxa" w:w="4726"/>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O que fica a funcionar</w:t>
            </w:r>
          </w:p>
        </w:tc>
        <w:tc>
          <w:tcPr>
            <w:tcW w:type="dxa" w:w="12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Semanas</w:t>
            </w:r>
          </w:p>
        </w:tc>
        <w:tc>
          <w:tcPr>
            <w:tcW w:type="dxa" w:w="10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Duração</w:t>
            </w:r>
          </w:p>
        </w:tc>
        <w:tc>
          <w:tcPr>
            <w:tcW w:type="dxa" w:w="12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Valor (MZN)</w:t>
            </w:r>
          </w:p>
        </w:tc>
      </w:tr>
      <w:tr>
        <w:trPr>
          <w:tblHeader w:val="false"/>
        </w:trPr>
        <w:tc>
          <w:tcPr>
            <w:tcW w:type="dxa" w:w="9026"/>
            <w:gridSpan w:val="5"/>
            <w:shd w:fill="DCE6F1"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FASE 0 — ARRANQUE  ·  2 semanas  ·  5 000,00 MZN</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E0</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Requisitos validados com a equipa, protótipo dos ecrãs aprovado, modelo de dados fechado e ambiente de trabalho preparado.</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1–2</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5 000,00</w:t>
            </w:r>
          </w:p>
        </w:tc>
      </w:tr>
      <w:tr>
        <w:trPr>
          <w:tblHeader w:val="false"/>
        </w:trPr>
        <w:tc>
          <w:tcPr>
            <w:tcW w:type="dxa" w:w="9026"/>
            <w:gridSpan w:val="5"/>
            <w:shd w:fill="DCE6F1"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FASE 1 — MVP FUNCIONAL  ·  8 semanas  ·  25 000,00 MZN</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E1</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Autenticação, contas individuais e perfis de acesso. Cada pessoa entra com a sua conta e vê apenas o que lhe compete.</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3</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3 000,00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E2</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Cadastro de clientes, balcões e impressoras, com importação do parque existente a partir de ficheiro.</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4–5</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6 000,00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E3</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Atribuição do técnico responsável por cada balcão e submissão do pedido pelo cliente, com anexo de fotografias.</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6</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3 500,00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E4</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Ciclo completo do pedido: atribuição, agendamento, registo da intervenção, fecho e histórico de tudo o que aconteceu.</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7–8</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7 000,00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E5</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Ecrã móvel do técnico: registo do início e do fim da intervenção no próprio balcão, a partir do telemóvel.</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9</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3 500,00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E6</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Notificações por email e SMS ao técnico e ao HelpDesk, e consulta do estado do pedido pelo cliente.</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10</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2 000,00</w:t>
            </w:r>
          </w:p>
        </w:tc>
      </w:tr>
      <w:tr>
        <w:trPr>
          <w:tblHeader w:val="false"/>
        </w:trPr>
        <w:tc>
          <w:tcPr>
            <w:tcW w:type="dxa" w:w="900"/>
            <w:shd w:fill="F2F2F2" w:color="auto" w:val="clear"/>
            <w:tcMar>
              <w:top w:type="dxa" w:w="75"/>
              <w:left w:type="dxa" w:w="110"/>
              <w:bottom w:type="dxa" w:w="75"/>
              <w:right w:type="dxa" w:w="110"/>
            </w:tcMar>
          </w:tcPr>
          <w:p>
            <w:pPr>
              <w:spacing w:after="0"/>
            </w:pPr>
            <w:r>
              <w:rPr>
                <w:rFonts w:ascii="Calibri" w:cs="Calibri" w:eastAsia="Calibri" w:hAnsi="Calibri"/>
                <w:b w:val="false"/>
                <w:bCs w:val="false"/>
                <w:i/>
                <w:iCs/>
                <w:color w:val="000000"/>
                <w:sz w:val="20"/>
                <w:szCs w:val="20"/>
              </w:rPr>
              <w:t xml:space="preserve"/>
            </w:r>
          </w:p>
        </w:tc>
        <w:tc>
          <w:tcPr>
            <w:tcW w:type="dxa" w:w="4726"/>
            <w:shd w:fill="F2F2F2" w:color="auto" w:val="clear"/>
            <w:tcMar>
              <w:top w:type="dxa" w:w="75"/>
              <w:left w:type="dxa" w:w="110"/>
              <w:bottom w:type="dxa" w:w="75"/>
              <w:right w:type="dxa" w:w="110"/>
            </w:tcMar>
          </w:tcPr>
          <w:p>
            <w:pPr>
              <w:spacing w:after="0"/>
            </w:pPr>
            <w:r>
              <w:rPr>
                <w:rFonts w:ascii="Calibri" w:cs="Calibri" w:eastAsia="Calibri" w:hAnsi="Calibri"/>
                <w:b w:val="false"/>
                <w:bCs w:val="false"/>
                <w:i/>
                <w:iCs/>
                <w:color w:val="000000"/>
                <w:sz w:val="20"/>
                <w:szCs w:val="20"/>
              </w:rPr>
              <w:t xml:space="preserve">Ponto de decisão — formação das equipas e arranque do piloto. O sistema é utilizável a partir daqui.</w:t>
            </w:r>
          </w:p>
        </w:tc>
        <w:tc>
          <w:tcPr>
            <w:tcW w:type="dxa" w:w="1200"/>
            <w:shd w:fill="F2F2F2" w:color="auto" w:val="clear"/>
            <w:tcMar>
              <w:top w:type="dxa" w:w="75"/>
              <w:left w:type="dxa" w:w="110"/>
              <w:bottom w:type="dxa" w:w="75"/>
              <w:right w:type="dxa" w:w="110"/>
            </w:tcMar>
          </w:tcPr>
          <w:p>
            <w:pPr>
              <w:spacing w:after="0"/>
            </w:pPr>
            <w:r>
              <w:rPr>
                <w:rFonts w:ascii="Calibri" w:cs="Calibri" w:eastAsia="Calibri" w:hAnsi="Calibri"/>
                <w:b w:val="false"/>
                <w:bCs w:val="false"/>
                <w:i/>
                <w:iCs/>
                <w:color w:val="000000"/>
                <w:sz w:val="20"/>
                <w:szCs w:val="20"/>
              </w:rPr>
              <w:t xml:space="preserve">10</w:t>
            </w:r>
          </w:p>
        </w:tc>
        <w:tc>
          <w:tcPr>
            <w:tcW w:type="dxa" w:w="1000"/>
            <w:shd w:fill="F2F2F2" w:color="auto" w:val="clear"/>
            <w:tcMar>
              <w:top w:type="dxa" w:w="75"/>
              <w:left w:type="dxa" w:w="110"/>
              <w:bottom w:type="dxa" w:w="75"/>
              <w:right w:type="dxa" w:w="110"/>
            </w:tcMar>
          </w:tcPr>
          <w:p>
            <w:pPr>
              <w:spacing w:after="0"/>
              <w:jc w:val="right"/>
            </w:pPr>
            <w:r>
              <w:rPr>
                <w:rFonts w:ascii="Calibri" w:cs="Calibri" w:eastAsia="Calibri" w:hAnsi="Calibri"/>
                <w:b w:val="false"/>
                <w:bCs w:val="false"/>
                <w:i/>
                <w:iCs/>
                <w:color w:val="000000"/>
                <w:sz w:val="20"/>
                <w:szCs w:val="20"/>
              </w:rPr>
              <w:t xml:space="preserve">—</w:t>
            </w:r>
          </w:p>
        </w:tc>
        <w:tc>
          <w:tcPr>
            <w:tcW w:type="dxa" w:w="1200"/>
            <w:shd w:fill="F2F2F2" w:color="auto" w:val="clear"/>
            <w:tcMar>
              <w:top w:type="dxa" w:w="75"/>
              <w:left w:type="dxa" w:w="110"/>
              <w:bottom w:type="dxa" w:w="75"/>
              <w:right w:type="dxa" w:w="110"/>
            </w:tcMar>
          </w:tcPr>
          <w:p>
            <w:pPr>
              <w:spacing w:after="0"/>
              <w:jc w:val="right"/>
            </w:pPr>
            <w:r>
              <w:rPr>
                <w:rFonts w:ascii="Calibri" w:cs="Calibri" w:eastAsia="Calibri" w:hAnsi="Calibri"/>
                <w:b w:val="false"/>
                <w:bCs w:val="false"/>
                <w:i/>
                <w:iCs/>
                <w:color w:val="000000"/>
                <w:sz w:val="20"/>
                <w:szCs w:val="20"/>
              </w:rPr>
              <w:t xml:space="preserve">—</w:t>
            </w:r>
          </w:p>
        </w:tc>
      </w:tr>
      <w:tr>
        <w:trPr>
          <w:tblHeader w:val="false"/>
        </w:trPr>
        <w:tc>
          <w:tcPr>
            <w:tcW w:type="dxa" w:w="9026"/>
            <w:gridSpan w:val="5"/>
            <w:shd w:fill="DCE6F1"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FASE 2 — CONTROLO E PREVENÇÃO (opcional)  ·  4 semanas  ·  10 000,00 MZN</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E7</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Manutenção preventiva gerada automaticamente na periodicidade de cada máquina, com calendário por técnico.</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11–12</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4 500,00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E8</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Checklist de intervenção configurável, registo do contador de cópias e dos consumíveis substituídos.</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13</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3 000,00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E9</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Alerta de reincidência de avarias na mesma máquina e medição do prazo de resposta de 24 horas.</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14</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2 500,00</w:t>
            </w:r>
          </w:p>
        </w:tc>
      </w:tr>
      <w:tr>
        <w:trPr>
          <w:tblHeader w:val="false"/>
        </w:trPr>
        <w:tc>
          <w:tcPr>
            <w:tcW w:type="dxa" w:w="9026"/>
            <w:gridSpan w:val="5"/>
            <w:shd w:fill="DCE6F1"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FASE 3 — GESTÃO (opcional)  ·  2 semanas  ·  5 000,00 MZN</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E10</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Relatórios de cumprimento de prazos por cliente, produtividade por técnico e ranking de máquinas problemáticas.</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15</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3 500,00</w:t>
            </w:r>
          </w:p>
        </w:tc>
      </w:tr>
      <w:tr>
        <w:trPr>
          <w:tblHeader w:val="false"/>
        </w:trPr>
        <w:tc>
          <w:tcPr>
            <w:tcW w:type="dxa" w:w="9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E11</w:t>
            </w:r>
          </w:p>
        </w:tc>
        <w:tc>
          <w:tcPr>
            <w:tcW w:type="dxa" w:w="4726"/>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Exportação de qualquer relatório em Excel e PDF.</w:t>
            </w:r>
          </w:p>
        </w:tc>
        <w:tc>
          <w:tcPr>
            <w:tcW w:type="dxa" w:w="12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16</w:t>
            </w:r>
          </w:p>
        </w:tc>
        <w:tc>
          <w:tcPr>
            <w:tcW w:type="dxa" w:w="10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sem.</w:t>
            </w:r>
          </w:p>
        </w:tc>
        <w:tc>
          <w:tcPr>
            <w:tcW w:type="dxa" w:w="12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1 500,00</w:t>
            </w:r>
          </w:p>
        </w:tc>
      </w:tr>
      <w:tr>
        <w:trPr>
          <w:tblHeader w:val="false"/>
        </w:trPr>
        <w:tc>
          <w:tcPr>
            <w:tcW w:type="dxa" w:w="9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
            </w:r>
          </w:p>
        </w:tc>
        <w:tc>
          <w:tcPr>
            <w:tcW w:type="dxa" w:w="4726"/>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TOTAL — 11 entregas</w:t>
            </w:r>
          </w:p>
        </w:tc>
        <w:tc>
          <w:tcPr>
            <w:tcW w:type="dxa" w:w="12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1–16</w:t>
            </w:r>
          </w:p>
        </w:tc>
        <w:tc>
          <w:tcPr>
            <w:tcW w:type="dxa" w:w="1000"/>
            <w:shd w:fill="1F4E79" w:color="auto" w:val="clear"/>
            <w:tcMar>
              <w:top w:type="dxa" w:w="75"/>
              <w:left w:type="dxa" w:w="110"/>
              <w:bottom w:type="dxa" w:w="75"/>
              <w:right w:type="dxa" w:w="110"/>
            </w:tcMar>
          </w:tcPr>
          <w:p>
            <w:pPr>
              <w:spacing w:after="0"/>
              <w:jc w:val="right"/>
            </w:pPr>
            <w:r>
              <w:rPr>
                <w:rFonts w:ascii="Calibri" w:cs="Calibri" w:eastAsia="Calibri" w:hAnsi="Calibri"/>
                <w:b/>
                <w:bCs/>
                <w:color w:val="FFFFFF"/>
                <w:sz w:val="20"/>
                <w:szCs w:val="20"/>
              </w:rPr>
              <w:t xml:space="preserve">16 sem.</w:t>
            </w:r>
          </w:p>
        </w:tc>
        <w:tc>
          <w:tcPr>
            <w:tcW w:type="dxa" w:w="1200"/>
            <w:shd w:fill="1F4E79" w:color="auto" w:val="clear"/>
            <w:tcMar>
              <w:top w:type="dxa" w:w="75"/>
              <w:left w:type="dxa" w:w="110"/>
              <w:bottom w:type="dxa" w:w="75"/>
              <w:right w:type="dxa" w:w="110"/>
            </w:tcMar>
          </w:tcPr>
          <w:p>
            <w:pPr>
              <w:spacing w:after="0"/>
              <w:jc w:val="right"/>
            </w:pPr>
            <w:r>
              <w:rPr>
                <w:rFonts w:ascii="Calibri" w:cs="Calibri" w:eastAsia="Calibri" w:hAnsi="Calibri"/>
                <w:b/>
                <w:bCs/>
                <w:color w:val="FFFFFF"/>
                <w:sz w:val="20"/>
                <w:szCs w:val="20"/>
              </w:rPr>
              <w:t xml:space="preserve">45 000,00</w:t>
            </w:r>
          </w:p>
        </w:tc>
      </w:tr>
    </w:tbl>
    <w:p>
      <w:pPr>
        <w:spacing w:after="120" w:before="0"/>
      </w:pPr>
      <w:r>
        <w:rPr>
          <w:rFonts w:ascii="Calibri" w:cs="Calibri" w:eastAsia="Calibri" w:hAnsi="Calibri"/>
          <w:sz w:val="21"/>
          <w:szCs w:val="21"/>
        </w:rPr>
        <w:t xml:space="preserve"/>
      </w:r>
    </w:p>
    <w:p>
      <w:pPr>
        <w:spacing w:after="120" w:before="0"/>
      </w:pPr>
      <w:r>
        <w:rPr>
          <w:rFonts w:ascii="Calibri" w:cs="Calibri" w:eastAsia="Calibri" w:hAnsi="Calibri"/>
          <w:sz w:val="20"/>
          <w:szCs w:val="20"/>
        </w:rPr>
        <w:t xml:space="preserve">As entregas E0 a E6 formam o MVP: um sistema utilizável em produção ao fim de 10 semanas, por 30 000,00 MZN. As fases 2 e 3 são opcionais e só são contratadas se, nessa altura, fizerem sentido.</w:t>
      </w:r>
    </w:p>
    <w:p>
      <w:pPr>
        <w:spacing w:after="120" w:before="0"/>
      </w:pPr>
      <w:r>
        <w:rPr>
          <w:rFonts w:ascii="Calibri" w:cs="Calibri" w:eastAsia="Calibri" w:hAnsi="Calibri"/>
          <w:i/>
          <w:iCs/>
          <w:color w:val="595959"/>
          <w:sz w:val="19"/>
          <w:szCs w:val="19"/>
        </w:rPr>
        <w:t xml:space="preserve">Prazo total: 16 semanas (4 meses) a contar da data de adjudicação. O cronograma assume disponibilidade da equipa para as sessões de validação no fim de cada entrega. Atrasos na disponibilização dos dados do parque ou na lista de verificações da checklist deslocam as datas na mesma proporção.</w:t>
      </w:r>
    </w:p>
    <w:p>
      <w:pPr>
        <w:pStyle w:val="Heading1"/>
        <w:spacing w:after="160" w:before="320"/>
      </w:pPr>
      <w:r>
        <w:rPr>
          <w:rFonts w:ascii="Calibri" w:cs="Calibri" w:eastAsia="Calibri" w:hAnsi="Calibri"/>
          <w:b/>
          <w:bCs/>
          <w:color w:val="1F4E79"/>
          <w:sz w:val="28"/>
          <w:szCs w:val="28"/>
        </w:rPr>
        <w:t xml:space="preserve">2. Condições de pagamento</w:t>
      </w:r>
    </w:p>
    <w:p>
      <w:pPr>
        <w:pStyle w:val="ListParagraph"/>
        <w:numPr>
          <w:ilvl w:val="0"/>
          <w:numId w:val="2"/>
        </w:numPr>
        <w:spacing w:after="60"/>
      </w:pPr>
      <w:r>
        <w:rPr>
          <w:rFonts w:ascii="Calibri" w:cs="Calibri" w:eastAsia="Calibri" w:hAnsi="Calibri"/>
          <w:sz w:val="21"/>
          <w:szCs w:val="21"/>
        </w:rPr>
        <w:t xml:space="preserve">Cada entrega é facturada na sua aceitação, pelo valor indicado na tabela acima.</w:t>
      </w:r>
    </w:p>
    <w:p>
      <w:pPr>
        <w:pStyle w:val="ListParagraph"/>
        <w:numPr>
          <w:ilvl w:val="0"/>
          <w:numId w:val="2"/>
        </w:numPr>
        <w:spacing w:after="60"/>
      </w:pPr>
      <w:r>
        <w:rPr>
          <w:rFonts w:ascii="Calibri" w:cs="Calibri" w:eastAsia="Calibri" w:hAnsi="Calibri"/>
          <w:sz w:val="21"/>
          <w:szCs w:val="21"/>
        </w:rPr>
        <w:t xml:space="preserve">A entrega E0 é facturada na adjudicação, por corresponder ao arranque dos trabalhos.</w:t>
      </w:r>
    </w:p>
    <w:p>
      <w:pPr>
        <w:pStyle w:val="ListParagraph"/>
        <w:numPr>
          <w:ilvl w:val="0"/>
          <w:numId w:val="2"/>
        </w:numPr>
        <w:spacing w:after="60"/>
      </w:pPr>
      <w:r>
        <w:rPr>
          <w:rFonts w:ascii="Calibri" w:cs="Calibri" w:eastAsia="Calibri" w:hAnsi="Calibri"/>
          <w:sz w:val="21"/>
          <w:szCs w:val="21"/>
        </w:rPr>
        <w:t xml:space="preserve">A aceitação de uma entrega é feita na sessão de demonstração no fim do respectivo período.</w:t>
      </w:r>
    </w:p>
    <w:p>
      <w:pPr>
        <w:pStyle w:val="ListParagraph"/>
        <w:numPr>
          <w:ilvl w:val="0"/>
          <w:numId w:val="2"/>
        </w:numPr>
        <w:spacing w:after="60"/>
      </w:pPr>
      <w:r>
        <w:rPr>
          <w:rFonts w:ascii="Calibri" w:cs="Calibri" w:eastAsia="Calibri" w:hAnsi="Calibri"/>
          <w:sz w:val="21"/>
          <w:szCs w:val="21"/>
        </w:rPr>
        <w:t xml:space="preserve">Não há compromisso com entregas futuras: o contrato pode ser encerrado no fim de qualquer entrega aceite, sem penalização.</w:t>
      </w:r>
    </w:p>
    <w:p>
      <w:pPr>
        <w:pStyle w:val="ListParagraph"/>
        <w:numPr>
          <w:ilvl w:val="0"/>
          <w:numId w:val="2"/>
        </w:numPr>
        <w:spacing w:after="60"/>
      </w:pPr>
      <w:r>
        <w:rPr>
          <w:rFonts w:ascii="Calibri" w:cs="Calibri" w:eastAsia="Calibri" w:hAnsi="Calibri"/>
          <w:sz w:val="21"/>
          <w:szCs w:val="21"/>
        </w:rPr>
        <w:t xml:space="preserve">Cada entrega corresponde exactamente ao âmbito descrito na tabela. Funcionalidades não listadas são orçamentadas à parte.</w:t>
      </w:r>
    </w:p>
    <w:p>
      <w:pPr>
        <w:spacing w:after="120" w:before="0"/>
      </w:pPr>
      <w:r>
        <w:rPr>
          <w:rFonts w:ascii="Calibri" w:cs="Calibri" w:eastAsia="Calibri" w:hAnsi="Calibri"/>
          <w:i/>
          <w:iCs/>
          <w:color w:val="595959"/>
          <w:sz w:val="19"/>
          <w:szCs w:val="19"/>
        </w:rPr>
        <w:t xml:space="preserve">Os valores são em meticais (MZN) e mantêm-se válidos por 30 dias a contar da data desta proposta.</w:t>
      </w:r>
    </w:p>
    <w:p>
      <w:pPr>
        <w:pStyle w:val="Heading1"/>
        <w:spacing w:after="160" w:before="320"/>
      </w:pPr>
      <w:r>
        <w:rPr>
          <w:rFonts w:ascii="Calibri" w:cs="Calibri" w:eastAsia="Calibri" w:hAnsi="Calibri"/>
          <w:b/>
          <w:bCs/>
          <w:color w:val="1F4E79"/>
          <w:sz w:val="28"/>
          <w:szCs w:val="28"/>
        </w:rPr>
        <w:t xml:space="preserve">3. Custos recorrentes de operação</w:t>
      </w:r>
    </w:p>
    <w:p>
      <w:pPr>
        <w:spacing w:after="120" w:before="0"/>
      </w:pPr>
      <w:r>
        <w:rPr>
          <w:rFonts w:ascii="Calibri" w:cs="Calibri" w:eastAsia="Calibri" w:hAnsi="Calibri"/>
          <w:sz w:val="21"/>
          <w:szCs w:val="21"/>
        </w:rPr>
        <w:t xml:space="preserve">Custos de funcionamento do sistema, independentes do desenvolvimento. O alojamento, o domínio e o envio de SMS são facturados por terceiros e podem ser contratados directamente pelo cliente.</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500"/>
        <w:gridCol w:w="1800"/>
        <w:gridCol w:w="2726"/>
      </w:tblGrid>
      <w:tr>
        <w:trPr>
          <w:tblHeader/>
        </w:trPr>
        <w:tc>
          <w:tcPr>
            <w:tcW w:type="dxa" w:w="45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Item</w:t>
            </w:r>
          </w:p>
        </w:tc>
        <w:tc>
          <w:tcPr>
            <w:tcW w:type="dxa" w:w="1800"/>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Periodicidade</w:t>
            </w:r>
          </w:p>
        </w:tc>
        <w:tc>
          <w:tcPr>
            <w:tcW w:type="dxa" w:w="2726"/>
            <w:shd w:fill="1F4E79" w:color="auto" w:val="clear"/>
            <w:tcMar>
              <w:top w:type="dxa" w:w="75"/>
              <w:left w:type="dxa" w:w="110"/>
              <w:bottom w:type="dxa" w:w="75"/>
              <w:right w:type="dxa" w:w="110"/>
            </w:tcMar>
          </w:tcPr>
          <w:p>
            <w:pPr>
              <w:spacing w:after="0"/>
            </w:pPr>
            <w:r>
              <w:rPr>
                <w:rFonts w:ascii="Calibri" w:cs="Calibri" w:eastAsia="Calibri" w:hAnsi="Calibri"/>
                <w:b/>
                <w:bCs/>
                <w:color w:val="FFFFFF"/>
                <w:sz w:val="20"/>
                <w:szCs w:val="20"/>
              </w:rPr>
              <w:t xml:space="preserve">Valor (MZN)</w:t>
            </w:r>
          </w:p>
        </w:tc>
      </w:tr>
      <w:tr>
        <w:trPr>
          <w:tblHeader w:val="false"/>
        </w:trPr>
        <w:tc>
          <w:tcPr>
            <w:tcW w:type="dxa" w:w="45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Alojamento do sistema e base de dados</w:t>
            </w:r>
          </w:p>
        </w:tc>
        <w:tc>
          <w:tcPr>
            <w:tcW w:type="dxa" w:w="18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Mensal</w:t>
            </w:r>
          </w:p>
        </w:tc>
        <w:tc>
          <w:tcPr>
            <w:tcW w:type="dxa" w:w="2726"/>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600,00</w:t>
            </w:r>
          </w:p>
        </w:tc>
      </w:tr>
      <w:tr>
        <w:trPr>
          <w:tblHeader w:val="false"/>
        </w:trPr>
        <w:tc>
          <w:tcPr>
            <w:tcW w:type="dxa" w:w="45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Domínio e certificado de segurança</w:t>
            </w:r>
          </w:p>
        </w:tc>
        <w:tc>
          <w:tcPr>
            <w:tcW w:type="dxa" w:w="18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Anual</w:t>
            </w:r>
          </w:p>
        </w:tc>
        <w:tc>
          <w:tcPr>
            <w:tcW w:type="dxa" w:w="2726"/>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1 500,00</w:t>
            </w:r>
          </w:p>
        </w:tc>
      </w:tr>
      <w:tr>
        <w:trPr>
          <w:tblHeader w:val="false"/>
        </w:trPr>
        <w:tc>
          <w:tcPr>
            <w:tcW w:type="dxa" w:w="45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Envio de SMS (por mensagem)</w:t>
            </w:r>
          </w:p>
        </w:tc>
        <w:tc>
          <w:tcPr>
            <w:tcW w:type="dxa" w:w="18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Consumo</w:t>
            </w:r>
          </w:p>
        </w:tc>
        <w:tc>
          <w:tcPr>
            <w:tcW w:type="dxa" w:w="2726"/>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2,50</w:t>
            </w:r>
          </w:p>
        </w:tc>
      </w:tr>
      <w:tr>
        <w:trPr>
          <w:tblHeader w:val="false"/>
        </w:trPr>
        <w:tc>
          <w:tcPr>
            <w:tcW w:type="dxa" w:w="4500"/>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Manutenção, suporte e correcções</w:t>
            </w:r>
          </w:p>
        </w:tc>
        <w:tc>
          <w:tcPr>
            <w:tcW w:type="dxa" w:w="1800"/>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Mensal</w:t>
            </w:r>
          </w:p>
        </w:tc>
        <w:tc>
          <w:tcPr>
            <w:tcW w:type="dxa" w:w="2726"/>
            <w:tcMar>
              <w:top w:type="dxa" w:w="75"/>
              <w:left w:type="dxa" w:w="110"/>
              <w:bottom w:type="dxa" w:w="75"/>
              <w:right w:type="dxa" w:w="110"/>
            </w:tcMar>
          </w:tcPr>
          <w:p>
            <w:pPr>
              <w:spacing w:after="0"/>
              <w:jc w:val="right"/>
            </w:pPr>
            <w:r>
              <w:rPr>
                <w:rFonts w:ascii="Calibri" w:cs="Calibri" w:eastAsia="Calibri" w:hAnsi="Calibri"/>
                <w:b w:val="false"/>
                <w:bCs w:val="false"/>
                <w:sz w:val="20"/>
                <w:szCs w:val="20"/>
              </w:rPr>
              <w:t xml:space="preserve">5 000,00</w:t>
            </w:r>
          </w:p>
        </w:tc>
      </w:tr>
      <w:tr>
        <w:trPr>
          <w:tblHeader w:val="false"/>
        </w:trPr>
        <w:tc>
          <w:tcPr>
            <w:tcW w:type="dxa" w:w="4500"/>
            <w:shd w:fill="DCE6F1"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Total mensal estimado (sem SMS)</w:t>
            </w:r>
          </w:p>
        </w:tc>
        <w:tc>
          <w:tcPr>
            <w:tcW w:type="dxa" w:w="1800"/>
            <w:shd w:fill="DCE6F1" w:color="auto" w:val="clear"/>
            <w:tcMar>
              <w:top w:type="dxa" w:w="75"/>
              <w:left w:type="dxa" w:w="110"/>
              <w:bottom w:type="dxa" w:w="75"/>
              <w:right w:type="dxa" w:w="110"/>
            </w:tcMar>
          </w:tcPr>
          <w:p>
            <w:pPr>
              <w:spacing w:after="0"/>
              <w:jc w:val="right"/>
            </w:pPr>
            <w:r>
              <w:rPr>
                <w:rFonts w:ascii="Calibri" w:cs="Calibri" w:eastAsia="Calibri" w:hAnsi="Calibri"/>
                <w:b/>
                <w:bCs/>
                <w:color w:val="000000"/>
                <w:sz w:val="20"/>
                <w:szCs w:val="20"/>
              </w:rPr>
              <w:t xml:space="preserve">Mensal</w:t>
            </w:r>
          </w:p>
        </w:tc>
        <w:tc>
          <w:tcPr>
            <w:tcW w:type="dxa" w:w="2726"/>
            <w:shd w:fill="DCE6F1" w:color="auto" w:val="clear"/>
            <w:tcMar>
              <w:top w:type="dxa" w:w="75"/>
              <w:left w:type="dxa" w:w="110"/>
              <w:bottom w:type="dxa" w:w="75"/>
              <w:right w:type="dxa" w:w="110"/>
            </w:tcMar>
          </w:tcPr>
          <w:p>
            <w:pPr>
              <w:spacing w:after="0"/>
              <w:jc w:val="right"/>
            </w:pPr>
            <w:r>
              <w:rPr>
                <w:rFonts w:ascii="Calibri" w:cs="Calibri" w:eastAsia="Calibri" w:hAnsi="Calibri"/>
                <w:b/>
                <w:bCs/>
                <w:color w:val="000000"/>
                <w:sz w:val="20"/>
                <w:szCs w:val="20"/>
              </w:rPr>
              <w:t xml:space="preserve">5 600,00</w:t>
            </w:r>
          </w:p>
        </w:tc>
      </w:tr>
    </w:tbl>
    <w:p>
      <w:pPr>
        <w:spacing w:after="120" w:before="0"/>
      </w:pPr>
      <w:r>
        <w:rPr>
          <w:rFonts w:ascii="Calibri" w:cs="Calibri" w:eastAsia="Calibri" w:hAnsi="Calibri"/>
          <w:i/>
          <w:iCs/>
          <w:color w:val="595959"/>
          <w:sz w:val="19"/>
          <w:szCs w:val="19"/>
        </w:rPr>
        <w:t xml:space="preserve">O custo de SMS depende do volume de pedidos. Se as notificações forem feitas apenas por email, esta linha não se aplica.</w:t>
      </w:r>
    </w:p>
    <w:p>
      <w:pPr>
        <w:pStyle w:val="Heading1"/>
        <w:spacing w:after="160" w:before="320"/>
      </w:pPr>
      <w:r>
        <w:rPr>
          <w:rFonts w:ascii="Calibri" w:cs="Calibri" w:eastAsia="Calibri" w:hAnsi="Calibri"/>
          <w:b/>
          <w:bCs/>
          <w:color w:val="1F4E79"/>
          <w:sz w:val="28"/>
          <w:szCs w:val="28"/>
        </w:rPr>
        <w:t xml:space="preserve">4. Próximos passos</w:t>
      </w:r>
    </w:p>
    <w:p>
      <w:pPr>
        <w:pStyle w:val="ListParagraph"/>
        <w:numPr>
          <w:ilvl w:val="0"/>
          <w:numId w:val="2"/>
        </w:numPr>
        <w:spacing w:after="60"/>
      </w:pPr>
      <w:r>
        <w:rPr>
          <w:rFonts w:ascii="Calibri" w:cs="Calibri" w:eastAsia="Calibri" w:hAnsi="Calibri"/>
          <w:sz w:val="21"/>
          <w:szCs w:val="21"/>
        </w:rPr>
        <w:t xml:space="preserve">Reunião de apresentação e esclarecimento desta proposta.</w:t>
      </w:r>
    </w:p>
    <w:p>
      <w:pPr>
        <w:pStyle w:val="ListParagraph"/>
        <w:numPr>
          <w:ilvl w:val="0"/>
          <w:numId w:val="2"/>
        </w:numPr>
        <w:spacing w:after="60"/>
      </w:pPr>
      <w:r>
        <w:rPr>
          <w:rFonts w:ascii="Calibri" w:cs="Calibri" w:eastAsia="Calibri" w:hAnsi="Calibri"/>
          <w:sz w:val="21"/>
          <w:szCs w:val="21"/>
        </w:rPr>
        <w:t xml:space="preserve">Recolha, junto da equipa técnica, da lista de verificações que hoje se fazem na máquina (base da checklist de intervenção).</w:t>
      </w:r>
    </w:p>
    <w:p>
      <w:pPr>
        <w:pStyle w:val="ListParagraph"/>
        <w:numPr>
          <w:ilvl w:val="0"/>
          <w:numId w:val="2"/>
        </w:numPr>
        <w:spacing w:after="60"/>
      </w:pPr>
      <w:r>
        <w:rPr>
          <w:rFonts w:ascii="Calibri" w:cs="Calibri" w:eastAsia="Calibri" w:hAnsi="Calibri"/>
          <w:sz w:val="21"/>
          <w:szCs w:val="21"/>
        </w:rPr>
        <w:t xml:space="preserve">Confirmação de como é feita hoje a leitura do contador de cópias e de qual passa a ser a fonte oficial para facturação.</w:t>
      </w:r>
    </w:p>
    <w:p>
      <w:pPr>
        <w:pStyle w:val="ListParagraph"/>
        <w:numPr>
          <w:ilvl w:val="0"/>
          <w:numId w:val="2"/>
        </w:numPr>
        <w:spacing w:after="60"/>
      </w:pPr>
      <w:r>
        <w:rPr>
          <w:rFonts w:ascii="Calibri" w:cs="Calibri" w:eastAsia="Calibri" w:hAnsi="Calibri"/>
          <w:sz w:val="21"/>
          <w:szCs w:val="21"/>
        </w:rPr>
        <w:t xml:space="preserve">Adjudicação das entregas E0 a E6.</w:t>
      </w:r>
    </w:p>
    <w:p>
      <w:pPr>
        <w:pStyle w:val="ListParagraph"/>
        <w:numPr>
          <w:ilvl w:val="0"/>
          <w:numId w:val="2"/>
        </w:numPr>
        <w:spacing w:after="60"/>
      </w:pPr>
      <w:r>
        <w:rPr>
          <w:rFonts w:ascii="Calibri" w:cs="Calibri" w:eastAsia="Calibri" w:hAnsi="Calibri"/>
          <w:sz w:val="21"/>
          <w:szCs w:val="21"/>
        </w:rPr>
        <w:t xml:space="preserve">Reunião de arranque e início do levantamento.</w:t>
      </w:r>
    </w:p>
    <w:p>
      <w:pPr>
        <w:pBdr>
          <w:top w:val="single" w:color="BFBFBF" w:sz="6"/>
        </w:pBdr>
        <w:spacing w:after="0" w:before="400"/>
      </w:pPr>
    </w:p>
    <w:p>
      <w:pPr>
        <w:spacing w:after="200" w:before="0"/>
      </w:pPr>
      <w:r>
        <w:rPr>
          <w:rFonts w:ascii="Calibri" w:cs="Calibri" w:eastAsia="Calibri" w:hAnsi="Calibri"/>
          <w:sz w:val="21"/>
          <w:szCs w:val="21"/>
        </w:rPr>
        <w:t xml:space="preserve"/>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4513"/>
        <w:gridCol w:w="4513"/>
      </w:tblGrid>
      <w:tr>
        <w:trPr>
          <w:tblHeader/>
        </w:trPr>
        <w:tc>
          <w:tcPr>
            <w:tcW w:type="dxa" w:w="4513"/>
            <w:shd w:fill="F2F2F2"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Pelo cliente</w:t>
            </w:r>
          </w:p>
        </w:tc>
        <w:tc>
          <w:tcPr>
            <w:tcW w:type="dxa" w:w="4513"/>
            <w:shd w:fill="F2F2F2" w:color="auto" w:val="clear"/>
            <w:tcMar>
              <w:top w:type="dxa" w:w="75"/>
              <w:left w:type="dxa" w:w="110"/>
              <w:bottom w:type="dxa" w:w="75"/>
              <w:right w:type="dxa" w:w="110"/>
            </w:tcMar>
          </w:tcPr>
          <w:p>
            <w:pPr>
              <w:spacing w:after="0"/>
            </w:pPr>
            <w:r>
              <w:rPr>
                <w:rFonts w:ascii="Calibri" w:cs="Calibri" w:eastAsia="Calibri" w:hAnsi="Calibri"/>
                <w:b/>
                <w:bCs/>
                <w:color w:val="000000"/>
                <w:sz w:val="20"/>
                <w:szCs w:val="20"/>
              </w:rPr>
              <w:t xml:space="preserve">Pelo prestador</w:t>
            </w:r>
          </w:p>
        </w:tc>
      </w:tr>
      <w:tr>
        <w:trPr>
          <w:tblHeader w:val="false"/>
        </w:trPr>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Nome: Hélio Matsinhe</w:t>
            </w:r>
          </w:p>
        </w:tc>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Nome: ____________________</w:t>
            </w:r>
          </w:p>
        </w:tc>
      </w:tr>
      <w:tr>
        <w:trPr>
          <w:tblHeader w:val="false"/>
        </w:trPr>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Cargo: ____________________</w:t>
            </w:r>
          </w:p>
        </w:tc>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Cargo: ____________________</w:t>
            </w:r>
          </w:p>
        </w:tc>
      </w:tr>
      <w:tr>
        <w:trPr>
          <w:tblHeader w:val="false"/>
        </w:trPr>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Data: ____________________</w:t>
            </w:r>
          </w:p>
        </w:tc>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Data: ____________________</w:t>
            </w:r>
          </w:p>
        </w:tc>
      </w:tr>
      <w:tr>
        <w:trPr>
          <w:tblHeader w:val="false"/>
        </w:trPr>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Assinatura:</w:t>
            </w:r>
          </w:p>
        </w:tc>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Assinatura:</w:t>
            </w:r>
          </w:p>
        </w:tc>
      </w:tr>
      <w:tr>
        <w:trPr>
          <w:tblHeader w:val="false"/>
        </w:trPr>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
            </w:r>
          </w:p>
        </w:tc>
        <w:tc>
          <w:tcPr>
            <w:tcW w:type="dxa" w:w="4513"/>
            <w:tcMar>
              <w:top w:type="dxa" w:w="75"/>
              <w:left w:type="dxa" w:w="110"/>
              <w:bottom w:type="dxa" w:w="75"/>
              <w:right w:type="dxa" w:w="110"/>
            </w:tcMar>
          </w:tcPr>
          <w:p>
            <w:pPr>
              <w:spacing w:after="0"/>
            </w:pPr>
            <w:r>
              <w:rPr>
                <w:rFonts w:ascii="Calibri" w:cs="Calibri" w:eastAsia="Calibri" w:hAnsi="Calibri"/>
                <w:b w:val="false"/>
                <w:bCs w:val="false"/>
                <w:sz w:val="20"/>
                <w:szCs w:val="20"/>
              </w:rPr>
              <w:t xml:space="preserve"/>
            </w:r>
          </w:p>
        </w:tc>
      </w:tr>
    </w:tbl>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Proposta — Portal de Pedidos de Intervenção</dc:title>
  <dc:creator>Proposta</dc:creator>
  <cp:lastModifiedBy>Un-named</cp:lastModifiedBy>
  <cp:revision>1</cp:revision>
  <dcterms:created xsi:type="dcterms:W3CDTF">2026-08-14T04:03:22.795Z</dcterms:created>
  <dcterms:modified xsi:type="dcterms:W3CDTF">2026-08-14T04:03:22.810Z</dcterms:modified>
</cp:coreProperties>
</file>

<file path=docProps/custom.xml><?xml version="1.0" encoding="utf-8"?>
<Properties xmlns="http://schemas.openxmlformats.org/officeDocument/2006/custom-properties" xmlns:vt="http://schemas.openxmlformats.org/officeDocument/2006/docPropsVTypes"/>
</file>