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TrustBank: A Cybersecurity Wake-Up Call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Cybersecurity Case Study Submission</w:t>
      </w:r>
    </w:p>
    <w:p>
      <w:pPr>
        <w:spacing w:after="140" w:line="276"/>
      </w:pPr>
      <w:r>
        <w:t xml:space="preserve">On 20 April 2024, TrustBank discovered a four-week-old breach exposing the personal and financial data of roughly 150,000 customers, caused by an unsupported core banking OS, poor system integration, weak at-rest encryption, and inadequate monitoring. The response below addresses each challenge raised by the Board.</w:t>
      </w:r>
    </w:p>
    <w:p>
      <w:pPr>
        <w:pStyle w:val="Heading1"/>
        <w:spacing w:after="120" w:before="280"/>
      </w:pPr>
      <w:r>
        <w:t xml:space="preserve">1. Incident Response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Contain and investigate: </w:t>
      </w:r>
      <w:r>
        <w:t xml:space="preserve">Stand up a cross-functional CSIRT reporting to the CEO, engage independent forensics to confirm scope and close the entry point, patch the core system, and restore SIEM/EDR monitoring.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Notify and communicate: </w:t>
      </w:r>
      <w:r>
        <w:t xml:space="preserve">Inform the Information Regulator and affected customers within POPIA's “as soon as reasonably possible” standard (target 72 hours), using clear letters and a scaled-up contact centre, then run a formal lessons-learned review.</w:t>
      </w:r>
    </w:p>
    <w:p>
      <w:pPr>
        <w:pStyle w:val="Heading1"/>
        <w:spacing w:after="120" w:before="280"/>
      </w:pPr>
      <w:r>
        <w:t xml:space="preserve">2. System Modernisation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Phased roadmap: </w:t>
      </w:r>
      <w:r>
        <w:t xml:space="preserve">Encrypt data at rest and enforce MFA immediately (0–6 months); assess architecture and segment legacy systems from the core (6–18 months); migrate the core banking platform to a supported, modern environment (18–36 months).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Governance: </w:t>
      </w:r>
      <w:r>
        <w:t xml:space="preserve">Appoint a CISO reporting to the Board, and align the security programme to ISO/IEC 27001 and SARB's Cybersecurity Directive so investment is risk-driven, not reactive.</w:t>
      </w:r>
    </w:p>
    <w:p>
      <w:pPr>
        <w:pStyle w:val="Heading1"/>
        <w:spacing w:after="120" w:before="280"/>
      </w:pPr>
      <w:r>
        <w:t xml:space="preserve">3. Regulatory Compliance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Engagement: </w:t>
      </w:r>
      <w:r>
        <w:t xml:space="preserve">Designate one senior owner to liaise with SARB and the Information Regulator, share the forensic report and remediation plan voluntarily, and strengthen POPIA governance (Information Officer, data-processing agreements).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Demonstrated compliance: </w:t>
      </w:r>
      <w:r>
        <w:t xml:space="preserve">Back this with a milestone-tracked remediation plan, quarterly Board attestations, and independent audits reported to regulators as evidence of sustained improvement.</w:t>
      </w:r>
    </w:p>
    <w:p>
      <w:pPr>
        <w:pStyle w:val="Heading1"/>
        <w:spacing w:after="120" w:before="280"/>
      </w:pPr>
      <w:r>
        <w:t xml:space="preserve">4. Trust Restoration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Customer protection: </w:t>
      </w:r>
      <w:r>
        <w:t xml:space="preserve">Offer free credit monitoring (12–24 months) and fee waivers for affected customers, with regular public progress updates rather than a single statement.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Accountability: </w:t>
      </w:r>
      <w:r>
        <w:t xml:space="preserve">Have senior leadership, including the CEO, front media engagement, consider an independent complaints channel, and roll out visible security upgrades customers can see (e.g. biometric login, fraud alerts).</w:t>
      </w:r>
    </w:p>
    <w:p>
      <w:pPr>
        <w:pStyle w:val="Heading1"/>
        <w:spacing w:after="120" w:before="280"/>
      </w:pPr>
      <w:r>
        <w:t xml:space="preserve">5. Financial Implications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Cost exposure: </w:t>
      </w:r>
      <w:r>
        <w:t xml:space="preserve">Immediate breach costs (forensics, legal, monitoring, PR), likely POPIA fines and litigation, plus multi-year modernisation capex.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Balancing spend: </w:t>
      </w:r>
      <w:r>
        <w:t xml:space="preserve">Ring-fence a Board-approved remediation/modernisation budget, claim cyber-insurance proceeds where available, and sequence spend by risk reduction per rand – encryption and monitoring first, full core replacement later.</w:t>
      </w:r>
    </w:p>
    <w:p>
      <w:pPr>
        <w:pStyle w:val="Heading1"/>
        <w:spacing w:after="120" w:before="280"/>
      </w:pPr>
      <w:r>
        <w:t xml:space="preserve">6. Talent Acquisition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Attraction: </w:t>
      </w:r>
      <w:r>
        <w:t xml:space="preserve">Reframe the roles around the opportunity to rebuild a national bank's security architecture, benchmark pay against fintech/consulting rather than traditional banking, and build pipelines with universities.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Retention: </w:t>
      </w:r>
      <w:r>
        <w:t xml:space="preserve">Use MSSPs to close gaps immediately while upskilling and certifying (CISSP/CISM) existing staff, and give the security team visible ownership of the turnaround.</w:t>
      </w:r>
    </w:p>
    <w:p>
      <w:pPr>
        <w:pStyle w:val="Heading1"/>
        <w:spacing w:after="120" w:before="280"/>
      </w:pPr>
      <w:r>
        <w:t xml:space="preserve">Conclusion</w:t>
      </w:r>
    </w:p>
    <w:p>
      <w:pPr>
        <w:spacing w:after="140" w:line="276"/>
      </w:pPr>
      <w:r>
        <w:t xml:space="preserve">The breach reflects two decades of accumulated technical debt, but it also gives TrustBank a mandate to reset its security, governance, and customer relationships. Treating these six challenges as one Board-sponsored programme – not six separate workstreams – gives TrustBank the best chance of emerging as a more secure and trusted institution.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280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2026-08-26T08:21:42.586Z</dcterms:created>
  <dcterms:modified xsi:type="dcterms:W3CDTF">2026-08-26T08:21:42.600Z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