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B11AD" w14:textId="77777777" w:rsidR="0092096E" w:rsidRDefault="0092096E" w:rsidP="0092096E">
      <w:pPr>
        <w:keepLines/>
        <w:spacing w:after="120" w:line="259" w:lineRule="auto"/>
        <w:rPr>
          <w:rFonts w:ascii="Arial" w:hAnsi="Arial" w:cs="Arial"/>
          <w:b/>
          <w:color w:val="auto"/>
          <w:szCs w:val="24"/>
        </w:rPr>
      </w:pPr>
      <w:r w:rsidRPr="00FE60E7">
        <w:rPr>
          <w:rFonts w:ascii="Arial" w:hAnsi="Arial" w:cs="Arial"/>
          <w:b/>
          <w:color w:val="auto"/>
          <w:szCs w:val="24"/>
        </w:rPr>
        <w:t>Relatório técnico - Databases for Data Science</w:t>
      </w:r>
    </w:p>
    <w:p w14:paraId="7F1B13BB" w14:textId="77777777" w:rsidR="00643E10" w:rsidRPr="00FE60E7" w:rsidRDefault="00643E10" w:rsidP="0092096E">
      <w:pPr>
        <w:keepLines/>
        <w:spacing w:after="120" w:line="259" w:lineRule="auto"/>
        <w:rPr>
          <w:rFonts w:ascii="Arial" w:hAnsi="Arial" w:cs="Arial"/>
          <w:b/>
          <w:color w:val="auto"/>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526"/>
      </w:tblGrid>
      <w:tr w:rsidR="00F72BA0" w:rsidRPr="00FE60E7" w14:paraId="6E805B3C" w14:textId="77777777" w:rsidTr="001C7F9B">
        <w:trPr>
          <w:tblHeader/>
        </w:trPr>
        <w:tc>
          <w:tcPr>
            <w:tcW w:w="2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E721C00" w14:textId="77777777" w:rsidR="00F72BA0" w:rsidRPr="00FE60E7" w:rsidRDefault="00F72BA0" w:rsidP="001C7F9B">
            <w:pPr>
              <w:spacing w:after="40" w:line="240" w:lineRule="auto"/>
              <w:rPr>
                <w:rFonts w:ascii="Arial" w:hAnsi="Arial" w:cs="Arial"/>
                <w:sz w:val="24"/>
                <w:szCs w:val="24"/>
              </w:rPr>
            </w:pPr>
            <w:r w:rsidRPr="00FE60E7">
              <w:rPr>
                <w:rFonts w:ascii="Arial" w:hAnsi="Arial" w:cs="Arial"/>
                <w:b/>
                <w:bCs/>
                <w:color w:val="000000"/>
                <w:szCs w:val="24"/>
                <w:lang w:val="pt-BR"/>
              </w:rPr>
              <w:t>Instituição:</w:t>
            </w:r>
          </w:p>
        </w:tc>
        <w:tc>
          <w:tcPr>
            <w:tcW w:w="652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AA8F308"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Faculdade UniFECAF</w:t>
            </w:r>
          </w:p>
        </w:tc>
      </w:tr>
      <w:tr w:rsidR="00F72BA0" w:rsidRPr="00FE60E7" w14:paraId="045E2A5A" w14:textId="77777777" w:rsidTr="00366E78">
        <w:tc>
          <w:tcPr>
            <w:tcW w:w="2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D390B20"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Disciplina:</w:t>
            </w:r>
          </w:p>
        </w:tc>
        <w:tc>
          <w:tcPr>
            <w:tcW w:w="652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06CAE0F"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Databases For Data Science</w:t>
            </w:r>
          </w:p>
        </w:tc>
      </w:tr>
      <w:tr w:rsidR="00F72BA0" w:rsidRPr="00FE60E7" w14:paraId="11FE2416" w14:textId="77777777" w:rsidTr="001C7F9B">
        <w:tc>
          <w:tcPr>
            <w:tcW w:w="2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B8B7B50"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Aluno:</w:t>
            </w:r>
          </w:p>
        </w:tc>
        <w:tc>
          <w:tcPr>
            <w:tcW w:w="652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10683E1"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Antônio Benevaldo Chaves Santana</w:t>
            </w:r>
          </w:p>
        </w:tc>
      </w:tr>
      <w:tr w:rsidR="00F72BA0" w:rsidRPr="00FE60E7" w14:paraId="5BF0DA53" w14:textId="77777777" w:rsidTr="00366E78">
        <w:tc>
          <w:tcPr>
            <w:tcW w:w="2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DBB0F32"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Professor:</w:t>
            </w:r>
          </w:p>
        </w:tc>
        <w:tc>
          <w:tcPr>
            <w:tcW w:w="652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C42DBA3"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lang w:val="pt-BR"/>
              </w:rPr>
              <w:t>Felipe Becker Nunes</w:t>
            </w:r>
          </w:p>
        </w:tc>
      </w:tr>
      <w:tr w:rsidR="00F72BA0" w:rsidRPr="00FE60E7" w14:paraId="1AA4356F" w14:textId="77777777" w:rsidTr="001C7F9B">
        <w:tc>
          <w:tcPr>
            <w:tcW w:w="2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1F48163"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Curso:</w:t>
            </w:r>
          </w:p>
        </w:tc>
        <w:tc>
          <w:tcPr>
            <w:tcW w:w="652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C1487A2" w14:textId="77777777" w:rsidR="00F72BA0" w:rsidRPr="00FE60E7" w:rsidRDefault="00F72BA0" w:rsidP="001C7F9B">
            <w:pPr>
              <w:spacing w:after="40" w:line="240" w:lineRule="auto"/>
              <w:rPr>
                <w:rFonts w:ascii="Arial" w:hAnsi="Arial" w:cs="Arial"/>
                <w:b/>
                <w:bCs/>
                <w:sz w:val="24"/>
                <w:szCs w:val="24"/>
              </w:rPr>
            </w:pPr>
            <w:r w:rsidRPr="00FE60E7">
              <w:rPr>
                <w:rFonts w:ascii="Arial" w:hAnsi="Arial" w:cs="Arial"/>
                <w:b/>
                <w:bCs/>
                <w:color w:val="000000"/>
                <w:szCs w:val="24"/>
              </w:rPr>
              <w:t>Ciência de dados</w:t>
            </w:r>
          </w:p>
        </w:tc>
      </w:tr>
    </w:tbl>
    <w:p w14:paraId="02CD4DA3"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1. Resumo executivo e objetivos</w:t>
      </w:r>
    </w:p>
    <w:p w14:paraId="1928186B" w14:textId="77777777" w:rsidR="002C6DF1" w:rsidRPr="00FE60E7" w:rsidRDefault="00000000" w:rsidP="006B1605">
      <w:pPr>
        <w:keepLines/>
        <w:spacing w:after="120" w:line="259" w:lineRule="auto"/>
        <w:ind w:left="159" w:right="113"/>
        <w:rPr>
          <w:rFonts w:ascii="Arial" w:hAnsi="Arial" w:cs="Arial"/>
          <w:sz w:val="24"/>
          <w:szCs w:val="24"/>
        </w:rPr>
      </w:pPr>
      <w:r w:rsidRPr="00FE60E7">
        <w:rPr>
          <w:rFonts w:ascii="Arial" w:hAnsi="Arial" w:cs="Arial"/>
          <w:bCs/>
          <w:color w:val="auto"/>
          <w:szCs w:val="24"/>
        </w:rPr>
        <w:t>Decisão central</w:t>
      </w:r>
      <w:r w:rsidRPr="00FE60E7">
        <w:rPr>
          <w:rFonts w:ascii="Arial" w:hAnsi="Arial" w:cs="Arial"/>
          <w:b/>
          <w:color w:val="163A5F"/>
          <w:szCs w:val="24"/>
        </w:rPr>
        <w:t xml:space="preserve">. </w:t>
      </w:r>
      <w:r w:rsidRPr="00FE60E7">
        <w:rPr>
          <w:rFonts w:ascii="Arial" w:hAnsi="Arial" w:cs="Arial"/>
          <w:szCs w:val="24"/>
        </w:rPr>
        <w:t>Adotar PostgreSQL como fonte transacional, MongoDB para eventos digitais e um lakehouse em Parquet/Delta como histórico governado e camada analítica. A separação reduz o conflito entre cargas operacionais, ingestão flexível e consultas de grande volume.</w:t>
      </w:r>
    </w:p>
    <w:p w14:paraId="323D8F2D"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A VarejoMix precisa consolidar e-commerce e lojas físicas para produzir painéis diários confiáveis de receita, margem, ruptura, conversão e cohorts, além de um dataset reproduzível para propensão de recompra e segmentação. O cenário estimado - 2 a 5 milhões de pedidos e 200 a 400 milhões de eventos ao ano - inviabiliza manter todas as necessidades em um único modelo improvisado. Consultas analíticas sobre o OLTP competiriam com transações, enquanto documentos de navegação sem contrato aumentariam duplicidade e custo.</w:t>
      </w:r>
    </w:p>
    <w:p w14:paraId="7EAA74B4"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1.1 Objetivos do desenho</w:t>
      </w:r>
    </w:p>
    <w:tbl>
      <w:tblPr>
        <w:tblStyle w:val="Tabelacomgrade"/>
        <w:tblW w:w="9360" w:type="dxa"/>
        <w:tblInd w:w="120" w:type="dxa"/>
        <w:tblLayout w:type="fixed"/>
        <w:tblLook w:val="04A0" w:firstRow="1" w:lastRow="0" w:firstColumn="1" w:lastColumn="0" w:noHBand="0" w:noVBand="1"/>
      </w:tblPr>
      <w:tblGrid>
        <w:gridCol w:w="2350"/>
        <w:gridCol w:w="7010"/>
      </w:tblGrid>
      <w:tr w:rsidR="002C6DF1" w:rsidRPr="00FE60E7" w14:paraId="27673687" w14:textId="77777777" w:rsidTr="00DB6446">
        <w:trPr>
          <w:tblHeader/>
        </w:trPr>
        <w:tc>
          <w:tcPr>
            <w:tcW w:w="235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6C4C28E8" w14:textId="77777777" w:rsidR="002C6DF1" w:rsidRPr="00DB6446" w:rsidRDefault="00000000">
            <w:pPr>
              <w:spacing w:after="40" w:line="240" w:lineRule="auto"/>
              <w:rPr>
                <w:rFonts w:ascii="Arial" w:hAnsi="Arial" w:cs="Arial"/>
                <w:color w:val="auto"/>
                <w:sz w:val="24"/>
                <w:szCs w:val="24"/>
              </w:rPr>
            </w:pPr>
            <w:r w:rsidRPr="00DB6446">
              <w:rPr>
                <w:rFonts w:ascii="Arial" w:hAnsi="Arial" w:cs="Arial"/>
                <w:color w:val="000000"/>
                <w:sz w:val="19"/>
                <w:szCs w:val="24"/>
              </w:rPr>
              <w:t>OBJETIVO</w:t>
            </w:r>
          </w:p>
        </w:tc>
        <w:tc>
          <w:tcPr>
            <w:tcW w:w="701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40CA2E83" w14:textId="77777777" w:rsidR="002C6DF1" w:rsidRPr="00DB6446" w:rsidRDefault="00000000">
            <w:pPr>
              <w:spacing w:after="40" w:line="240" w:lineRule="auto"/>
              <w:rPr>
                <w:rFonts w:ascii="Arial" w:hAnsi="Arial" w:cs="Arial"/>
                <w:color w:val="auto"/>
                <w:sz w:val="24"/>
                <w:szCs w:val="24"/>
              </w:rPr>
            </w:pPr>
            <w:r w:rsidRPr="00DB6446">
              <w:rPr>
                <w:rFonts w:ascii="Arial" w:hAnsi="Arial" w:cs="Arial"/>
                <w:color w:val="000000"/>
                <w:sz w:val="19"/>
                <w:szCs w:val="24"/>
              </w:rPr>
              <w:t>CRITÉRIO DE ACEITAÇÃO</w:t>
            </w:r>
          </w:p>
        </w:tc>
      </w:tr>
      <w:tr w:rsidR="002C6DF1" w:rsidRPr="00FE60E7" w14:paraId="7FBE7088" w14:textId="77777777" w:rsidTr="006B1605">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DA391D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Confiabilidade</w:t>
            </w:r>
          </w:p>
        </w:tc>
        <w:tc>
          <w:tcPr>
            <w:tcW w:w="70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71EB2C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Chaves e restrições no OLTP; validação de schema; reconciliação entre fontes e Gold.</w:t>
            </w:r>
          </w:p>
        </w:tc>
      </w:tr>
      <w:tr w:rsidR="002C6DF1" w:rsidRPr="00FE60E7" w14:paraId="64BC265C" w14:textId="77777777" w:rsidTr="006B1605">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7F0209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Reprocessamento</w:t>
            </w:r>
          </w:p>
        </w:tc>
        <w:tc>
          <w:tcPr>
            <w:tcW w:w="70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21F458D"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Pipelines idempotentes por período, run_id e MERGE; versão do dataset registrada.</w:t>
            </w:r>
          </w:p>
        </w:tc>
      </w:tr>
      <w:tr w:rsidR="002C6DF1" w:rsidRPr="00FE60E7" w14:paraId="6E17EF15" w14:textId="77777777" w:rsidTr="006B1605">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118861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Performance</w:t>
            </w:r>
          </w:p>
        </w:tc>
        <w:tc>
          <w:tcPr>
            <w:tcW w:w="70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4DD050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Índices guiados por EXPLAIN; leitura colunar; separação do consumo analítico.</w:t>
            </w:r>
          </w:p>
        </w:tc>
      </w:tr>
      <w:tr w:rsidR="002C6DF1" w:rsidRPr="00FE60E7" w14:paraId="11C66BC4" w14:textId="77777777" w:rsidTr="006B1605">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73BE24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Ciência de Dados</w:t>
            </w:r>
          </w:p>
        </w:tc>
        <w:tc>
          <w:tcPr>
            <w:tcW w:w="70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F649C21"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Extração SQLAlchemy/pandas, corte temporal, features documentadas e limites do snapshot.</w:t>
            </w:r>
          </w:p>
        </w:tc>
      </w:tr>
      <w:tr w:rsidR="002C6DF1" w:rsidRPr="00FE60E7" w14:paraId="5D68C218" w14:textId="77777777" w:rsidTr="006B1605">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421068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Custo e operação</w:t>
            </w:r>
          </w:p>
        </w:tc>
        <w:tc>
          <w:tcPr>
            <w:tcW w:w="70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2038DE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Componentes open-source, processamento diário e adoção incremental por um time pequeno.</w:t>
            </w:r>
          </w:p>
        </w:tc>
      </w:tr>
    </w:tbl>
    <w:p w14:paraId="16EAFC5F"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1.2 Escopo e premissas</w:t>
      </w:r>
    </w:p>
    <w:p w14:paraId="4FE09756"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O recorte prático implementa DDL/DML PostgreSQL, views analíticas, consultas com CTE e janela, índices/EXPLAIN, contrato e carga MongoDB e notebook com exportação CSV/Parquet. A arquitetura Bronze/Silver/Gold, as tabelas dimensionais físicas, o agendamento diário, CDC e Delta Lake são propostas de evolução, não serviços implementados neste pacote.</w:t>
      </w:r>
    </w:p>
    <w:p w14:paraId="761A9B60" w14:textId="77777777" w:rsidR="002C6DF1" w:rsidRPr="00FE60E7" w:rsidRDefault="00000000">
      <w:pPr>
        <w:keepLines/>
        <w:spacing w:after="120" w:line="259" w:lineRule="auto"/>
        <w:rPr>
          <w:rFonts w:ascii="Arial" w:hAnsi="Arial" w:cs="Arial"/>
          <w:sz w:val="24"/>
          <w:szCs w:val="24"/>
        </w:rPr>
      </w:pPr>
      <w:r>
        <w:rPr>
          <w:rFonts w:ascii="Arial" w:hAnsi="Arial" w:cs="Arial"/>
          <w:szCs w:val="24"/>
        </w:rPr>
        <w:t>O projeto prepara a base para recompra e segmentação RFM, sem treinar modelo preditivo. A execução local de 20/09/2026 às 20:39 UTC (17:39 em UTC-3), com PostgreSQL 16.15 e MongoDB 7, concluiu SQL, reconciliação, planos MongoDB e exportação. Os 11 testes de regressão passaram. A falha anterior do coletor foi corrigida e sua execução confirmada. Os testes PGlite permanecem separados em evidencias/revisao.</w:t>
      </w:r>
    </w:p>
    <w:p w14:paraId="75C7A99C"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2. Arquitetura proposta de ponta a ponta</w:t>
      </w:r>
    </w:p>
    <w:p w14:paraId="07C2A9B4"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Na arquitetura proposta, o PostgreSQL preserva a operação, o MongoDB recebe eventos e o lakehouse concentra histórico e consumo. Na implementação mínima, views no próprio PostgreSQL sustentam as consultas e a extração Python. A separação física do consumo e a ingestão diária representadas no diagrama são etapas futuras.</w:t>
      </w:r>
    </w:p>
    <w:p w14:paraId="51F524BF" w14:textId="77777777" w:rsidR="002C6DF1" w:rsidRPr="00FE60E7" w:rsidRDefault="00000000">
      <w:pPr>
        <w:keepNext/>
        <w:keepLines/>
        <w:spacing w:after="120" w:line="259" w:lineRule="auto"/>
        <w:jc w:val="center"/>
        <w:rPr>
          <w:rFonts w:ascii="Arial" w:hAnsi="Arial" w:cs="Arial"/>
          <w:sz w:val="24"/>
          <w:szCs w:val="24"/>
        </w:rPr>
      </w:pPr>
      <w:r w:rsidRPr="00FE60E7">
        <w:rPr>
          <w:rFonts w:ascii="Arial" w:hAnsi="Arial" w:cs="Arial"/>
          <w:noProof/>
          <w:szCs w:val="24"/>
        </w:rPr>
        <w:drawing>
          <wp:inline distT="0" distB="0" distL="0" distR="0" wp14:anchorId="2A84C9DC" wp14:editId="4340D81C">
            <wp:extent cx="5852160" cy="2987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_logica.png"/>
                    <pic:cNvPicPr/>
                  </pic:nvPicPr>
                  <pic:blipFill>
                    <a:blip r:embed="rId8"/>
                    <a:stretch>
                      <a:fillRect/>
                    </a:stretch>
                  </pic:blipFill>
                  <pic:spPr>
                    <a:xfrm>
                      <a:off x="0" y="0"/>
                      <a:ext cx="5852160" cy="2987853"/>
                    </a:xfrm>
                    <a:prstGeom prst="rect">
                      <a:avLst/>
                    </a:prstGeom>
                  </pic:spPr>
                </pic:pic>
              </a:graphicData>
            </a:graphic>
          </wp:inline>
        </w:drawing>
      </w:r>
    </w:p>
    <w:p w14:paraId="448FA2BB" w14:textId="77777777" w:rsidR="002C6DF1" w:rsidRPr="00FE60E7" w:rsidRDefault="00000000">
      <w:pPr>
        <w:pStyle w:val="Legenda"/>
        <w:keepLines/>
        <w:spacing w:before="100" w:after="160" w:line="259" w:lineRule="auto"/>
        <w:jc w:val="center"/>
        <w:rPr>
          <w:rFonts w:ascii="Arial" w:hAnsi="Arial" w:cs="Arial"/>
          <w:sz w:val="24"/>
          <w:szCs w:val="24"/>
        </w:rPr>
      </w:pPr>
      <w:r w:rsidRPr="00FE60E7">
        <w:rPr>
          <w:rFonts w:ascii="Arial" w:hAnsi="Arial" w:cs="Arial"/>
          <w:sz w:val="18"/>
          <w:szCs w:val="24"/>
        </w:rPr>
        <w:t>Figura 1 - Arquitetura lógica e fluxo proposto para a VarejoMix. Fonte: elaboração própria (2026).</w:t>
      </w:r>
    </w:p>
    <w:tbl>
      <w:tblPr>
        <w:tblStyle w:val="Tabelacomgrade"/>
        <w:tblW w:w="9360" w:type="dxa"/>
        <w:tblInd w:w="120" w:type="dxa"/>
        <w:tblLayout w:type="fixed"/>
        <w:tblLook w:val="04A0" w:firstRow="1" w:lastRow="0" w:firstColumn="1" w:lastColumn="0" w:noHBand="0" w:noVBand="1"/>
      </w:tblPr>
      <w:tblGrid>
        <w:gridCol w:w="1600"/>
        <w:gridCol w:w="2700"/>
        <w:gridCol w:w="5060"/>
      </w:tblGrid>
      <w:tr w:rsidR="002C6DF1" w:rsidRPr="00FE60E7" w14:paraId="7DEA63F3" w14:textId="77777777" w:rsidTr="007F3B58">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5562B6A0"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CAMADA</w:t>
            </w:r>
          </w:p>
        </w:tc>
        <w:tc>
          <w:tcPr>
            <w:tcW w:w="27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4704F808"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PAPEL</w:t>
            </w:r>
          </w:p>
        </w:tc>
        <w:tc>
          <w:tcPr>
            <w:tcW w:w="506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24AC37EE"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TECNOLOGIA / DECISÃO</w:t>
            </w:r>
          </w:p>
        </w:tc>
      </w:tr>
      <w:tr w:rsidR="002C6DF1" w:rsidRPr="00FE60E7" w14:paraId="09118FC6" w14:textId="77777777" w:rsidTr="006B1605">
        <w:tc>
          <w:tcPr>
            <w:tcW w:w="1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4094DD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OLTP</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3FC5F51"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Pedidos, itens, pagamentos, estoque e cadastros</w:t>
            </w:r>
          </w:p>
        </w:tc>
        <w:tc>
          <w:tcPr>
            <w:tcW w:w="50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3E165F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PostgreSQL; transações ACID, PK/FK, CHECK e unicidade.</w:t>
            </w:r>
          </w:p>
        </w:tc>
      </w:tr>
      <w:tr w:rsidR="002C6DF1" w:rsidRPr="00FE60E7" w14:paraId="4D53FECA" w14:textId="77777777" w:rsidTr="006B1605">
        <w:tc>
          <w:tcPr>
            <w:tcW w:w="1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1C546A5"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Eventos</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833E5C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Telemetria de site/app em documentos</w:t>
            </w:r>
          </w:p>
        </w:tc>
        <w:tc>
          <w:tcPr>
            <w:tcW w:w="50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A0217B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MongoDB; um documento por evento, schema versionado e índices seletivos.</w:t>
            </w:r>
          </w:p>
        </w:tc>
      </w:tr>
      <w:tr w:rsidR="002C6DF1" w:rsidRPr="00FE60E7" w14:paraId="57C2884B" w14:textId="77777777" w:rsidTr="006B1605">
        <w:tc>
          <w:tcPr>
            <w:tcW w:w="1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A6274F5"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Ingestão</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E2DB23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Incrementos diários e posterior CDC</w:t>
            </w:r>
          </w:p>
        </w:tc>
        <w:tc>
          <w:tcPr>
            <w:tcW w:w="50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A1AF8A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Python/orquestrador simples; Kafka somente quando latência/volume justificarem.</w:t>
            </w:r>
          </w:p>
        </w:tc>
      </w:tr>
      <w:tr w:rsidR="002C6DF1" w:rsidRPr="00FE60E7" w14:paraId="019AEBF0" w14:textId="77777777" w:rsidTr="006B1605">
        <w:tc>
          <w:tcPr>
            <w:tcW w:w="1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CF38CB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Lakehouse</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66A6921"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Histórico, qualidade, reprocessamento e auditoria</w:t>
            </w:r>
          </w:p>
        </w:tc>
        <w:tc>
          <w:tcPr>
            <w:tcW w:w="50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B4FDB4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Object storage + Parquet/Delta; Bronze, Silver e Gold.</w:t>
            </w:r>
          </w:p>
        </w:tc>
      </w:tr>
      <w:tr w:rsidR="002C6DF1" w:rsidRPr="00FE60E7" w14:paraId="0DFF905E" w14:textId="77777777" w:rsidTr="006B1605">
        <w:tc>
          <w:tcPr>
            <w:tcW w:w="1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F5A06D1"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Consumo</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BC4555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BI, SQL ad hoc e datasets de ML</w:t>
            </w:r>
          </w:p>
        </w:tc>
        <w:tc>
          <w:tcPr>
            <w:tcW w:w="50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60AF90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Views/tabelas Gold, DuckDB/engine SQL, Python ou R.</w:t>
            </w:r>
          </w:p>
        </w:tc>
      </w:tr>
    </w:tbl>
    <w:p w14:paraId="20521EAF" w14:textId="77777777" w:rsidR="002C6DF1" w:rsidRPr="00FE60E7" w:rsidRDefault="00000000">
      <w:pPr>
        <w:keepLines/>
        <w:spacing w:before="140" w:after="120" w:line="259" w:lineRule="auto"/>
        <w:rPr>
          <w:rFonts w:ascii="Arial" w:hAnsi="Arial" w:cs="Arial"/>
          <w:sz w:val="24"/>
          <w:szCs w:val="24"/>
        </w:rPr>
      </w:pPr>
      <w:r w:rsidRPr="00FE60E7">
        <w:rPr>
          <w:rFonts w:ascii="Arial" w:hAnsi="Arial" w:cs="Arial"/>
          <w:szCs w:val="24"/>
        </w:rPr>
        <w:t>A fronteira mais importante é a propriedade do dado: estoque, pagamento e status de pedido continuam transacionais; eventos são observações imutáveis; métricas e features são produtos derivados e versionados. Esse contrato evita que divergências sejam “corrigidas” manualmente apenas no painel.</w:t>
      </w:r>
    </w:p>
    <w:p w14:paraId="096FE812"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3. Fluxo proposto e controles implementados</w:t>
      </w:r>
    </w:p>
    <w:p w14:paraId="2526B71F"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3.1 Ingestão até o consumo - evolução proposta</w:t>
      </w:r>
    </w:p>
    <w:tbl>
      <w:tblPr>
        <w:tblStyle w:val="Tabelacomgrade"/>
        <w:tblW w:w="9360" w:type="dxa"/>
        <w:tblInd w:w="120" w:type="dxa"/>
        <w:tblLayout w:type="fixed"/>
        <w:tblLook w:val="04A0" w:firstRow="1" w:lastRow="0" w:firstColumn="1" w:lastColumn="0" w:noHBand="0" w:noVBand="1"/>
      </w:tblPr>
      <w:tblGrid>
        <w:gridCol w:w="2128"/>
        <w:gridCol w:w="3616"/>
        <w:gridCol w:w="3616"/>
      </w:tblGrid>
      <w:tr w:rsidR="002C6DF1" w:rsidRPr="00FE60E7" w14:paraId="4CC3A33B" w14:textId="77777777" w:rsidTr="007F3B58">
        <w:trPr>
          <w:tblHeader/>
        </w:trPr>
        <w:tc>
          <w:tcPr>
            <w:tcW w:w="216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594BE169"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ETAPA</w:t>
            </w:r>
          </w:p>
        </w:tc>
        <w:tc>
          <w:tcPr>
            <w:tcW w:w="3672"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4F1363BB"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ENTRADA → SAÍDA</w:t>
            </w:r>
          </w:p>
        </w:tc>
        <w:tc>
          <w:tcPr>
            <w:tcW w:w="3672"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35E5D25A"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CONTROLE</w:t>
            </w:r>
          </w:p>
        </w:tc>
      </w:tr>
      <w:tr w:rsidR="002C6DF1" w:rsidRPr="00FE60E7" w14:paraId="1DDFC6D5" w14:textId="77777777" w:rsidTr="00FC3465">
        <w:tc>
          <w:tcPr>
            <w:tcW w:w="21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859F4C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1. Captura</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E10A18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PostgreSQL/MongoDB → Bronze</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F10AD9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Watermark ou offset, schema_version, ingestion_ts e run_id.</w:t>
            </w:r>
          </w:p>
        </w:tc>
      </w:tr>
      <w:tr w:rsidR="002C6DF1" w:rsidRPr="00FE60E7" w14:paraId="1837A34F" w14:textId="77777777" w:rsidTr="00FC3465">
        <w:tc>
          <w:tcPr>
            <w:tcW w:w="21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CDB987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2. Padronização</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F750B2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Bronze → Silver</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83AF0E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Tipos, UTC, deduplicação, regras de domínio e quarentena.</w:t>
            </w:r>
          </w:p>
        </w:tc>
      </w:tr>
      <w:tr w:rsidR="002C6DF1" w:rsidRPr="00FE60E7" w14:paraId="3B680374" w14:textId="77777777" w:rsidTr="00FC3465">
        <w:tc>
          <w:tcPr>
            <w:tcW w:w="21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980D0B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3. Reconciliação</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DD2B24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Silver → Gold</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70D119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Pedidos válidos, itens, pagamentos e receita reconciliados.</w:t>
            </w:r>
          </w:p>
        </w:tc>
      </w:tr>
      <w:tr w:rsidR="002C6DF1" w:rsidRPr="00FE60E7" w14:paraId="7A49BC2D" w14:textId="77777777" w:rsidTr="00FC3465">
        <w:tc>
          <w:tcPr>
            <w:tcW w:w="21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05944D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4. Publicação</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BB1F14D"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Gold → BI / notebook</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82D59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Testes aprovados, catálogo atualizado e versão fixada.</w:t>
            </w:r>
          </w:p>
        </w:tc>
      </w:tr>
      <w:tr w:rsidR="002C6DF1" w:rsidRPr="00FE60E7" w14:paraId="345C7A2F" w14:textId="77777777" w:rsidTr="00FC3465">
        <w:tc>
          <w:tcPr>
            <w:tcW w:w="21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9C509DF"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5. Reexecutar</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718B636"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Período + versão de código → nova versão</w:t>
            </w:r>
          </w:p>
        </w:tc>
        <w:tc>
          <w:tcPr>
            <w:tcW w:w="36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A12F56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MERGE idempotente; contagens antes/depois; rollback por time travel.</w:t>
            </w:r>
          </w:p>
        </w:tc>
      </w:tr>
    </w:tbl>
    <w:p w14:paraId="5AC81EC9"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3.2 Zonas e formatos</w:t>
      </w:r>
    </w:p>
    <w:p w14:paraId="4A51EA53"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Bronze retém o payload fiel e metadados técnicos; Silver aplica qualidade e uma visão consistente das entidades; Gold materializa fatos, dimensões e datasets. Parquet organiza dados por coluna, permitindo ler apenas colunas necessárias e aproveitar compressão/encoding em grandes varreduras (APACHE PARQUET, s.d.). Delta Lake adiciona transações ACID, schema enforcement, MERGE e time travel sobre o data lake (DELTA LAKE, s.d.).</w:t>
      </w:r>
    </w:p>
    <w:p w14:paraId="43973BCF" w14:textId="77777777" w:rsidR="002C6DF1" w:rsidRPr="00FE60E7" w:rsidRDefault="00000000" w:rsidP="006C2A43">
      <w:pPr>
        <w:keepLines/>
        <w:spacing w:after="120" w:line="259" w:lineRule="auto"/>
        <w:ind w:left="159" w:right="113"/>
        <w:rPr>
          <w:rFonts w:ascii="Arial" w:hAnsi="Arial" w:cs="Arial"/>
          <w:sz w:val="24"/>
          <w:szCs w:val="24"/>
        </w:rPr>
      </w:pPr>
      <w:r w:rsidRPr="00FE60E7">
        <w:rPr>
          <w:rFonts w:ascii="Arial" w:hAnsi="Arial" w:cs="Arial"/>
          <w:bCs/>
          <w:color w:val="auto"/>
          <w:szCs w:val="24"/>
        </w:rPr>
        <w:t>Particionamento inicial.</w:t>
      </w:r>
      <w:r w:rsidRPr="00FE60E7">
        <w:rPr>
          <w:rFonts w:ascii="Arial" w:hAnsi="Arial" w:cs="Arial"/>
          <w:b/>
          <w:color w:val="auto"/>
          <w:szCs w:val="24"/>
        </w:rPr>
        <w:t xml:space="preserve"> </w:t>
      </w:r>
      <w:r w:rsidRPr="00FE60E7">
        <w:rPr>
          <w:rFonts w:ascii="Arial" w:hAnsi="Arial" w:cs="Arial"/>
          <w:szCs w:val="24"/>
        </w:rPr>
        <w:t>Usar ingestion_date na Bronze e order_date/event_date nas tabelas grandes Silver/Gold. Não particionar por customer_id, product_id ou session_id: a cardinalidade geraria muitos diretórios e arquivos pequenos. Tabelas pequenas e dimensões permanecem sem partição.</w:t>
      </w:r>
    </w:p>
    <w:p w14:paraId="1BDE3CE2"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3.3 Auditoria e qualidade</w:t>
      </w:r>
    </w:p>
    <w:p w14:paraId="37D264EC" w14:textId="77777777" w:rsidR="002C6DF1" w:rsidRPr="00FE60E7" w:rsidRDefault="00000000">
      <w:pPr>
        <w:keepLines/>
        <w:spacing w:after="120" w:line="259" w:lineRule="auto"/>
        <w:rPr>
          <w:rFonts w:ascii="Arial" w:hAnsi="Arial" w:cs="Arial"/>
          <w:sz w:val="24"/>
          <w:szCs w:val="24"/>
        </w:rPr>
      </w:pPr>
      <w:r>
        <w:rPr>
          <w:rFonts w:ascii="Arial" w:hAnsi="Arial" w:cs="Arial"/>
          <w:szCs w:val="24"/>
        </w:rPr>
        <w:t>Implementado no VarejoMix: cada tentativa de exportação iniciada pelo pipeline registra run_id, horário, período, versão do código e estado em audit.pipeline_runs. Exportações concluídas preservam CSV, Parquet, dicionário e manifesto com hashes. A tabela começa vazia, sem registros de auditoria simulados. No lakehouse proposto, a mesma trilha deverá registrar também a versão Delta e os controles de publicação.</w:t>
      </w:r>
    </w:p>
    <w:p w14:paraId="1D767BC4"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O script sql/06_validacoes.sql verifica cronologia, pagamentos, totais, estoque e grão analítico, além de testar que o custo atual do cadastro não altera margens históricas. A execução diária agendada, MERGE e time travel permanecem no desenho futuro; os snapshots de arquivos do recorte não são tabelas Delta.</w:t>
      </w:r>
    </w:p>
    <w:p w14:paraId="6576D35C"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4. Modelagem relacional OLTP</w:t>
      </w:r>
    </w:p>
    <w:p w14:paraId="1A97635D"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O modelo separa clientes, lojas, produtos, pedidos, itens, pagamentos e snapshots de estoque, com PK, FK, CHECK e unicidade. O total do pedido é reconciliado com os itens. Cada item guarda unit_price e unit_cost_at_sale, preservando preço e custo históricos mesmo quando o cadastro do produto é alterado.</w:t>
      </w:r>
    </w:p>
    <w:tbl>
      <w:tblPr>
        <w:tblStyle w:val="Tabelacomgrade"/>
        <w:tblW w:w="9360" w:type="dxa"/>
        <w:tblInd w:w="120" w:type="dxa"/>
        <w:tblLayout w:type="fixed"/>
        <w:tblLook w:val="04A0" w:firstRow="1" w:lastRow="0" w:firstColumn="1" w:lastColumn="0" w:noHBand="0" w:noVBand="1"/>
      </w:tblPr>
      <w:tblGrid>
        <w:gridCol w:w="2600"/>
        <w:gridCol w:w="3650"/>
        <w:gridCol w:w="3110"/>
      </w:tblGrid>
      <w:tr w:rsidR="002C6DF1" w:rsidRPr="00FE60E7" w14:paraId="1312B917" w14:textId="77777777" w:rsidTr="007F3B58">
        <w:trPr>
          <w:tblHeader/>
        </w:trPr>
        <w:tc>
          <w:tcPr>
            <w:tcW w:w="26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3CCBB2B0"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RELAÇÃO / REGRA</w:t>
            </w:r>
          </w:p>
        </w:tc>
        <w:tc>
          <w:tcPr>
            <w:tcW w:w="365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6D92E3D9"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IMPLEMENTAÇÃO</w:t>
            </w:r>
          </w:p>
        </w:tc>
        <w:tc>
          <w:tcPr>
            <w:tcW w:w="311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373BFAD6"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RISCO EVITADO</w:t>
            </w:r>
          </w:p>
        </w:tc>
      </w:tr>
      <w:tr w:rsidR="002C6DF1" w:rsidRPr="00FE60E7" w14:paraId="24558E34" w14:textId="77777777" w:rsidTr="006C2A43">
        <w:tc>
          <w:tcPr>
            <w:tcW w:w="2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053568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Cliente 1:N pedido</w:t>
            </w:r>
          </w:p>
        </w:tc>
        <w:tc>
          <w:tcPr>
            <w:tcW w:w="36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82C966D"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orders.customer_id → customers.customer_id</w:t>
            </w:r>
          </w:p>
        </w:tc>
        <w:tc>
          <w:tcPr>
            <w:tcW w:w="31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1938B5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Pedido sem cliente ou identificação inconsistente.</w:t>
            </w:r>
          </w:p>
        </w:tc>
      </w:tr>
      <w:tr w:rsidR="002C6DF1" w:rsidRPr="00FE60E7" w14:paraId="7AD0E6C3" w14:textId="77777777" w:rsidTr="006C2A43">
        <w:tc>
          <w:tcPr>
            <w:tcW w:w="2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13D359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Pedido 1:N item</w:t>
            </w:r>
          </w:p>
        </w:tc>
        <w:tc>
          <w:tcPr>
            <w:tcW w:w="36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43C928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UNIQUE(order_id, line_number) + ON DELETE CASCADE</w:t>
            </w:r>
          </w:p>
        </w:tc>
        <w:tc>
          <w:tcPr>
            <w:tcW w:w="31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2CE2E3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Linha duplicada e item órfão.</w:t>
            </w:r>
          </w:p>
        </w:tc>
      </w:tr>
      <w:tr w:rsidR="002C6DF1" w:rsidRPr="00FE60E7" w14:paraId="0600373B" w14:textId="77777777" w:rsidTr="006C2A43">
        <w:tc>
          <w:tcPr>
            <w:tcW w:w="2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B31AE1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Produto 1:N item</w:t>
            </w:r>
          </w:p>
        </w:tc>
        <w:tc>
          <w:tcPr>
            <w:tcW w:w="36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BF08DE1"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FK product_id; preço e custo históricos no item</w:t>
            </w:r>
          </w:p>
        </w:tc>
        <w:tc>
          <w:tcPr>
            <w:tcW w:w="31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67FF5A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Mudança no preço atual alterando venda passada.</w:t>
            </w:r>
          </w:p>
        </w:tc>
      </w:tr>
      <w:tr w:rsidR="002C6DF1" w:rsidRPr="00FE60E7" w14:paraId="39F925F6" w14:textId="77777777" w:rsidTr="006C2A43">
        <w:tc>
          <w:tcPr>
            <w:tcW w:w="2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15375F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Canal e loja</w:t>
            </w:r>
          </w:p>
        </w:tc>
        <w:tc>
          <w:tcPr>
            <w:tcW w:w="36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9E0C8D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CHECK: loja obrigatória no canal STORE e nula no ECOMMERCE</w:t>
            </w:r>
          </w:p>
        </w:tc>
        <w:tc>
          <w:tcPr>
            <w:tcW w:w="31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F869B1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Combinações operacionais inválidas.</w:t>
            </w:r>
          </w:p>
        </w:tc>
      </w:tr>
      <w:tr w:rsidR="002C6DF1" w:rsidRPr="00FE60E7" w14:paraId="1D922FE7" w14:textId="77777777" w:rsidTr="006C2A43">
        <w:tc>
          <w:tcPr>
            <w:tcW w:w="2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6322F54"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Pagamento</w:t>
            </w:r>
          </w:p>
        </w:tc>
        <w:tc>
          <w:tcPr>
            <w:tcW w:w="36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E4E5EA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FK, referência única e domínios de método/status</w:t>
            </w:r>
          </w:p>
        </w:tc>
        <w:tc>
          <w:tcPr>
            <w:tcW w:w="31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F918B1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Duplicidade de transação e valores negativos.</w:t>
            </w:r>
          </w:p>
        </w:tc>
      </w:tr>
      <w:tr w:rsidR="002C6DF1" w:rsidRPr="00FE60E7" w14:paraId="68C70072" w14:textId="77777777" w:rsidTr="006C2A43">
        <w:tc>
          <w:tcPr>
            <w:tcW w:w="26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C44610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Estoque diário</w:t>
            </w:r>
          </w:p>
        </w:tc>
        <w:tc>
          <w:tcPr>
            <w:tcW w:w="36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64AEE2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PK(snapshot_date, store_id, product_id)</w:t>
            </w:r>
          </w:p>
        </w:tc>
        <w:tc>
          <w:tcPr>
            <w:tcW w:w="31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3A0541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Snapshots duplicados e ruptura impossível de auditar.</w:t>
            </w:r>
          </w:p>
        </w:tc>
      </w:tr>
    </w:tbl>
    <w:p w14:paraId="35690CA0"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4.1 Normalização versus desnormalização</w:t>
      </w:r>
    </w:p>
    <w:p w14:paraId="1A162F98"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A normalização reduz anomalias no OLTP. O preço e o custo praticados são fatos históricos do item, não cópias indevidas do preço e custo atuais do produto. Para análise, a view vw_sales_line expõe o grão item; o modelo estrela com fatos e dimensões físicas é uma proposta de desnormalização para a futura Gold.</w:t>
      </w:r>
    </w:p>
    <w:p w14:paraId="602C890C"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4.2 Consistência e disponibilidade</w:t>
      </w:r>
    </w:p>
    <w:p w14:paraId="27927F5B"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Na confirmação de compra, consistência é mais importante que disponibilidade irrestrita: pedido, itens, pagamento e baixa/reserva de estoque precisam de transação ou saga controlada. Uma venda não deve aparecer paga sem pedido correspondente. Já dashboards diários toleram consistência eventual por algumas horas, desde que mostrem freshness e só publiquem lotes reconciliados.</w:t>
      </w:r>
    </w:p>
    <w:p w14:paraId="3A2C9269" w14:textId="77777777" w:rsidR="002C6DF1" w:rsidRPr="00FE60E7" w:rsidRDefault="00000000" w:rsidP="00ED63DB">
      <w:pPr>
        <w:keepLines/>
        <w:spacing w:after="120" w:line="259" w:lineRule="auto"/>
        <w:ind w:left="159" w:right="113"/>
        <w:rPr>
          <w:rFonts w:ascii="Arial" w:hAnsi="Arial" w:cs="Arial"/>
          <w:color w:val="auto"/>
          <w:sz w:val="24"/>
          <w:szCs w:val="24"/>
        </w:rPr>
      </w:pPr>
      <w:r w:rsidRPr="00FE60E7">
        <w:rPr>
          <w:rFonts w:ascii="Arial" w:hAnsi="Arial" w:cs="Arial"/>
          <w:color w:val="auto"/>
          <w:szCs w:val="24"/>
        </w:rPr>
        <w:t xml:space="preserve">Carga </w:t>
      </w:r>
      <w:r w:rsidR="002E5362" w:rsidRPr="00FE60E7">
        <w:rPr>
          <w:rFonts w:ascii="Arial" w:hAnsi="Arial" w:cs="Arial"/>
          <w:color w:val="auto"/>
          <w:szCs w:val="24"/>
        </w:rPr>
        <w:t>VarejoMix</w:t>
      </w:r>
      <w:r w:rsidRPr="00FE60E7">
        <w:rPr>
          <w:rFonts w:ascii="Arial" w:hAnsi="Arial" w:cs="Arial"/>
          <w:color w:val="auto"/>
          <w:szCs w:val="24"/>
        </w:rPr>
        <w:t>: 200 clientes, 40 produtos, 5 lojas, 5.000 pedidos, 10.068 itens, 5.000 pagamentos e 2.800 snapshots de estoque. Há 4.730 vendas confirmadas, totalizando R$ 2.688.893,36. Os pedidos são gerados por MD5 com intervalo ativo nunca anterior ao cadastro. Os eventos usam semente fixa e pedidos reais dessa carga: 1.088 documentos em 500 sessões, com 78 compras reconciliáveis. Todos os dados são sintéticos.</w:t>
      </w:r>
    </w:p>
    <w:p w14:paraId="5AF9A381"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Índices de chaves estrangeiras apoiam joins e manutenção. Índices adicionais só são criados após observar filtros e planos, pois toda estrutura acelera algumas leituras, mas consome espaço e adiciona custo às escritas.</w:t>
      </w:r>
    </w:p>
    <w:p w14:paraId="36027224"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5. Modelagem NoSQL dos eventos</w:t>
      </w:r>
    </w:p>
    <w:p w14:paraId="16E1A699"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A coleção events adota um documento por evento e um event_id único. Arrays de toda a sessão ou de todo o histórico do cliente não são usados, pois cresceriam sem limite e concentrariam atualizações. O contrato aceita page_view, search, add_to_cart, checkout_start e purchase, sempre com event_time, session_id e schema_version.</w:t>
      </w:r>
    </w:p>
    <w:tbl>
      <w:tblPr>
        <w:tblStyle w:val="Tabelacomgrade"/>
        <w:tblW w:w="9360" w:type="dxa"/>
        <w:tblInd w:w="120" w:type="dxa"/>
        <w:tblLayout w:type="fixed"/>
        <w:tblLook w:val="04A0" w:firstRow="1" w:lastRow="0" w:firstColumn="1" w:lastColumn="0" w:noHBand="0" w:noVBand="1"/>
      </w:tblPr>
      <w:tblGrid>
        <w:gridCol w:w="1500"/>
        <w:gridCol w:w="2250"/>
        <w:gridCol w:w="2250"/>
        <w:gridCol w:w="3360"/>
      </w:tblGrid>
      <w:tr w:rsidR="002C6DF1" w:rsidRPr="00FE60E7" w14:paraId="7AA9D076" w14:textId="77777777" w:rsidTr="007F3B58">
        <w:trPr>
          <w:tblHeader/>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69C0F50D"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CRITÉRIO</w:t>
            </w:r>
          </w:p>
        </w:tc>
        <w:tc>
          <w:tcPr>
            <w:tcW w:w="225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2A85D9C7"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EMBUTIR</w:t>
            </w:r>
          </w:p>
        </w:tc>
        <w:tc>
          <w:tcPr>
            <w:tcW w:w="225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6C0069E7"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REFERENCIAR</w:t>
            </w:r>
          </w:p>
        </w:tc>
        <w:tc>
          <w:tcPr>
            <w:tcW w:w="336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66EBAF1D"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DECISÃO</w:t>
            </w:r>
          </w:p>
        </w:tc>
      </w:tr>
      <w:tr w:rsidR="002C6DF1" w:rsidRPr="00FE60E7" w14:paraId="02717D84" w14:textId="77777777" w:rsidTr="000E5400">
        <w:tc>
          <w:tcPr>
            <w:tcW w:w="1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FAF326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Leitura</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F2D9D3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Contexto lido junto</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3F5343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Entidade consultada separadamente</w:t>
            </w:r>
          </w:p>
        </w:tc>
        <w:tc>
          <w:tcPr>
            <w:tcW w:w="33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0E1687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device/page embutidos; mestres por ID.</w:t>
            </w:r>
          </w:p>
        </w:tc>
      </w:tr>
      <w:tr w:rsidR="002C6DF1" w:rsidRPr="00FE60E7" w14:paraId="04DFDF0F" w14:textId="77777777" w:rsidTr="000E5400">
        <w:tc>
          <w:tcPr>
            <w:tcW w:w="1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6E8F416"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Cardinalidade</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1E8E69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Pequena e limitada</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EE3A765"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Alta ou muitos-para-muitos</w:t>
            </w:r>
          </w:p>
        </w:tc>
        <w:tc>
          <w:tcPr>
            <w:tcW w:w="33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E99946D"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Sessão referenciada por session_id.</w:t>
            </w:r>
          </w:p>
        </w:tc>
      </w:tr>
      <w:tr w:rsidR="002C6DF1" w:rsidRPr="00FE60E7" w14:paraId="50EF7D24" w14:textId="77777777" w:rsidTr="000E5400">
        <w:tc>
          <w:tcPr>
            <w:tcW w:w="1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B7D048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Atualização</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623DD8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Mesmo ciclo de vida</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8F745A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Ciclo independente</w:t>
            </w:r>
          </w:p>
        </w:tc>
        <w:tc>
          <w:tcPr>
            <w:tcW w:w="33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13748C5"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Cliente/produto permanecem no OLTP.</w:t>
            </w:r>
          </w:p>
        </w:tc>
      </w:tr>
      <w:tr w:rsidR="002C6DF1" w:rsidRPr="00FE60E7" w14:paraId="6482E21A" w14:textId="77777777" w:rsidTr="000E5400">
        <w:tc>
          <w:tcPr>
            <w:tcW w:w="1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EA0A42D"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Histórico</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3C6FA8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Fotografia do evento</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38534D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Estado mestre atual</w:t>
            </w:r>
          </w:p>
        </w:tc>
        <w:tc>
          <w:tcPr>
            <w:tcW w:w="33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849710D"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Preço exibido embutido; produto por product_id.</w:t>
            </w:r>
          </w:p>
        </w:tc>
      </w:tr>
      <w:tr w:rsidR="002C6DF1" w:rsidRPr="00FE60E7" w14:paraId="2FAEEAA7" w14:textId="77777777" w:rsidTr="000E5400">
        <w:tc>
          <w:tcPr>
            <w:tcW w:w="15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C28EC3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Tamanho</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8FBD67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Previsível</w:t>
            </w:r>
          </w:p>
        </w:tc>
        <w:tc>
          <w:tcPr>
            <w:tcW w:w="22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05FB28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Pode crescer sem limite</w:t>
            </w:r>
          </w:p>
        </w:tc>
        <w:tc>
          <w:tcPr>
            <w:tcW w:w="33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250C55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Nunca embutir lista infinita de eventos.</w:t>
            </w:r>
          </w:p>
        </w:tc>
      </w:tr>
    </w:tbl>
    <w:p w14:paraId="646CD8EA"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5.1 Exemplo de documento</w:t>
      </w:r>
    </w:p>
    <w:p w14:paraId="3ECA7774" w14:textId="77777777" w:rsidR="002C6DF1" w:rsidRPr="00FE60E7" w:rsidRDefault="00000000" w:rsidP="000E5400">
      <w:pPr>
        <w:keepLines/>
        <w:spacing w:after="120" w:line="252" w:lineRule="auto"/>
        <w:ind w:left="255" w:right="198"/>
        <w:rPr>
          <w:rFonts w:ascii="Arial" w:hAnsi="Arial" w:cs="Arial"/>
          <w:sz w:val="24"/>
          <w:szCs w:val="24"/>
        </w:rPr>
      </w:pPr>
      <w:r>
        <w:rPr>
          <w:rFonts w:ascii="Consolas" w:hAnsi="Consolas" w:cs="Arial"/>
          <w:sz w:val="17"/>
          <w:szCs w:val="24"/>
        </w:rPr>
        <w:t>{ "event_id": "evt-000003", "event_name": "add_to_cart",</w:t>
      </w:r>
      <w:r>
        <w:rPr>
          <w:rFonts w:ascii="Consolas" w:hAnsi="Consolas" w:cs="Arial"/>
          <w:sz w:val="17"/>
          <w:szCs w:val="24"/>
        </w:rPr>
        <w:br/>
        <w:t xml:space="preserve">  "event_time": "2025-12-26T14:29:52.652Z",</w:t>
      </w:r>
      <w:r>
        <w:rPr>
          <w:rFonts w:ascii="Consolas" w:hAnsi="Consolas" w:cs="Arial"/>
          <w:sz w:val="17"/>
          <w:szCs w:val="24"/>
        </w:rPr>
        <w:br/>
        <w:t xml:space="preserve">  "session_id": "ses-00001", "customer_id": 4,</w:t>
      </w:r>
      <w:r>
        <w:rPr>
          <w:rFonts w:ascii="Consolas" w:hAnsi="Consolas" w:cs="Arial"/>
          <w:sz w:val="17"/>
          <w:szCs w:val="24"/>
        </w:rPr>
        <w:br/>
        <w:t xml:space="preserve">  "product_id": 32, "schema_version": 1,</w:t>
      </w:r>
      <w:r>
        <w:rPr>
          <w:rFonts w:ascii="Consolas" w:hAnsi="Consolas" w:cs="Arial"/>
          <w:sz w:val="17"/>
          <w:szCs w:val="24"/>
        </w:rPr>
        <w:br/>
        <w:t xml:space="preserve">  "product_context": {"sku": "SKU-0032", "displayed_price": 204.22} }</w:t>
      </w:r>
    </w:p>
    <w:p w14:paraId="78556CF0" w14:textId="77777777" w:rsidR="002C6DF1" w:rsidRPr="00FE60E7" w:rsidRDefault="00000000">
      <w:pPr>
        <w:pStyle w:val="Ttulo2"/>
        <w:spacing w:after="120" w:line="259" w:lineRule="auto"/>
        <w:rPr>
          <w:rFonts w:ascii="Arial" w:hAnsi="Arial" w:cs="Arial"/>
          <w:b w:val="0"/>
          <w:bCs w:val="0"/>
          <w:color w:val="auto"/>
          <w:sz w:val="24"/>
          <w:szCs w:val="24"/>
        </w:rPr>
      </w:pPr>
      <w:r w:rsidRPr="00FE60E7">
        <w:rPr>
          <w:rFonts w:ascii="Arial" w:hAnsi="Arial" w:cs="Arial"/>
          <w:bCs w:val="0"/>
          <w:sz w:val="22"/>
          <w:szCs w:val="24"/>
        </w:rPr>
        <w:t>5.2 Índices e trade-offs</w:t>
      </w:r>
    </w:p>
    <w:p w14:paraId="00411E30"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Os índices cobrem tempo, sessão, cliente, tipo e produto. A documentação do MongoDB recomenda decidir embedding ou referência conforme padrões de acesso, cardinalidade, frequência de atualização e crescimento do documento; embedding favorece leitura conjunta e atomicidade de documento, enquanto referências atendem relações amplas e ciclos independentes (MONGODB, s.d.). Cada índice aumenta I/O e memória nas escritas, portanto deve ser monitorado e removido se não sustentar consulta real.</w:t>
      </w:r>
    </w:p>
    <w:p w14:paraId="5D2FD999"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A telemetria não substitui o pedido oficial. N</w:t>
      </w:r>
      <w:r w:rsidR="00086E23" w:rsidRPr="00FE60E7">
        <w:rPr>
          <w:rFonts w:ascii="Arial" w:hAnsi="Arial" w:cs="Arial"/>
          <w:szCs w:val="24"/>
        </w:rPr>
        <w:t>o VarejoMix</w:t>
      </w:r>
      <w:r w:rsidRPr="00FE60E7">
        <w:rPr>
          <w:rFonts w:ascii="Arial" w:hAnsi="Arial" w:cs="Arial"/>
          <w:szCs w:val="24"/>
        </w:rPr>
        <w:t>, cada purchase aponta para uma venda digital confirmada com cliente, valor e quantidade compatíveis. O funil sintético tem 500 sessões: 220 com carrinho (44,0%), 123 com checkout (24,6%) e 78 com compra (15,6%). Essas proporções foram construídas para demonstração; não são taxas de uma empresa real. validar_eventos.py --mongo compara o servidor ao JSON e reconcilia os pedidos.</w:t>
      </w:r>
    </w:p>
    <w:p w14:paraId="0FBBAB56"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6. Camada analítica: dimensional e lakehouse</w:t>
      </w:r>
    </w:p>
    <w:p w14:paraId="2DA8C18F"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O modelo estrela proposto tem fact_sales no grão de item de pedido, com dimensões de data, cliente, produto, loja e canal (KIMBALL GROUP, s.d.). No recorte, analytics.vw_sales_line implementa esse grão como view, com order_item_id e line_number. As tabelas abaixo descrevem produtos Gold futuros; não são tabelas físicas já criadas.</w:t>
      </w:r>
    </w:p>
    <w:p w14:paraId="3E165115" w14:textId="77777777" w:rsidR="002C6DF1" w:rsidRPr="00FE60E7" w:rsidRDefault="00000000">
      <w:pPr>
        <w:keepNext/>
        <w:keepLines/>
        <w:spacing w:after="120" w:line="259" w:lineRule="auto"/>
        <w:jc w:val="center"/>
        <w:rPr>
          <w:rFonts w:ascii="Arial" w:hAnsi="Arial" w:cs="Arial"/>
          <w:sz w:val="24"/>
          <w:szCs w:val="24"/>
        </w:rPr>
      </w:pPr>
      <w:r w:rsidRPr="00FE60E7">
        <w:rPr>
          <w:rFonts w:ascii="Arial" w:hAnsi="Arial" w:cs="Arial"/>
          <w:noProof/>
          <w:szCs w:val="24"/>
        </w:rPr>
        <w:drawing>
          <wp:inline distT="0" distB="0" distL="0" distR="0" wp14:anchorId="29AF862F" wp14:editId="4DBB9503">
            <wp:extent cx="5852160" cy="2987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2987853"/>
                    </a:xfrm>
                    <a:prstGeom prst="rect">
                      <a:avLst/>
                    </a:prstGeom>
                  </pic:spPr>
                </pic:pic>
              </a:graphicData>
            </a:graphic>
          </wp:inline>
        </w:drawing>
      </w:r>
    </w:p>
    <w:p w14:paraId="79316D10" w14:textId="77777777" w:rsidR="002C6DF1" w:rsidRPr="00FE60E7" w:rsidRDefault="00000000">
      <w:pPr>
        <w:pStyle w:val="Legenda"/>
        <w:keepLines/>
        <w:spacing w:before="100" w:after="160" w:line="259" w:lineRule="auto"/>
        <w:jc w:val="center"/>
        <w:rPr>
          <w:rFonts w:ascii="Arial" w:hAnsi="Arial" w:cs="Arial"/>
          <w:sz w:val="24"/>
          <w:szCs w:val="24"/>
        </w:rPr>
      </w:pPr>
      <w:r w:rsidRPr="00FE60E7">
        <w:rPr>
          <w:rFonts w:ascii="Arial" w:hAnsi="Arial" w:cs="Arial"/>
          <w:sz w:val="18"/>
          <w:szCs w:val="24"/>
        </w:rPr>
        <w:t>Figura 2 - Esquema estrela proposto para vendas. Fonte: elaboração própria (2026).</w:t>
      </w:r>
    </w:p>
    <w:tbl>
      <w:tblPr>
        <w:tblStyle w:val="Tabelacomgrade"/>
        <w:tblW w:w="9360" w:type="dxa"/>
        <w:tblInd w:w="120" w:type="dxa"/>
        <w:tblLayout w:type="fixed"/>
        <w:tblLook w:val="04A0" w:firstRow="1" w:lastRow="0" w:firstColumn="1" w:lastColumn="0" w:noHBand="0" w:noVBand="1"/>
      </w:tblPr>
      <w:tblGrid>
        <w:gridCol w:w="2700"/>
        <w:gridCol w:w="2700"/>
        <w:gridCol w:w="3960"/>
      </w:tblGrid>
      <w:tr w:rsidR="002C6DF1" w:rsidRPr="00FE60E7" w14:paraId="10E89346" w14:textId="77777777" w:rsidTr="007F3B58">
        <w:trPr>
          <w:tblHeader/>
        </w:trPr>
        <w:tc>
          <w:tcPr>
            <w:tcW w:w="27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7832083A"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PRODUTO GOLD</w:t>
            </w:r>
          </w:p>
        </w:tc>
        <w:tc>
          <w:tcPr>
            <w:tcW w:w="27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32729E5E"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GRÃO</w:t>
            </w:r>
          </w:p>
        </w:tc>
        <w:tc>
          <w:tcPr>
            <w:tcW w:w="396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72325B61"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USO</w:t>
            </w:r>
          </w:p>
        </w:tc>
      </w:tr>
      <w:tr w:rsidR="002C6DF1" w:rsidRPr="00FE60E7" w14:paraId="1F6CCDE6" w14:textId="77777777" w:rsidTr="000E5400">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566A1CC"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fact_sales</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D59DFE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Item de pedido válido</w:t>
            </w:r>
          </w:p>
        </w:tc>
        <w:tc>
          <w:tcPr>
            <w:tcW w:w="39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BEEB39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Receita, margem, ticket e mix por dimensões.</w:t>
            </w:r>
          </w:p>
        </w:tc>
      </w:tr>
      <w:tr w:rsidR="002C6DF1" w:rsidRPr="00FE60E7" w14:paraId="0450655E" w14:textId="77777777" w:rsidTr="000E5400">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C23B7D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fact_inventory_daily</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14F766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SKU × loja × dia</w:t>
            </w:r>
          </w:p>
        </w:tc>
        <w:tc>
          <w:tcPr>
            <w:tcW w:w="39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07F724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Ruptura, disponibilidade e cobertura.</w:t>
            </w:r>
          </w:p>
        </w:tc>
      </w:tr>
      <w:tr w:rsidR="002C6DF1" w:rsidRPr="00FE60E7" w14:paraId="33464522" w14:textId="77777777" w:rsidTr="000E5400">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B4D6A84"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fact_web_funnel</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3FC199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Sessão × etapa × dia</w:t>
            </w:r>
          </w:p>
        </w:tc>
        <w:tc>
          <w:tcPr>
            <w:tcW w:w="39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96F0601"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Conversão page_view → cart → checkout → purchase.</w:t>
            </w:r>
          </w:p>
        </w:tc>
      </w:tr>
      <w:tr w:rsidR="002C6DF1" w:rsidRPr="00FE60E7" w14:paraId="6944B244" w14:textId="77777777" w:rsidTr="000E5400">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9D6EB11" w14:textId="77777777" w:rsidR="002C6DF1" w:rsidRPr="00FE60E7" w:rsidRDefault="00000000">
            <w:pPr>
              <w:spacing w:after="40" w:line="240" w:lineRule="auto"/>
              <w:rPr>
                <w:rFonts w:ascii="Arial" w:hAnsi="Arial" w:cs="Arial"/>
                <w:color w:val="auto"/>
                <w:sz w:val="24"/>
                <w:szCs w:val="24"/>
              </w:rPr>
            </w:pPr>
            <w:r>
              <w:rPr>
                <w:sz w:val="19"/>
              </w:rPr>
              <w:t>customer_repurchase_</w:t>
            </w:r>
            <w:r>
              <w:rPr>
                <w:sz w:val="19"/>
              </w:rPr>
              <w:br/>
              <w:t>features</w:t>
            </w:r>
          </w:p>
        </w:tc>
        <w:tc>
          <w:tcPr>
            <w:tcW w:w="27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504AA1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Cliente × data de corte</w:t>
            </w:r>
          </w:p>
        </w:tc>
        <w:tc>
          <w:tcPr>
            <w:tcW w:w="39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EFF0A8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Propensão de recompra e segmentação reproduzível.</w:t>
            </w:r>
          </w:p>
        </w:tc>
      </w:tr>
    </w:tbl>
    <w:p w14:paraId="0B77BBE3" w14:textId="77777777" w:rsidR="002C6DF1" w:rsidRPr="00FE60E7" w:rsidRDefault="00000000">
      <w:pPr>
        <w:keepLines/>
        <w:spacing w:before="140" w:after="120" w:line="259" w:lineRule="auto"/>
        <w:rPr>
          <w:rFonts w:ascii="Arial" w:hAnsi="Arial" w:cs="Arial"/>
          <w:sz w:val="24"/>
          <w:szCs w:val="24"/>
        </w:rPr>
      </w:pPr>
      <w:r w:rsidRPr="00FE60E7">
        <w:rPr>
          <w:rFonts w:ascii="Arial" w:hAnsi="Arial" w:cs="Arial"/>
          <w:szCs w:val="24"/>
        </w:rPr>
        <w:t>Dimensões podem usar chave substituta e histórico tipo 2 quando atributos precisam ser analisados “como eram” no momento da venda. Para o primeiro trimestre, cliente e produto podem começar com tipo 1 se o negócio aceitar visão atual; a evolução para tipo 2 deve ser guiada por requisitos de auditoria.</w:t>
      </w:r>
    </w:p>
    <w:p w14:paraId="0B6FBD7F"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Regra única implementada em vw_valid_orders: pedidos PAID, SHIPPED ou DELIVERED com pagamento APPROVED integral. CREATED/PENDING e cancelados/reembolsados ficam fora das vendas confirmadas, cohorts e features. “Receita” neste recorte significa valor líquido dessas vendas, não apuração fiscal. Margem usa custo histórico do item; ruptura usa estoque disponível igual a zero.</w:t>
      </w:r>
    </w:p>
    <w:p w14:paraId="58C5764B"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7. SQL analítico, performance e integração Python</w:t>
      </w:r>
    </w:p>
    <w:p w14:paraId="2A580E30"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7.1 Consultas e plano de execução</w:t>
      </w:r>
    </w:p>
    <w:p w14:paraId="0F251358" w14:textId="77777777" w:rsidR="002C6DF1" w:rsidRPr="00FE60E7" w:rsidRDefault="00000000">
      <w:pPr>
        <w:keepLines/>
        <w:spacing w:after="120" w:line="259" w:lineRule="auto"/>
        <w:rPr>
          <w:rFonts w:ascii="Arial" w:hAnsi="Arial" w:cs="Arial"/>
          <w:sz w:val="24"/>
          <w:szCs w:val="24"/>
        </w:rPr>
      </w:pPr>
      <w:r>
        <w:rPr>
          <w:rFonts w:ascii="Arial" w:hAnsi="Arial" w:cs="Arial"/>
          <w:szCs w:val="24"/>
        </w:rPr>
        <w:t>sql/05_index_explain.sql compara 14 dias de pedidos DELIVERED antes e depois do índice (order_ts, status) INCLUDE (customer_id, total_amount). EXPLAIN ANALYZE executa e mede a consulta (POSTGRESQL, s.d.). Na coleta PostgreSQL 16.15 de 20/09/2026, às 20:39 UTC, ambos os planos retornaram 285 linhas: Seq Scan em 0,327 ms e Bitmap Index Scan + Heap em 0,202 ms. São os valores de Execution Time de uma única execução, sem garantia de ganho em outras condições. Fonte: evidencias/local/05_index_explain.txt.</w:t>
      </w:r>
    </w:p>
    <w:tbl>
      <w:tblPr>
        <w:tblStyle w:val="Tabelacomgrade"/>
        <w:tblW w:w="9360" w:type="dxa"/>
        <w:tblInd w:w="120" w:type="dxa"/>
        <w:tblLayout w:type="fixed"/>
        <w:tblLook w:val="04A0" w:firstRow="1" w:lastRow="0" w:firstColumn="1" w:lastColumn="0" w:noHBand="0" w:noVBand="1"/>
      </w:tblPr>
      <w:tblGrid>
        <w:gridCol w:w="1900"/>
        <w:gridCol w:w="3150"/>
        <w:gridCol w:w="4310"/>
      </w:tblGrid>
      <w:tr w:rsidR="002C6DF1" w:rsidRPr="00FE60E7" w14:paraId="118B9008" w14:textId="77777777" w:rsidTr="007F3B58">
        <w:trPr>
          <w:tblHeader/>
        </w:trPr>
        <w:tc>
          <w:tcPr>
            <w:tcW w:w="19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1C63CA86"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PASSO</w:t>
            </w:r>
          </w:p>
        </w:tc>
        <w:tc>
          <w:tcPr>
            <w:tcW w:w="315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3B5D28F5"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EVIDÊNCIA</w:t>
            </w:r>
          </w:p>
        </w:tc>
        <w:tc>
          <w:tcPr>
            <w:tcW w:w="431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7FF91445"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INTERPRETAÇÃO</w:t>
            </w:r>
          </w:p>
        </w:tc>
      </w:tr>
      <w:tr w:rsidR="002C6DF1" w:rsidRPr="00FE60E7" w14:paraId="42F4F3E2" w14:textId="77777777" w:rsidTr="009256FA">
        <w:tc>
          <w:tcPr>
            <w:tcW w:w="19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2214B37"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Sem índice</w:t>
            </w:r>
          </w:p>
        </w:tc>
        <w:tc>
          <w:tcPr>
            <w:tcW w:w="31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24F3B52" w14:textId="77777777" w:rsidR="00252AA6" w:rsidRPr="00FE60E7" w:rsidRDefault="00000000">
            <w:pPr>
              <w:spacing w:after="40" w:line="240" w:lineRule="auto"/>
              <w:rPr>
                <w:rFonts w:ascii="Arial" w:hAnsi="Arial" w:cs="Arial"/>
                <w:color w:val="auto"/>
                <w:sz w:val="24"/>
                <w:szCs w:val="24"/>
              </w:rPr>
            </w:pPr>
            <w:r>
              <w:rPr>
                <w:rFonts w:ascii="Arial" w:hAnsi="Arial" w:cs="Arial"/>
                <w:color w:val="000000"/>
                <w:sz w:val="19"/>
                <w:szCs w:val="24"/>
              </w:rPr>
              <w:t>Seq Scan; 285 linhas; 0,327 ms</w:t>
            </w:r>
          </w:p>
        </w:tc>
        <w:tc>
          <w:tcPr>
            <w:tcW w:w="43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4A3976C"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Varre a tabela e aplica o filtro.</w:t>
            </w:r>
          </w:p>
        </w:tc>
      </w:tr>
      <w:tr w:rsidR="002C6DF1" w:rsidRPr="00FE60E7" w14:paraId="23104A7A" w14:textId="77777777" w:rsidTr="009256FA">
        <w:tc>
          <w:tcPr>
            <w:tcW w:w="19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A3D0370"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Criar índice</w:t>
            </w:r>
          </w:p>
        </w:tc>
        <w:tc>
          <w:tcPr>
            <w:tcW w:w="31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1B9AD77"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CREATE INDEX + ANALYZE</w:t>
            </w:r>
          </w:p>
        </w:tc>
        <w:tc>
          <w:tcPr>
            <w:tcW w:w="43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B407689"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Atualiza a estrutura e as estatísticas.</w:t>
            </w:r>
          </w:p>
        </w:tc>
      </w:tr>
      <w:tr w:rsidR="002C6DF1" w:rsidRPr="00FE60E7" w14:paraId="6CC9FD8F" w14:textId="77777777" w:rsidTr="009256FA">
        <w:tc>
          <w:tcPr>
            <w:tcW w:w="19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305E297"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Com índice</w:t>
            </w:r>
          </w:p>
        </w:tc>
        <w:tc>
          <w:tcPr>
            <w:tcW w:w="31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3D2A481" w14:textId="77777777" w:rsidR="00252AA6" w:rsidRPr="00FE60E7" w:rsidRDefault="00000000">
            <w:pPr>
              <w:spacing w:after="40" w:line="240" w:lineRule="auto"/>
              <w:rPr>
                <w:rFonts w:ascii="Arial" w:hAnsi="Arial" w:cs="Arial"/>
                <w:color w:val="auto"/>
                <w:sz w:val="24"/>
                <w:szCs w:val="24"/>
              </w:rPr>
            </w:pPr>
            <w:r>
              <w:rPr>
                <w:rFonts w:ascii="Arial" w:hAnsi="Arial" w:cs="Arial"/>
                <w:color w:val="000000"/>
                <w:sz w:val="19"/>
                <w:szCs w:val="24"/>
              </w:rPr>
              <w:t>Bitmap Index Scan + Heap; 285 linhas; 0,202 ms</w:t>
            </w:r>
          </w:p>
        </w:tc>
        <w:tc>
          <w:tcPr>
            <w:tcW w:w="43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2FDC70C"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Acesso seletivo observado no Docker local.</w:t>
            </w:r>
          </w:p>
        </w:tc>
      </w:tr>
      <w:tr w:rsidR="002C6DF1" w:rsidRPr="00FE60E7" w14:paraId="6D0EF81B" w14:textId="77777777" w:rsidTr="009256FA">
        <w:tc>
          <w:tcPr>
            <w:tcW w:w="19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C114DDD"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Conclusão</w:t>
            </w:r>
          </w:p>
        </w:tc>
        <w:tc>
          <w:tcPr>
            <w:tcW w:w="31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EE4D4F3"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Execução local documentada</w:t>
            </w:r>
          </w:p>
        </w:tc>
        <w:tc>
          <w:tcPr>
            <w:tcW w:w="43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BCA5AED" w14:textId="77777777" w:rsidR="00252AA6"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Não generalizar uma única medição.</w:t>
            </w:r>
          </w:p>
        </w:tc>
      </w:tr>
    </w:tbl>
    <w:p w14:paraId="725124FB"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7.2 Dataset de recompra</w:t>
      </w:r>
    </w:p>
    <w:p w14:paraId="2E04B715"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 xml:space="preserve">O notebook usa SQLAlchemy e pandas.read_sql para gerar uma linha por cliente com compra histórica. Corte: 01/10/2025 UTC. Features usam [corte-365 dias, corte); o alvo usa [corte, corte+90 dias). A consulta agrega pedidos separadamente das categorias, evitando duplicação por itens. A extração </w:t>
      </w:r>
      <w:r w:rsidR="00086E23" w:rsidRPr="00FE60E7">
        <w:rPr>
          <w:rFonts w:ascii="Arial" w:hAnsi="Arial" w:cs="Arial"/>
          <w:szCs w:val="24"/>
        </w:rPr>
        <w:t>VarejoMix</w:t>
      </w:r>
      <w:r w:rsidRPr="00FE60E7">
        <w:rPr>
          <w:rFonts w:ascii="Arial" w:hAnsi="Arial" w:cs="Arial"/>
          <w:szCs w:val="24"/>
        </w:rPr>
        <w:t xml:space="preserve"> resultou em 162 clientes, dos quais 121 recompraram e 41 não recompraram (PANDAS, s.d.; SQLALCHEMY, s.d.).</w:t>
      </w:r>
    </w:p>
    <w:tbl>
      <w:tblPr>
        <w:tblStyle w:val="Tabelacomgrade"/>
        <w:tblW w:w="9360" w:type="dxa"/>
        <w:tblInd w:w="120" w:type="dxa"/>
        <w:tblLayout w:type="fixed"/>
        <w:tblLook w:val="04A0" w:firstRow="1" w:lastRow="0" w:firstColumn="1" w:lastColumn="0" w:noHBand="0" w:noVBand="1"/>
      </w:tblPr>
      <w:tblGrid>
        <w:gridCol w:w="2950"/>
        <w:gridCol w:w="6410"/>
      </w:tblGrid>
      <w:tr w:rsidR="00E159F8" w:rsidRPr="00FE60E7" w14:paraId="286143D6" w14:textId="77777777" w:rsidTr="007F3B58">
        <w:trPr>
          <w:tblHeader/>
        </w:trPr>
        <w:tc>
          <w:tcPr>
            <w:tcW w:w="295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05F06AE3" w14:textId="77777777" w:rsidR="002C6DF1" w:rsidRPr="007F3B58" w:rsidRDefault="00000000">
            <w:pPr>
              <w:spacing w:after="40" w:line="240" w:lineRule="auto"/>
              <w:rPr>
                <w:rFonts w:ascii="Arial" w:hAnsi="Arial" w:cs="Arial"/>
                <w:bCs/>
                <w:color w:val="auto"/>
                <w:sz w:val="24"/>
                <w:szCs w:val="24"/>
              </w:rPr>
            </w:pPr>
            <w:r w:rsidRPr="007F3B58">
              <w:rPr>
                <w:rFonts w:ascii="Arial" w:hAnsi="Arial" w:cs="Arial"/>
                <w:bCs/>
                <w:color w:val="000000"/>
                <w:sz w:val="19"/>
                <w:szCs w:val="24"/>
              </w:rPr>
              <w:t>FEATURE</w:t>
            </w:r>
          </w:p>
        </w:tc>
        <w:tc>
          <w:tcPr>
            <w:tcW w:w="641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73413A2A" w14:textId="77777777" w:rsidR="00252AA6" w:rsidRPr="007F3B58" w:rsidRDefault="00000000">
            <w:pPr>
              <w:spacing w:after="40" w:line="240" w:lineRule="auto"/>
              <w:rPr>
                <w:rFonts w:ascii="Arial" w:hAnsi="Arial" w:cs="Arial"/>
                <w:bCs/>
                <w:color w:val="auto"/>
                <w:sz w:val="24"/>
                <w:szCs w:val="24"/>
              </w:rPr>
            </w:pPr>
            <w:r w:rsidRPr="007F3B58">
              <w:rPr>
                <w:rFonts w:ascii="Arial" w:hAnsi="Arial" w:cs="Arial"/>
                <w:bCs/>
                <w:color w:val="000000"/>
                <w:sz w:val="19"/>
                <w:szCs w:val="24"/>
              </w:rPr>
              <w:t>DEFINIÇÃO / LIMITE TEMPORAL</w:t>
            </w:r>
          </w:p>
        </w:tc>
      </w:tr>
      <w:tr w:rsidR="00E159F8" w:rsidRPr="00FE60E7" w14:paraId="47AD8373" w14:textId="77777777" w:rsidTr="00E159F8">
        <w:tc>
          <w:tcPr>
            <w:tcW w:w="29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67435D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recency_days</w:t>
            </w:r>
          </w:p>
        </w:tc>
        <w:tc>
          <w:tcPr>
            <w:tcW w:w="64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34275C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Dias desde a última compra antes da data de corte.</w:t>
            </w:r>
          </w:p>
        </w:tc>
      </w:tr>
      <w:tr w:rsidR="00E159F8" w:rsidRPr="00FE60E7" w14:paraId="2A4096DA" w14:textId="77777777" w:rsidTr="00E159F8">
        <w:tc>
          <w:tcPr>
            <w:tcW w:w="29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698AE0A"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frequency_365d</w:t>
            </w:r>
          </w:p>
        </w:tc>
        <w:tc>
          <w:tcPr>
            <w:tcW w:w="64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A59989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Pedidos válidos nos 365 dias anteriores.</w:t>
            </w:r>
          </w:p>
        </w:tc>
      </w:tr>
      <w:tr w:rsidR="00E159F8" w:rsidRPr="00FE60E7" w14:paraId="4872C280" w14:textId="77777777" w:rsidTr="00E159F8">
        <w:tc>
          <w:tcPr>
            <w:tcW w:w="29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AE7FE8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monetary_365d / average_ticket</w:t>
            </w:r>
          </w:p>
        </w:tc>
        <w:tc>
          <w:tcPr>
            <w:tcW w:w="64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11CC9B5"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Gasto agregado e médio somente na janela histórica.</w:t>
            </w:r>
          </w:p>
        </w:tc>
      </w:tr>
      <w:tr w:rsidR="00E159F8" w:rsidRPr="00FE60E7" w14:paraId="3B3F7E2A" w14:textId="77777777" w:rsidTr="00E159F8">
        <w:tc>
          <w:tcPr>
            <w:tcW w:w="29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59C869C"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ecommerce_share / distinct_categories</w:t>
            </w:r>
          </w:p>
        </w:tc>
        <w:tc>
          <w:tcPr>
            <w:tcW w:w="64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0E4F95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Comportamento de canal e diversidade de compra.</w:t>
            </w:r>
          </w:p>
        </w:tc>
      </w:tr>
      <w:tr w:rsidR="00E159F8" w:rsidRPr="00FE60E7" w14:paraId="720020AB" w14:textId="77777777" w:rsidTr="00E159F8">
        <w:tc>
          <w:tcPr>
            <w:tcW w:w="29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DD7E42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repurchase_90d</w:t>
            </w:r>
          </w:p>
        </w:tc>
        <w:tc>
          <w:tcPr>
            <w:tcW w:w="641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E579BC8"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Alvo: compra válida após a data de corte e antes de 90 dias.</w:t>
            </w:r>
          </w:p>
        </w:tc>
      </w:tr>
    </w:tbl>
    <w:p w14:paraId="09F2383C" w14:textId="77777777" w:rsidR="002C6DF1" w:rsidRPr="00FE60E7" w:rsidRDefault="00000000">
      <w:pPr>
        <w:keepLines/>
        <w:spacing w:before="140" w:after="120" w:line="259" w:lineRule="auto"/>
        <w:rPr>
          <w:rFonts w:ascii="Arial" w:hAnsi="Arial" w:cs="Arial"/>
          <w:sz w:val="24"/>
          <w:szCs w:val="24"/>
        </w:rPr>
      </w:pPr>
      <w:r>
        <w:rPr>
          <w:rFonts w:ascii="Arial" w:hAnsi="Arial" w:cs="Arial"/>
          <w:szCs w:val="24"/>
        </w:rPr>
        <w:t>O dataset tem 162 linhas e 13 colunas, sem nulos ou IDs repetidos. O notebook tem sete células executadas sem erro salvo. A exportação de 20/09/2026 às 20:39:24 UTC corresponde ao notebook, HTML e manifesto atuais. A auditoria contém cinco registros SUCCESS e os doze snapshots preservam o mesmo hash do CSV. Os hashes dos arquivos e do código conferem com o manifesto. Limites: atividade desde dez./2024, status/categorias do snapshot e ausência de histórico completo para reconstrução temporal.</w:t>
      </w:r>
    </w:p>
    <w:p w14:paraId="2C640FDE"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8. Benchmark de mercado e análise de trade-offs</w:t>
      </w:r>
    </w:p>
    <w:p w14:paraId="15C188B9"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8.1 Caso público: plataforma de dados da Uber</w:t>
      </w:r>
    </w:p>
    <w:p w14:paraId="3CA6E937"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Como benchmark público, a Uber descreveu o DBEvents para capturar mudanças de fontes como MySQL e Cassandra, publicar changelogs em Kafka e atualizar um data lake em HDFS/Hive. O caso destaca que snapshots completos pressionavam bancos operacionais e desperdiçavam computação; a ingestão incremental melhorou freshness, qualidade e eficiência (UBER, 2019). Em outro relato, a empresa explica o uso do Apache Hudi sobre arquivos colunares para upserts, visões incrementais e uma linha do tempo de ações, evitando reescritas integrais de grandes datasets (UBER, 2020).</w:t>
      </w:r>
    </w:p>
    <w:p w14:paraId="6A4DABCF" w14:textId="77777777" w:rsidR="002C6DF1" w:rsidRPr="00FE60E7" w:rsidRDefault="00000000" w:rsidP="00940EA6">
      <w:pPr>
        <w:keepLines/>
        <w:spacing w:after="120" w:line="259" w:lineRule="auto"/>
        <w:ind w:left="159" w:right="113"/>
        <w:rPr>
          <w:rFonts w:ascii="Arial" w:hAnsi="Arial" w:cs="Arial"/>
          <w:color w:val="auto"/>
          <w:sz w:val="24"/>
          <w:szCs w:val="24"/>
        </w:rPr>
      </w:pPr>
      <w:r w:rsidRPr="00FE60E7">
        <w:rPr>
          <w:rFonts w:ascii="Arial" w:hAnsi="Arial" w:cs="Arial"/>
          <w:color w:val="auto"/>
          <w:szCs w:val="24"/>
        </w:rPr>
        <w:t>A VarejoMix reaproveita os princípios do caso: separar fontes operacionais e análise, capturar mudanças, usar formato colunar e preservar metadados. O caso usa Hudi; Delta Lake é uma alternativa proposta para avaliar no projeto, sem afirmar que seja automaticamente mais simples ou barata. Para o time pequeno, a implantação deve começar pelo recorte reproduzível e evoluir conforme necessidade e custo medidos.</w:t>
      </w:r>
    </w:p>
    <w:p w14:paraId="40C51351"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8.2 Matriz de decisões</w:t>
      </w:r>
    </w:p>
    <w:tbl>
      <w:tblPr>
        <w:tblStyle w:val="Tabelacomgrade"/>
        <w:tblW w:w="9360" w:type="dxa"/>
        <w:tblInd w:w="120" w:type="dxa"/>
        <w:tblLayout w:type="fixed"/>
        <w:tblLook w:val="04A0" w:firstRow="1" w:lastRow="0" w:firstColumn="1" w:lastColumn="0" w:noHBand="0" w:noVBand="1"/>
      </w:tblPr>
      <w:tblGrid>
        <w:gridCol w:w="2100"/>
        <w:gridCol w:w="2350"/>
        <w:gridCol w:w="2390"/>
        <w:gridCol w:w="2520"/>
      </w:tblGrid>
      <w:tr w:rsidR="002C6DF1" w:rsidRPr="00FE60E7" w14:paraId="0488B5B2" w14:textId="77777777" w:rsidTr="007F3B58">
        <w:trPr>
          <w:tblHeader/>
        </w:trPr>
        <w:tc>
          <w:tcPr>
            <w:tcW w:w="21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6382F293"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DECISÃO</w:t>
            </w:r>
          </w:p>
        </w:tc>
        <w:tc>
          <w:tcPr>
            <w:tcW w:w="235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31A0DDAD"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BENEFÍCIO</w:t>
            </w:r>
          </w:p>
        </w:tc>
        <w:tc>
          <w:tcPr>
            <w:tcW w:w="239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0364FB63"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CUSTO / RISCO</w:t>
            </w:r>
          </w:p>
        </w:tc>
        <w:tc>
          <w:tcPr>
            <w:tcW w:w="252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540CA7A8" w14:textId="77777777" w:rsidR="002C6DF1" w:rsidRPr="007F3B58" w:rsidRDefault="00000000">
            <w:pPr>
              <w:spacing w:after="40" w:line="240" w:lineRule="auto"/>
              <w:rPr>
                <w:rFonts w:ascii="Arial" w:hAnsi="Arial" w:cs="Arial"/>
                <w:color w:val="auto"/>
                <w:sz w:val="24"/>
                <w:szCs w:val="24"/>
              </w:rPr>
            </w:pPr>
            <w:r w:rsidRPr="007F3B58">
              <w:rPr>
                <w:rFonts w:ascii="Arial" w:hAnsi="Arial" w:cs="Arial"/>
                <w:color w:val="000000"/>
                <w:sz w:val="19"/>
                <w:szCs w:val="24"/>
              </w:rPr>
              <w:t>MITIGAÇÃO</w:t>
            </w:r>
          </w:p>
        </w:tc>
      </w:tr>
      <w:tr w:rsidR="002C6DF1" w:rsidRPr="00FE60E7" w14:paraId="6379B8D5" w14:textId="77777777" w:rsidTr="00940EA6">
        <w:tc>
          <w:tcPr>
            <w:tcW w:w="21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BAF231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PostgreSQL normalizado</w:t>
            </w:r>
          </w:p>
        </w:tc>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8E1F06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Integridade e transações</w:t>
            </w:r>
          </w:p>
        </w:tc>
        <w:tc>
          <w:tcPr>
            <w:tcW w:w="239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ECFE74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Mais joins em leitura</w:t>
            </w:r>
          </w:p>
        </w:tc>
        <w:tc>
          <w:tcPr>
            <w:tcW w:w="25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8E9269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Gold dimensional e índices medidos.</w:t>
            </w:r>
          </w:p>
        </w:tc>
      </w:tr>
      <w:tr w:rsidR="002C6DF1" w:rsidRPr="00FE60E7" w14:paraId="5EFA2D6D" w14:textId="77777777" w:rsidTr="00940EA6">
        <w:tc>
          <w:tcPr>
            <w:tcW w:w="21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FB49EA4"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MongoDB por evento</w:t>
            </w:r>
          </w:p>
        </w:tc>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F36DC8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Flexibilidade e escrita paralela</w:t>
            </w:r>
          </w:p>
        </w:tc>
        <w:tc>
          <w:tcPr>
            <w:tcW w:w="239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6B831C4"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Consistência entre fontes</w:t>
            </w:r>
          </w:p>
        </w:tc>
        <w:tc>
          <w:tcPr>
            <w:tcW w:w="25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35A018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event_id, schema e reconciliação.</w:t>
            </w:r>
          </w:p>
        </w:tc>
      </w:tr>
      <w:tr w:rsidR="002C6DF1" w:rsidRPr="00FE60E7" w14:paraId="30A234CB" w14:textId="77777777" w:rsidTr="00940EA6">
        <w:tc>
          <w:tcPr>
            <w:tcW w:w="21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EAD993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Parquet/Delta</w:t>
            </w:r>
          </w:p>
        </w:tc>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4DBE564"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Compressão, ACID e time travel</w:t>
            </w:r>
          </w:p>
        </w:tc>
        <w:tc>
          <w:tcPr>
            <w:tcW w:w="239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2FC045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Arquivos pequenos e retenção custosa</w:t>
            </w:r>
          </w:p>
        </w:tc>
        <w:tc>
          <w:tcPr>
            <w:tcW w:w="25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93E9335"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Partição por data, compactação e VACUUM.</w:t>
            </w:r>
          </w:p>
        </w:tc>
      </w:tr>
      <w:tr w:rsidR="002C6DF1" w:rsidRPr="00FE60E7" w14:paraId="52FF5DDB" w14:textId="77777777" w:rsidTr="00940EA6">
        <w:tc>
          <w:tcPr>
            <w:tcW w:w="21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9D00FBC"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Batch diário primeiro</w:t>
            </w:r>
          </w:p>
        </w:tc>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DF87DC9"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Operação simples e barata</w:t>
            </w:r>
          </w:p>
        </w:tc>
        <w:tc>
          <w:tcPr>
            <w:tcW w:w="239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0FE3D5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Freshness limitada</w:t>
            </w:r>
          </w:p>
        </w:tc>
        <w:tc>
          <w:tcPr>
            <w:tcW w:w="25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852594"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Evoluir para CDC conforme SLA.</w:t>
            </w:r>
          </w:p>
        </w:tc>
      </w:tr>
      <w:tr w:rsidR="002C6DF1" w:rsidRPr="00FE60E7" w14:paraId="2E2F22E7" w14:textId="77777777" w:rsidTr="00940EA6">
        <w:tc>
          <w:tcPr>
            <w:tcW w:w="21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9C0722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Desnormalização na Gold</w:t>
            </w:r>
          </w:p>
        </w:tc>
        <w:tc>
          <w:tcPr>
            <w:tcW w:w="235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6E8029B"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BI simples e rápido</w:t>
            </w:r>
          </w:p>
        </w:tc>
        <w:tc>
          <w:tcPr>
            <w:tcW w:w="239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DB8D63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Duplicação controlada</w:t>
            </w:r>
          </w:p>
        </w:tc>
        <w:tc>
          <w:tcPr>
            <w:tcW w:w="25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6FFCB8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Código versionado e testes de reconciliação.</w:t>
            </w:r>
          </w:p>
        </w:tc>
      </w:tr>
    </w:tbl>
    <w:p w14:paraId="615AC83D"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8.3 Consistência versus disponibilidade</w:t>
      </w:r>
    </w:p>
    <w:p w14:paraId="72C0C192"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A arquitetura não aplica uma única resposta a todo o sistema. Vendas e pagamentos priorizam consistência; telemetria prioriza disponibilidade e tolera atraso; datasets Gold só ficam disponíveis após validação. Em falha parcial, a Bronze preserva o dado recebido e a Gold mantém a última versão válida, permitindo reprocessar sem interromper o consumo.</w:t>
      </w:r>
    </w:p>
    <w:p w14:paraId="67CEF014"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O custo de armazenamento cresce ao manter bruto e versões, mas compra auditabilidade e reprodução. A retenção deve ser explícita: versões úteis para modelos e correções permanecem; versões antigas são removidas após a janela aprovada, sem comprometer investigações ou obrigações legais.</w:t>
      </w:r>
    </w:p>
    <w:p w14:paraId="08DD1ACB" w14:textId="77777777" w:rsidR="002C6DF1" w:rsidRPr="00FE60E7" w:rsidRDefault="00000000">
      <w:pPr>
        <w:pStyle w:val="Ttulo1"/>
        <w:pageBreakBefore/>
        <w:spacing w:before="200" w:after="120" w:line="259" w:lineRule="auto"/>
        <w:rPr>
          <w:rFonts w:ascii="Arial" w:hAnsi="Arial" w:cs="Arial"/>
          <w:color w:val="auto"/>
          <w:sz w:val="24"/>
          <w:szCs w:val="24"/>
        </w:rPr>
      </w:pPr>
      <w:r w:rsidRPr="00FE60E7">
        <w:rPr>
          <w:rFonts w:ascii="Arial" w:hAnsi="Arial" w:cs="Arial"/>
          <w:sz w:val="26"/>
          <w:szCs w:val="24"/>
        </w:rPr>
        <w:lastRenderedPageBreak/>
        <w:t>9. Governança, implantação e conclusão</w:t>
      </w:r>
    </w:p>
    <w:p w14:paraId="255983F6"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9.1 Segurança e governança</w:t>
      </w:r>
    </w:p>
    <w:p w14:paraId="76284044" w14:textId="77777777" w:rsidR="002C6DF1" w:rsidRPr="00FE60E7" w:rsidRDefault="00000000">
      <w:pPr>
        <w:keepLines/>
        <w:spacing w:after="120" w:line="259" w:lineRule="auto"/>
        <w:rPr>
          <w:rFonts w:ascii="Arial" w:hAnsi="Arial" w:cs="Arial"/>
          <w:sz w:val="24"/>
          <w:szCs w:val="24"/>
        </w:rPr>
      </w:pPr>
      <w:r w:rsidRPr="00FE60E7">
        <w:rPr>
          <w:rFonts w:ascii="Arial" w:hAnsi="Arial" w:cs="Arial"/>
          <w:szCs w:val="24"/>
        </w:rPr>
        <w:t>Em produção, credenciais ficam em cofre de segredos; conexões usam TLS; funções recebem menor privilégio; PII é classificada, mascarada e pseudonimizada. O dataset de ML não inclui nome ou e-mail. Catálogo, proprietário, SLA de freshness, linhagem e política de retenção acompanham cada produto de dados. Logs não devem expor payload pessoal.</w:t>
      </w:r>
    </w:p>
    <w:p w14:paraId="013670FC"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9.2 Roadmap proposto de 90 dias</w:t>
      </w:r>
    </w:p>
    <w:tbl>
      <w:tblPr>
        <w:tblStyle w:val="Tabelacomgrade"/>
        <w:tblW w:w="9360" w:type="dxa"/>
        <w:tblInd w:w="120" w:type="dxa"/>
        <w:tblLayout w:type="fixed"/>
        <w:tblLook w:val="04A0" w:firstRow="1" w:lastRow="0" w:firstColumn="1" w:lastColumn="0" w:noHBand="0" w:noVBand="1"/>
      </w:tblPr>
      <w:tblGrid>
        <w:gridCol w:w="1800"/>
        <w:gridCol w:w="3300"/>
        <w:gridCol w:w="4260"/>
      </w:tblGrid>
      <w:tr w:rsidR="002C6DF1" w:rsidRPr="00FE60E7" w14:paraId="5E8DE79F" w14:textId="77777777" w:rsidTr="008F1024">
        <w:trPr>
          <w:tblHeader/>
        </w:trPr>
        <w:tc>
          <w:tcPr>
            <w:tcW w:w="18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209925D3" w14:textId="77777777" w:rsidR="002C6DF1" w:rsidRPr="00FE60E7" w:rsidRDefault="00000000">
            <w:pPr>
              <w:spacing w:after="40" w:line="240" w:lineRule="auto"/>
              <w:rPr>
                <w:rFonts w:ascii="Arial" w:hAnsi="Arial" w:cs="Arial"/>
                <w:bCs/>
                <w:color w:val="auto"/>
                <w:sz w:val="24"/>
                <w:szCs w:val="24"/>
              </w:rPr>
            </w:pPr>
            <w:r w:rsidRPr="00FE60E7">
              <w:rPr>
                <w:rFonts w:ascii="Arial" w:hAnsi="Arial" w:cs="Arial"/>
                <w:b/>
                <w:bCs/>
                <w:color w:val="000000"/>
                <w:sz w:val="19"/>
                <w:szCs w:val="24"/>
              </w:rPr>
              <w:t>PERÍODO</w:t>
            </w:r>
          </w:p>
        </w:tc>
        <w:tc>
          <w:tcPr>
            <w:tcW w:w="330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2E4CE4EC" w14:textId="77777777" w:rsidR="002C6DF1" w:rsidRPr="00FE60E7" w:rsidRDefault="00000000">
            <w:pPr>
              <w:spacing w:after="40" w:line="240" w:lineRule="auto"/>
              <w:rPr>
                <w:rFonts w:ascii="Arial" w:hAnsi="Arial" w:cs="Arial"/>
                <w:bCs/>
                <w:color w:val="auto"/>
                <w:sz w:val="24"/>
                <w:szCs w:val="24"/>
              </w:rPr>
            </w:pPr>
            <w:r w:rsidRPr="00FE60E7">
              <w:rPr>
                <w:rFonts w:ascii="Arial" w:hAnsi="Arial" w:cs="Arial"/>
                <w:b/>
                <w:bCs/>
                <w:color w:val="000000"/>
                <w:sz w:val="19"/>
                <w:szCs w:val="24"/>
              </w:rPr>
              <w:t>ENTREGA</w:t>
            </w:r>
          </w:p>
        </w:tc>
        <w:tc>
          <w:tcPr>
            <w:tcW w:w="4260" w:type="dxa"/>
            <w:tcBorders>
              <w:top w:val="single" w:sz="4" w:space="0" w:color="D9D9D9"/>
              <w:left w:val="single" w:sz="4" w:space="0" w:color="D9D9D9"/>
              <w:bottom w:val="single" w:sz="4" w:space="0" w:color="D9D9D9"/>
              <w:right w:val="single" w:sz="4" w:space="0" w:color="D9D9D9"/>
            </w:tcBorders>
            <w:shd w:val="clear" w:color="auto" w:fill="auto"/>
            <w:tcMar>
              <w:top w:w="60" w:type="dxa"/>
              <w:left w:w="90" w:type="dxa"/>
              <w:bottom w:w="60" w:type="dxa"/>
              <w:right w:w="90" w:type="dxa"/>
            </w:tcMar>
            <w:vAlign w:val="center"/>
          </w:tcPr>
          <w:p w14:paraId="56F70BD6" w14:textId="77777777" w:rsidR="002C6DF1" w:rsidRPr="00FE60E7" w:rsidRDefault="00000000">
            <w:pPr>
              <w:spacing w:after="40" w:line="240" w:lineRule="auto"/>
              <w:rPr>
                <w:rFonts w:ascii="Arial" w:hAnsi="Arial" w:cs="Arial"/>
                <w:bCs/>
                <w:color w:val="auto"/>
                <w:sz w:val="24"/>
                <w:szCs w:val="24"/>
              </w:rPr>
            </w:pPr>
            <w:r w:rsidRPr="00FE60E7">
              <w:rPr>
                <w:rFonts w:ascii="Arial" w:hAnsi="Arial" w:cs="Arial"/>
                <w:b/>
                <w:bCs/>
                <w:color w:val="000000"/>
                <w:sz w:val="19"/>
                <w:szCs w:val="24"/>
              </w:rPr>
              <w:t>CRITÉRIO DE SAÍDA</w:t>
            </w:r>
          </w:p>
        </w:tc>
      </w:tr>
      <w:tr w:rsidR="002C6DF1" w:rsidRPr="00FE60E7" w14:paraId="393B622B" w14:textId="77777777" w:rsidTr="00B8368E">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4FB9CE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Semanas 1-3</w:t>
            </w:r>
          </w:p>
        </w:tc>
        <w:tc>
          <w:tcPr>
            <w:tcW w:w="33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3BDF63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PostgreSQL normalizado, carga incremental e Bronze</w:t>
            </w:r>
          </w:p>
        </w:tc>
        <w:tc>
          <w:tcPr>
            <w:tcW w:w="42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99CA38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Chaves válidas; carga repetível sem duplicação.</w:t>
            </w:r>
          </w:p>
        </w:tc>
      </w:tr>
      <w:tr w:rsidR="002C6DF1" w:rsidRPr="00FE60E7" w14:paraId="1428B8A9" w14:textId="77777777" w:rsidTr="00B8368E">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631CE75"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Semanas 4-6</w:t>
            </w:r>
          </w:p>
        </w:tc>
        <w:tc>
          <w:tcPr>
            <w:tcW w:w="33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FCA393E"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Silver, Gold de vendas/estoque e painéis</w:t>
            </w:r>
          </w:p>
        </w:tc>
        <w:tc>
          <w:tcPr>
            <w:tcW w:w="42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C02D816"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Receita reconciliada; freshness diária publicada.</w:t>
            </w:r>
          </w:p>
        </w:tc>
      </w:tr>
      <w:tr w:rsidR="002C6DF1" w:rsidRPr="00FE60E7" w14:paraId="52575AE5" w14:textId="77777777" w:rsidTr="00B8368E">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940D7D3"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Semanas 7-9</w:t>
            </w:r>
          </w:p>
        </w:tc>
        <w:tc>
          <w:tcPr>
            <w:tcW w:w="33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7A4AED7"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Eventos MongoDB, funil e testes de qualidade</w:t>
            </w:r>
          </w:p>
        </w:tc>
        <w:tc>
          <w:tcPr>
            <w:tcW w:w="42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3D44B3F"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Schema versionado; conversão por etapa auditável.</w:t>
            </w:r>
          </w:p>
        </w:tc>
      </w:tr>
      <w:tr w:rsidR="002C6DF1" w:rsidRPr="00FE60E7" w14:paraId="67C7C7ED" w14:textId="77777777" w:rsidTr="00B8368E">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C46E711"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Semanas 10-12</w:t>
            </w:r>
          </w:p>
        </w:tc>
        <w:tc>
          <w:tcPr>
            <w:tcW w:w="33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71B7C40"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Dataset de recompra, versionamento e pitch</w:t>
            </w:r>
          </w:p>
        </w:tc>
        <w:tc>
          <w:tcPr>
            <w:tcW w:w="426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47A6D82" w14:textId="77777777" w:rsidR="002C6DF1" w:rsidRPr="00FE60E7" w:rsidRDefault="00000000">
            <w:pPr>
              <w:spacing w:after="40" w:line="240" w:lineRule="auto"/>
              <w:rPr>
                <w:rFonts w:ascii="Arial" w:hAnsi="Arial" w:cs="Arial"/>
                <w:color w:val="auto"/>
                <w:sz w:val="24"/>
                <w:szCs w:val="24"/>
              </w:rPr>
            </w:pPr>
            <w:r w:rsidRPr="00FE60E7">
              <w:rPr>
                <w:rFonts w:ascii="Arial" w:hAnsi="Arial" w:cs="Arial"/>
                <w:color w:val="000000"/>
                <w:sz w:val="19"/>
                <w:szCs w:val="24"/>
              </w:rPr>
              <w:t>Features documentadas; versão fixada; execução demonstrada.</w:t>
            </w:r>
          </w:p>
        </w:tc>
      </w:tr>
    </w:tbl>
    <w:p w14:paraId="764DB5AC" w14:textId="77777777" w:rsidR="002C6DF1" w:rsidRPr="00FE60E7" w:rsidRDefault="00000000">
      <w:pPr>
        <w:pStyle w:val="Ttulo2"/>
        <w:spacing w:after="120" w:line="259" w:lineRule="auto"/>
        <w:rPr>
          <w:rFonts w:ascii="Arial" w:hAnsi="Arial" w:cs="Arial"/>
          <w:color w:val="auto"/>
          <w:sz w:val="24"/>
          <w:szCs w:val="24"/>
        </w:rPr>
      </w:pPr>
      <w:r w:rsidRPr="00FE60E7">
        <w:rPr>
          <w:rFonts w:ascii="Arial" w:hAnsi="Arial" w:cs="Arial"/>
          <w:sz w:val="22"/>
          <w:szCs w:val="24"/>
        </w:rPr>
        <w:t>9.3 Conclusão</w:t>
      </w:r>
    </w:p>
    <w:p w14:paraId="1E3F7AE0" w14:textId="77777777" w:rsidR="002C6DF1" w:rsidRPr="00FE60E7" w:rsidRDefault="00000000">
      <w:pPr>
        <w:keepLines/>
        <w:spacing w:after="120" w:line="259" w:lineRule="auto"/>
        <w:rPr>
          <w:rFonts w:ascii="Arial" w:hAnsi="Arial" w:cs="Arial"/>
          <w:sz w:val="24"/>
          <w:szCs w:val="24"/>
        </w:rPr>
      </w:pPr>
      <w:r>
        <w:rPr>
          <w:rFonts w:ascii="Arial" w:hAnsi="Arial" w:cs="Arial"/>
          <w:szCs w:val="24"/>
        </w:rPr>
        <w:t>A VarejoMix entrega integridade relacional, eventos reconciliados e dataset auditado. A execução local registra sete verificações SQL sem erros, 11 testes aprovados e 78 compras reconciliadas. Os EXPLAIN MongoDB foram concluídos: a consulta por sessão usa IXSCAN e examina quatro documentos; a consulta de contraste usa COLLSCAN e examina 1.088 documentos. Como os filtros diferem, isso demonstra tipos de acesso, não ganho de uma mesma consulta. A exportação preserva dados e metadados reproduzíveis. A evolução proposta amplia governança, escala e reprocessamento.</w:t>
      </w:r>
    </w:p>
    <w:p w14:paraId="0459B2BA" w14:textId="77777777" w:rsidR="002C6DF1" w:rsidRPr="00FE60E7" w:rsidRDefault="00000000">
      <w:pPr>
        <w:keepLines/>
        <w:spacing w:after="120" w:line="259" w:lineRule="auto"/>
        <w:rPr>
          <w:rFonts w:ascii="Arial" w:hAnsi="Arial" w:cs="Arial"/>
          <w:sz w:val="24"/>
          <w:szCs w:val="24"/>
        </w:rPr>
      </w:pPr>
      <w:r>
        <w:t xml:space="preserve">Repositório: </w:t>
      </w:r>
      <w:r>
        <w:rPr>
          <w:highlight w:val="yellow"/>
        </w:rPr>
        <w:t>[PREENCHER COM O LINK DO REPOSITÓRIO]</w:t>
      </w:r>
      <w:r>
        <w:br/>
        <w:t xml:space="preserve">Vídeo no YouTube: </w:t>
      </w:r>
      <w:r>
        <w:rPr>
          <w:highlight w:val="yellow"/>
        </w:rPr>
        <w:t>[PREENCHER COM O LINK DO VÍDEO]</w:t>
      </w:r>
    </w:p>
    <w:p w14:paraId="002A4AC3" w14:textId="77777777" w:rsidR="002C6DF1" w:rsidRDefault="00000000">
      <w:pPr>
        <w:pStyle w:val="Ttulo2"/>
        <w:spacing w:after="120" w:line="259" w:lineRule="auto"/>
        <w:rPr>
          <w:rFonts w:ascii="Arial" w:hAnsi="Arial" w:cs="Arial"/>
          <w:sz w:val="22"/>
          <w:szCs w:val="24"/>
        </w:rPr>
      </w:pPr>
      <w:r w:rsidRPr="00FE60E7">
        <w:rPr>
          <w:rFonts w:ascii="Arial" w:hAnsi="Arial" w:cs="Arial"/>
          <w:sz w:val="22"/>
          <w:szCs w:val="24"/>
        </w:rPr>
        <w:t>Referências</w:t>
      </w:r>
    </w:p>
    <w:p w14:paraId="51E98F7F" w14:textId="743A183D" w:rsidR="009D301D" w:rsidRPr="009D301D" w:rsidRDefault="009D301D" w:rsidP="009D301D">
      <w:pPr>
        <w:rPr>
          <w:rFonts w:ascii="Arial" w:hAnsi="Arial" w:cs="Arial"/>
          <w:sz w:val="20"/>
          <w:szCs w:val="20"/>
        </w:rPr>
      </w:pPr>
      <w:r w:rsidRPr="00467A6A">
        <w:rPr>
          <w:rFonts w:ascii="Arial" w:hAnsi="Arial" w:cs="Arial"/>
          <w:color w:val="212121"/>
          <w:sz w:val="20"/>
          <w:szCs w:val="20"/>
        </w:rPr>
        <w:t>UNIFECAF.</w:t>
      </w:r>
      <w:r w:rsidRPr="00467A6A">
        <w:rPr>
          <w:rFonts w:ascii="Arial" w:hAnsi="Arial" w:cs="Arial"/>
          <w:color w:val="212121"/>
          <w:spacing w:val="80"/>
          <w:sz w:val="20"/>
          <w:szCs w:val="20"/>
        </w:rPr>
        <w:t xml:space="preserve"> </w:t>
      </w:r>
      <w:r w:rsidRPr="00467A6A">
        <w:rPr>
          <w:rFonts w:ascii="Arial" w:hAnsi="Arial" w:cs="Arial"/>
          <w:color w:val="212121"/>
          <w:sz w:val="20"/>
          <w:szCs w:val="20"/>
        </w:rPr>
        <w:t>Databases For Data Science.</w:t>
      </w:r>
    </w:p>
    <w:p w14:paraId="7182CF5D"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APACHE PARQUET. Overview. s.d. https://parquet.apache.org/docs/overview/. Acesso: 5 set. 2026.</w:t>
      </w:r>
    </w:p>
    <w:p w14:paraId="425A094A"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DELTA LAKE. Documentation. s.d. https://docs.delta.io/. Acesso: 5 set. 2026.</w:t>
      </w:r>
    </w:p>
    <w:p w14:paraId="13233054"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KIMBALL GROUP. Dimensional Modeling Techniques. s.d. https://www.kimballgroup.com/data-warehouse-business-intelligence-resources/kimball-techniques/dimensional-modeling-techniques/. Acesso: 5 set. 2026.</w:t>
      </w:r>
    </w:p>
    <w:p w14:paraId="4801D531"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MONGODB. Best Practices for Data Modeling. s.d. https://www.mongodb.com/docs/manual/data-modeling/best-practices/. Acesso: 5 set. 2026.</w:t>
      </w:r>
    </w:p>
    <w:p w14:paraId="095C8801"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PANDAS. pandas.read_sql. s.d. https://pandas.pydata.org/docs/reference/api/pandas.read_sql.html. Acesso: 5 set. 2026.</w:t>
      </w:r>
    </w:p>
    <w:p w14:paraId="3DDA419D"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POSTGRESQL. Using EXPLAIN - versão 16. s.d. https://www.postgresql.org/docs/16/using-explain.html. Acesso: 5 set. 2026.</w:t>
      </w:r>
    </w:p>
    <w:p w14:paraId="7914072A"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SQLALCHEMY. Establishing Connectivity - the Engine. s.d. https://docs.sqlalchemy.org/en/20/tutorial/engine.html. Acesso: 5 set. 2026.</w:t>
      </w:r>
    </w:p>
    <w:p w14:paraId="1063BC04"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UBER. DBEvents: A Standardized Framework for Efficiently Ingesting Data into Uber’s Apache Hadoop Data Lake. 2019. https://www.uber.com/us/en/blog/dbevents-ingestion-framework/. Acesso: 5 set. 2026.</w:t>
      </w:r>
    </w:p>
    <w:p w14:paraId="5D308C57" w14:textId="77777777" w:rsidR="002C6DF1" w:rsidRPr="00FE60E7" w:rsidRDefault="00000000">
      <w:pPr>
        <w:keepLines/>
        <w:spacing w:after="60" w:line="240" w:lineRule="auto"/>
        <w:rPr>
          <w:rFonts w:ascii="Arial" w:hAnsi="Arial" w:cs="Arial"/>
          <w:sz w:val="24"/>
          <w:szCs w:val="24"/>
        </w:rPr>
      </w:pPr>
      <w:r w:rsidRPr="00FE60E7">
        <w:rPr>
          <w:rFonts w:ascii="Arial" w:hAnsi="Arial" w:cs="Arial"/>
          <w:sz w:val="17"/>
          <w:szCs w:val="24"/>
        </w:rPr>
        <w:t>UBER. Building a Large-scale Transactional Data Lake at Uber Using Apache Hudi. 2020. https://www.uber.com/us/en/blog/apache-hudi-graduation/. Acesso: 5 set. 2026.</w:t>
      </w:r>
    </w:p>
    <w:sectPr w:rsidR="002C6DF1" w:rsidRPr="00FE60E7" w:rsidSect="00034616">
      <w:headerReference w:type="default" r:id="rId10"/>
      <w:footerReference w:type="default" r:id="rId11"/>
      <w:pgSz w:w="11906" w:h="16838"/>
      <w:pgMar w:top="1008" w:right="1224" w:bottom="936" w:left="1224"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BB225" w14:textId="77777777" w:rsidR="001264C8" w:rsidRDefault="001264C8">
      <w:pPr>
        <w:spacing w:after="0" w:line="240" w:lineRule="auto"/>
      </w:pPr>
      <w:r>
        <w:separator/>
      </w:r>
    </w:p>
  </w:endnote>
  <w:endnote w:type="continuationSeparator" w:id="0">
    <w:p w14:paraId="52FD598C" w14:textId="77777777" w:rsidR="001264C8" w:rsidRDefault="00126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E9B21" w14:textId="77777777" w:rsidR="002C6DF1" w:rsidRDefault="00000000">
    <w:pPr>
      <w:pStyle w:val="Rodap"/>
      <w:jc w:val="center"/>
    </w:pPr>
    <w:r>
      <w:rPr>
        <w:color w:val="5D6873"/>
        <w:sz w:val="17"/>
      </w:rPr>
      <w:t xml:space="preserve">Relatório técnico  |  </w:t>
    </w:r>
    <w:r>
      <w:fldChar w:fldCharType="begin"/>
    </w:r>
    <w:r>
      <w:instrText>PAGE</w:instrText>
    </w:r>
    <w:r>
      <w:fldChar w:fldCharType="separate"/>
    </w:r>
    <w:r w:rsidR="0092096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578FE" w14:textId="77777777" w:rsidR="001264C8" w:rsidRDefault="001264C8">
      <w:pPr>
        <w:spacing w:after="0" w:line="240" w:lineRule="auto"/>
      </w:pPr>
      <w:r>
        <w:separator/>
      </w:r>
    </w:p>
  </w:footnote>
  <w:footnote w:type="continuationSeparator" w:id="0">
    <w:p w14:paraId="13EC8A7E" w14:textId="77777777" w:rsidR="001264C8" w:rsidRDefault="001264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466FD" w14:textId="77777777" w:rsidR="002C6DF1" w:rsidRDefault="00000000">
    <w:pPr>
      <w:pStyle w:val="Cabealho"/>
      <w:jc w:val="right"/>
    </w:pPr>
    <w:r>
      <w:rPr>
        <w:b/>
        <w:color w:val="000000"/>
        <w:sz w:val="17"/>
      </w:rPr>
      <w:t>VAREJOMIX  |  DATABASES FOR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35817327">
    <w:abstractNumId w:val="8"/>
  </w:num>
  <w:num w:numId="2" w16cid:durableId="1880121678">
    <w:abstractNumId w:val="6"/>
  </w:num>
  <w:num w:numId="3" w16cid:durableId="1970622557">
    <w:abstractNumId w:val="5"/>
  </w:num>
  <w:num w:numId="4" w16cid:durableId="1782993857">
    <w:abstractNumId w:val="4"/>
  </w:num>
  <w:num w:numId="5" w16cid:durableId="151992151">
    <w:abstractNumId w:val="7"/>
  </w:num>
  <w:num w:numId="6" w16cid:durableId="420613586">
    <w:abstractNumId w:val="3"/>
  </w:num>
  <w:num w:numId="7" w16cid:durableId="1208951523">
    <w:abstractNumId w:val="2"/>
  </w:num>
  <w:num w:numId="8" w16cid:durableId="1947733857">
    <w:abstractNumId w:val="1"/>
  </w:num>
  <w:num w:numId="9" w16cid:durableId="52691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E23"/>
    <w:rsid w:val="000D3266"/>
    <w:rsid w:val="000E5400"/>
    <w:rsid w:val="001264C8"/>
    <w:rsid w:val="0015074B"/>
    <w:rsid w:val="00242195"/>
    <w:rsid w:val="00252AA6"/>
    <w:rsid w:val="0029639D"/>
    <w:rsid w:val="002C6DF1"/>
    <w:rsid w:val="002E5362"/>
    <w:rsid w:val="00326F90"/>
    <w:rsid w:val="00366E78"/>
    <w:rsid w:val="00371D15"/>
    <w:rsid w:val="003A0167"/>
    <w:rsid w:val="003F4370"/>
    <w:rsid w:val="004615DA"/>
    <w:rsid w:val="004627A3"/>
    <w:rsid w:val="004B6A31"/>
    <w:rsid w:val="006069C7"/>
    <w:rsid w:val="00643E10"/>
    <w:rsid w:val="006B1605"/>
    <w:rsid w:val="006C2A43"/>
    <w:rsid w:val="0073146F"/>
    <w:rsid w:val="007F3B58"/>
    <w:rsid w:val="008F1024"/>
    <w:rsid w:val="0092096E"/>
    <w:rsid w:val="009256FA"/>
    <w:rsid w:val="00940EA6"/>
    <w:rsid w:val="009603D8"/>
    <w:rsid w:val="00981530"/>
    <w:rsid w:val="009D301D"/>
    <w:rsid w:val="00A129C6"/>
    <w:rsid w:val="00A44133"/>
    <w:rsid w:val="00AA1D8D"/>
    <w:rsid w:val="00AC50F0"/>
    <w:rsid w:val="00B47730"/>
    <w:rsid w:val="00B8368E"/>
    <w:rsid w:val="00CA70F1"/>
    <w:rsid w:val="00CB0664"/>
    <w:rsid w:val="00DB6446"/>
    <w:rsid w:val="00E159F8"/>
    <w:rsid w:val="00E16ACA"/>
    <w:rsid w:val="00EB556F"/>
    <w:rsid w:val="00ED63DB"/>
    <w:rsid w:val="00F72BA0"/>
    <w:rsid w:val="00FC3465"/>
    <w:rsid w:val="00FC693F"/>
    <w:rsid w:val="00FE60E7"/>
    <w:rsid w:val="00FF53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DE69C"/>
  <w14:defaultImageDpi w14:val="300"/>
  <w15:docId w15:val="{7E4363B3-354E-453B-A975-7AC492161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64" w:lineRule="auto"/>
    </w:pPr>
    <w:rPr>
      <w:rFonts w:ascii="Calibri" w:hAnsi="Calibri"/>
      <w:color w:val="1F2933"/>
      <w:sz w:val="21"/>
    </w:rPr>
  </w:style>
  <w:style w:type="paragraph" w:styleId="Ttulo1">
    <w:name w:val="heading 1"/>
    <w:basedOn w:val="Normal"/>
    <w:next w:val="Normal"/>
    <w:link w:val="Ttulo1Char"/>
    <w:uiPriority w:val="9"/>
    <w:qFormat/>
    <w:rsid w:val="00FC693F"/>
    <w:pPr>
      <w:keepNext/>
      <w:keepLines/>
      <w:spacing w:after="16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spacing w:after="16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keepNext/>
      <w:numPr>
        <w:ilvl w:val="1"/>
      </w:numPr>
      <w:spacing w:after="160"/>
    </w:pPr>
    <w:rPr>
      <w:rFonts w:asciiTheme="majorHAnsi" w:eastAsiaTheme="majorEastAsia" w:hAnsiTheme="majorHAnsi" w:cstheme="majorBidi"/>
      <w:i/>
      <w:iCs/>
      <w:color w:val="000000"/>
      <w:spacing w:val="1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60" w:after="140" w:line="240" w:lineRule="auto"/>
    </w:pPr>
    <w:rPr>
      <w:b/>
      <w:bCs/>
      <w:i/>
      <w:color w:val="5D6873"/>
      <w:sz w:val="17"/>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10</Pages>
  <Words>3033</Words>
  <Characters>16383</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Arquitetura de Dados Híbrida para Varejo Omnichannel</vt:lpstr>
      <vt:lpstr/>
    </vt:vector>
  </TitlesOfParts>
  <Manager/>
  <Company/>
  <LinksUpToDate>false</LinksUpToDate>
  <CharactersWithSpaces>19378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Arquitetura de Dados Híbrida para Varejo Omnichannel</dc:title>
  <dc:subject>Databases for Data Science</dc:subject>
  <dc:creator>Antônio Benevaldo Chaves Santana</dc:creator>
  <cp:keywords>PostgreSQL, MongoDB, Parquet, Delta Lake, OLTP, OLAP, Data Science</cp:keywords>
  <dc:description>generated by python-docx</dc:description>
  <cp:lastModifiedBy>Antonio Benevaldo Chaves Santana</cp:lastModifiedBy>
  <cp:revision>26</cp:revision>
  <dcterms:created xsi:type="dcterms:W3CDTF">2013-12-23T23:15:00Z</dcterms:created>
  <dcterms:modified xsi:type="dcterms:W3CDTF">2026-09-20T19:51:00Z</dcterms:modified>
  <cp:category/>
</cp:coreProperties>
</file>