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A44" w:val="clear"/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C7A86D"/>
          <w:sz w:val="48"/>
          <w:szCs w:val="48"/>
        </w:rPr>
        <w:t xml:space="preserve">CHEF'S OFFICE</w:t>
      </w:r>
    </w:p>
    <w:p>
      <w:pPr>
        <w:shd w:fill="1F2A44" w:val="clear"/>
        <w:spacing w:before="0" w:after="0"/>
        <w:jc w:val="center"/>
      </w:pPr>
      <w:r>
        <w:rPr>
          <w:rFonts w:ascii="Arial" w:cs="Arial" w:eastAsia="Arial" w:hAnsi="Arial"/>
          <w:color w:val="FFFFFF"/>
          <w:sz w:val="32"/>
          <w:szCs w:val="32"/>
        </w:rPr>
        <w:t xml:space="preserve">2-Week Operational Action Plan</w:t>
      </w:r>
    </w:p>
    <w:p>
      <w:pPr>
        <w:shd w:fill="1F2A44" w:val="clear"/>
        <w:spacing w:before="0" w:after="160"/>
        <w:jc w:val="center"/>
      </w:pPr>
      <w:r>
        <w:rPr>
          <w:rFonts w:ascii="Arial" w:cs="Arial" w:eastAsia="Arial" w:hAnsi="Arial"/>
          <w:color w:val="E6D9C3"/>
          <w:sz w:val="20"/>
          <w:szCs w:val="20"/>
        </w:rPr>
        <w:t xml:space="preserve">Antonio &amp; Sean  |  Phase 1 Execution  |  Confidential</w:t>
      </w:r>
    </w:p>
    <w:p>
      <w:pPr>
        <w:pBdr>
          <w:bottom w:val="single" w:color="C7A86D" w:sz="4" w:space="4"/>
        </w:pBdr>
        <w:spacing w:before="240" w:after="60"/>
      </w:pPr>
    </w:p>
    <w:p>
      <w:pPr>
        <w:pBdr>
          <w:bottom w:val="single" w:color="C7A86D" w:sz="6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F2A44"/>
          <w:sz w:val="28"/>
          <w:szCs w:val="28"/>
        </w:rPr>
        <w:t xml:space="preserve">Context &amp; Objectives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plan covers the first two weeks of engagement with Chef's Office Academy (Ricardo Calderini, Perth). It defines the specific actions, owners, and sequence required to deliver Phase 1 of the signed engagement agreement.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Brand: Chef's Office Australia — Executive Academy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Mission: Help chefs transition from skilled cooks to confident kitchen leaders and business-minded professionals.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Brand tone: authority, clarity, real-world experience. Professional academy — not lifestyle content, not hype.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90-Day contract goals: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Stable tracking and campaign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Consistent acquisition cost benchmark established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for Chefs digital product launched and integrated into funnel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Demand generated for Chef's Office cohort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cohort enrolment spots filled by months 2-3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first two weeks are infrastructure-first. No campaigns launch until tracking is verified and creative is ready.</w:t>
      </w:r>
    </w:p>
    <w:p>
      <w:pPr>
        <w:pBdr>
          <w:bottom w:val="single" w:color="C7A86D" w:sz="6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F2A44"/>
          <w:sz w:val="28"/>
          <w:szCs w:val="28"/>
        </w:rPr>
        <w:t xml:space="preserve">Responsibility Split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 is divided 50/50. Each owns distinct lanes — no duplication, no gaps.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1F2A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ANTONIO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C7A86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SEAN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Funnel strategy &amp;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strategy &amp; ad briefs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positioning &amp; copy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Upsell flow design &amp; page briefs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sequence strategy &amp; copy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BF5EC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Ads account audit &amp; restructure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Pixel setup &amp; conversion event verification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Tracking stack review (GA4, UTMs)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 structure &amp; audience research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template &amp; client comms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C7A86D" w:sz="6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F2A44"/>
          <w:sz w:val="28"/>
          <w:szCs w:val="28"/>
        </w:rPr>
        <w:t xml:space="preserve">Week 1 — Foundation &amp; Audit (Days 1–7)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Priority: understand the current state before building anything new. No campaigns, no creative spend. Fix the infrastructure first.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100"/>
        <w:gridCol w:w="30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1–2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full funnel architecture: traffic to ascension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Books &gt; Modules &gt; Certification &gt; Membership &gt; Mentorship — align with brand value ladder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1–2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Ads account audit: existing campaigns, ad sets, audiences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Document what exists, what's broken, what to cut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2–3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AI for Chefs product: positioning, pricing, page copy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 offer strong enough to drive cold traffic? Flag gaps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2–3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Pixel audit: verify all conversion events fire on checkout + thank you pages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 campaigns until this is confirmed clean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3–4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alignment audit: review all existing assets against Chef's Office brand guidelines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Navy #1F2A44 | Gold #C7A86D | Authority tone — no hype, no lifestyle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3–4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Tracking stack: GA4 setup, UTM parameter framework, naming conventions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Build the attribution layer before spend starts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4–5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creative angles: 3–5 ad hook concepts for hospitality audience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Ref brand guideline: 'Most chefs never learn food cost. That's why kitchens fail.' — direct, educational, credible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4–5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Audience research: interest stacks, lookalike seed lists, cold audience plan on Meta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Hospitality professionals AU — chefs, kitchen leaders, culinary students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5–6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upsell sequence flow: OTO 1 ($14.97), OTO 2 ($19.97) — page structure briefs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Logic: buy front-end &gt; immediate upsell &gt; second upsell &gt; email nurture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5–6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Restructure Meta Ads account: campaign naming, campaign objective selection, ad set structure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Brand campaign + cold acquisition campaign + retargeting — separate budgets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Both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 sync with Ricardo — present audit findings, confirm direction, agree on Week 2 priorities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Keep it direct. Show what exists, what changes, what launches in week 2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C7A86D" w:sz="6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F2A44"/>
          <w:sz w:val="28"/>
          <w:szCs w:val="28"/>
        </w:rPr>
        <w:t xml:space="preserve">Week 2 — Build &amp; Pre-Launch Preparation (Days 8–14)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Priority: build the assets needed to launch. Everything Sean builds needs Antonio's creative to be ready. Sequence matters.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100"/>
        <w:gridCol w:w="30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8–9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landing page copy: AI for Chefs front-end offer ($9.97)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Tone: authority + practical value. No hype. Lead with outcome: 'What every chef needs to know about running a kitchen efficiently.'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8–9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campaign structure in Meta Ads: cold audience + retargeting shells ready to activate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Hold budget until creative is approved and pixel is verified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9–10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ad copy: 3 headline + body variants per creative angle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Ref brand: educational short-form, founder-led, carousel with practical lessons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9–10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UTM parameters across all funnel URLs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Every traffic source tagged before first dollar of spend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10–11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OTO 1 and OTO 2 page copy (upsell sequence)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Brief copywriter or write direct — needs to be complete before funnel test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10–11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performance reporting dashboard: CPL, CPA, ROAS, upsell attach rate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Weekly report template for Ricardo — clean, commentary-driven, no jargon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11–12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email welcome sequence: 5 emails (buy confirmation &gt; value delivery &gt; cohort invitation)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Tone: professional, practical, direct. Ricardo's voice. No soft fluff.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11–12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Funnel flow test: end-to-end purchase, upsell trigger, thank you page, pixel fire confirmation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Every step must work before campaigns activate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12–13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review with Ricardo: walk through ad angles, copy variants, brand alignment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Get sign-off on creative direction before production. Flag any misalignments with brand guidelines.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12–13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pre-launch checklist: pixel, tracking, budget allocation, campaign objectives confirmed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Document every item. No assumptions.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13–14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Finalise AI for Chefs product integration brief: funnel pages, email trigger, upsell logic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Hand off clean brief to Ricardo for any product-side actions needed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Both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End-of-week-2 review: all infrastructure confirmed ready. Align on Week 3 campaign launch date.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Brief Ricardo. Set expectations: first data in 48–72 hrs of launch.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C7A86D" w:sz="6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F2A44"/>
          <w:sz w:val="28"/>
          <w:szCs w:val="28"/>
        </w:rPr>
        <w:t xml:space="preserve">End of Week 2 — Deliverables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must be complete before any paid campaign activates: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Funnel architecture document (full value ladder mapped)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alignment audit completed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brief: 3–5 ad angles with hooks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for Chefs landing page copy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9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 1 and OTO 2 upsell page copy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11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welcome sequence (5 emails)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A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Ads account audit report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Pixel + conversion events verified across all pages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Tracking stack: GA4 + UTM framework live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Ads account restructured — campaigns ready to activate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funnel test passed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performance reporting template live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Sean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13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 review presented to Ricardo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14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C7A86D" w:sz="6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F2A44"/>
          <w:sz w:val="28"/>
          <w:szCs w:val="28"/>
        </w:rPr>
        <w:t xml:space="preserve">Brand Alignment Reference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asset produced in weeks 1 and 2 must pass against these non-negotiables before it goes to Ricardo or to market.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Navy #1F2A44 | Gold #C7A86D | Beige #E6D9C3 | Charcoal #333333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333"/>
                <w:sz w:val="20"/>
                <w:szCs w:val="20"/>
              </w:rPr>
              <w:t xml:space="preserve">Neon tones, bright colours, chaotic palettes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 for headings | Inter / Open Sans for body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333"/>
                <w:sz w:val="20"/>
                <w:szCs w:val="20"/>
              </w:rPr>
              <w:t xml:space="preserve">Decorative fonts, inconsistent sizing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Tone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Direct, practical, authoritative. Educational value first.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333"/>
                <w:sz w:val="20"/>
                <w:szCs w:val="20"/>
              </w:rPr>
              <w:t xml:space="preserve">Hype marketing, lifestyle angles, inspirational clichés, unrealistic promises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Ad creative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Founder-led video, carousel with practical lessons, clean static with strong headline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333"/>
                <w:sz w:val="20"/>
                <w:szCs w:val="20"/>
              </w:rPr>
              <w:t xml:space="preserve">Guru-style ads, overstaged promos, dramatic food photography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Messaging angle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'Understanding food cost is what turns a good cook into a valuable chef.'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333"/>
                <w:sz w:val="20"/>
                <w:szCs w:val="20"/>
              </w:rPr>
              <w:t xml:space="preserve">Passion-based hooks, vague motivational copy, soft CTAs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Brand positioning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 executive academy — closer to business education than restaurant marketing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333"/>
                <w:sz w:val="20"/>
                <w:szCs w:val="20"/>
              </w:rPr>
              <w:t xml:space="preserve">Lifestyle content, celebrity chef energy, casual kitchen aesthetic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C7A86D" w:sz="6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F2A44"/>
          <w:sz w:val="28"/>
          <w:szCs w:val="28"/>
        </w:rPr>
        <w:t xml:space="preserve">What Does Not Start in Weeks 1–2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items are in scope for the engagement — they do not begin until infrastructure is confirmed clean and creative is approved.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Paid Meta campaigns — no spend until pixel is verified and creative is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send to existing list — audit the list first, confirm opt-in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Cohort demand generation — begins week 3 once front-end funnel is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Academy module launch — Phase 2 of 90-day plan, post-cohort fill</w:t>
      </w:r>
    </w:p>
    <w:p>
      <w:pPr>
        <w:spacing w:before="200" w:after="200"/>
      </w:pPr>
      <w:r>
        <w:t xml:space="preserve"/>
      </w:r>
    </w:p>
    <w:p>
      <w:pPr>
        <w:pBdr>
          <w:top w:val="single" w:color="C7A86D" w:sz="4" w:space="4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Chef's Office Australia  |  Marketing &amp; Growth Engagement  |  Phase 1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2026-03-12T17:03:50.913Z</dcterms:created>
  <dcterms:modified xsi:type="dcterms:W3CDTF">2026-03-12T17:03:50.914Z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