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5548"/>
          <w:sz w:val="18"/>
        </w:rPr>
        <w:t>PROPUESTA TÉCNICA · TOOLKIT EUDR — CAFÉ Y CACAO PERÚ</w:t>
      </w:r>
    </w:p>
    <w:p>
      <w:pPr>
        <w:pStyle w:val="Title"/>
      </w:pPr>
      <w:r>
        <w:rPr>
          <w:color w:val="0E2B27"/>
          <w:sz w:val="44"/>
        </w:rPr>
        <w:t>Cuestionario Propuesto — Encuesta Cuantitativa (D1–D11 + Performance)</w:t>
      </w:r>
    </w:p>
    <w:p>
      <w:r>
        <w:rPr>
          <w:i/>
          <w:color w:val="5B5548"/>
          <w:sz w:val="22"/>
        </w:rPr>
        <w:t>Instrumento de captura organizacional, escala 0–4. Fuente directa del ISA, del Índice de Preparación (IP) y del Índice de Vulnerabilidad (IV).</w:t>
      </w:r>
    </w:p>
    <w:p>
      <w:r>
        <w:rPr>
          <w:b/>
          <w:color w:val="BD7B34"/>
          <w:sz w:val="18"/>
        </w:rPr>
        <w:t>v0.1 Bloque P y bloques IV · resto vigente · 2026-09-16</w:t>
      </w:r>
    </w:p>
    <w:p/>
    <w:p>
      <w:r>
        <w:t>Aplicable en Google Forms / KoBoToolbox / ODK, o en el panel digital "Brújula de Diligencia". Este documento presenta el cuestionario completo propuesto para el piloto de 100–150 organizaciones café/cacao, incluyendo las preguntas incorporadas para alimentar el Índice de Preparación (IP) y el Índice de Vulnerabilidad (IV).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ESCALA DE MADUREZ (D1–D9) — </w:t>
      </w:r>
      <w:r>
        <w:rPr>
          <w:i/>
          <w:sz w:val="20"/>
        </w:rPr>
        <w:t>0 No existe/No sabe · 1 Informal o parcial · 2 En desarrollo · 3 Implementado · 4 Implementado y verificado/auditado</w:t>
      </w:r>
    </w:p>
    <w:p>
      <w:pPr>
        <w:pStyle w:val="Heading1"/>
      </w:pPr>
      <w:r>
        <w:t>Bloque 0 — Ficha de identificación (no puntúa)</w:t>
      </w:r>
    </w:p>
    <w:p>
      <w:pPr>
        <w:pStyle w:val="ListBullet"/>
      </w:pPr>
      <w:r>
        <w:t>Nombre de la cooperativa / razón social</w:t>
      </w:r>
    </w:p>
    <w:p>
      <w:pPr>
        <w:pStyle w:val="ListBullet"/>
      </w:pPr>
      <w:r>
        <w:t>RUC — clave de deduplicación entre fuentes del marco muestral</w:t>
      </w:r>
    </w:p>
    <w:p>
      <w:pPr>
        <w:pStyle w:val="ListBullet"/>
      </w:pPr>
      <w:r>
        <w:t>Producto(s) exportado(s) (café, cacao, madera, otro — código SA si se conoce)</w:t>
      </w:r>
    </w:p>
    <w:p>
      <w:pPr>
        <w:pStyle w:val="ListBullet"/>
      </w:pPr>
      <w:r>
        <w:t>N.º de socios productores / hectáreas totales asociadas</w:t>
      </w:r>
    </w:p>
    <w:p>
      <w:pPr>
        <w:pStyle w:val="ListBullet"/>
      </w:pPr>
      <w:r>
        <w:t>¿Exporta directamente a la UE o a través de un tercero?</w:t>
      </w:r>
    </w:p>
    <w:p>
      <w:pPr>
        <w:pStyle w:val="ListBullet"/>
      </w:pPr>
      <w:r>
        <w:t>Si es indirecto: ¿quién es el comprador que sí exporta a la UE?</w:t>
      </w:r>
    </w:p>
    <w:p>
      <w:pPr>
        <w:pStyle w:val="ListBullet"/>
      </w:pPr>
      <w:r>
        <w:t>Volumen anual aproximado destinado a la UE (% del total)</w:t>
      </w:r>
    </w:p>
    <w:p>
      <w:pPr>
        <w:pStyle w:val="ListBullet"/>
      </w:pPr>
      <w:r>
        <w:t>País(es) de destino dentro de la UE</w:t>
      </w:r>
    </w:p>
    <w:p>
      <w:pPr>
        <w:pStyle w:val="ListBullet"/>
      </w:pPr>
      <w:r>
        <w:t>Certificaciones voluntarias vigentes (Rainforest Alliance / Fairtrade / Orgánico / UTZ / Otra / Ninguna) — insumo directo para D10</w:t>
      </w:r>
    </w:p>
    <w:p>
      <w:pPr>
        <w:pStyle w:val="ListBullet"/>
      </w:pPr>
      <w:r>
        <w:t>[NUEVO · insumo IV] Dispersión geográfica de los socios (un solo distrito / varios distritos, misma provincia / varias provincias o regiones)</w:t>
      </w:r>
    </w:p>
    <w:p>
      <w:pPr>
        <w:pStyle w:val="ListBullet"/>
      </w:pPr>
      <w:r>
        <w:t>[NUEVO · insumo IV] Distancia aproximada al centro de acopio más cercano (&lt;5 km / 5–20 km / 20–50 km / &gt;50 km / no medido)</w:t>
      </w:r>
    </w:p>
    <w:p>
      <w:pPr>
        <w:pStyle w:val="ListBullet"/>
      </w:pPr>
      <w:r>
        <w:t>[NUEVO · insumo IV5, 2026-09-16] % de mujeres en la directiva/consejo directivo — variable de contexto (no entra al puntaje D1–D9), proxy de riesgo de exclusión por baja representación</w:t>
      </w:r>
    </w:p>
    <w:p>
      <w:pPr>
        <w:pStyle w:val="Heading1"/>
      </w:pPr>
      <w:r>
        <w:t>Bloque P — Variables de Performance (preliminar v0.1, no puntúa el ISA)</w:t>
      </w:r>
    </w:p>
    <w:p>
      <w:r>
        <w:t>Recoge el resultado de negocio para cruzarlo contra el ISA/IP de la misma organización.</w:t>
      </w:r>
    </w:p>
    <w:p>
      <w:pPr>
        <w:spacing w:before="120" w:after="200"/>
        <w:ind w:left="227"/>
      </w:pPr>
      <w:r>
        <w:rPr>
          <w:b/>
          <w:color w:val="A24936"/>
          <w:sz w:val="18"/>
        </w:rPr>
        <w:t xml:space="preserve">LIMITACIÓN DE DISEÑO — </w:t>
      </w:r>
      <w:r>
        <w:rPr>
          <w:i/>
          <w:sz w:val="20"/>
        </w:rPr>
        <w:t>Levantamiento transversal. P2, P5 y P7 son retrospectivas por autodeclaración — proxy de tendencia, no dato de panel verificado.</w:t>
      </w:r>
    </w:p>
    <w:p>
      <w:pPr>
        <w:pStyle w:val="ListBullet"/>
      </w:pPr>
      <w:r>
        <w:rPr>
          <w:b/>
        </w:rPr>
        <w:t xml:space="preserve">P1. </w:t>
      </w:r>
      <w:r>
        <w:t>Volumen exportado a la UE en el último año (kg/toneladas)</w:t>
      </w:r>
    </w:p>
    <w:p>
      <w:pPr>
        <w:pStyle w:val="ListBullet"/>
      </w:pPr>
      <w:r>
        <w:rPr>
          <w:b/>
        </w:rPr>
        <w:t xml:space="preserve">P1b. [NUEVO · insumo IV] </w:t>
      </w:r>
      <w:r>
        <w:t>Volumen TOTAL exportado a todos los destinos, mismo producto/unidad que P1 — permite calcular % de dependencia UE con dato duro</w:t>
      </w:r>
    </w:p>
    <w:p>
      <w:pPr>
        <w:pStyle w:val="ListBullet"/>
      </w:pPr>
      <w:r>
        <w:rPr>
          <w:b/>
        </w:rPr>
        <w:t xml:space="preserve">P2. </w:t>
      </w:r>
      <w:r>
        <w:t>Volumen exportado a la UE hace 3 años, mismo producto — retrospectivo</w:t>
      </w:r>
    </w:p>
    <w:p>
      <w:pPr>
        <w:pStyle w:val="ListBullet"/>
      </w:pPr>
      <w:r>
        <w:rPr>
          <w:b/>
        </w:rPr>
        <w:t xml:space="preserve">P3. </w:t>
      </w:r>
      <w:r>
        <w:t>Ingreso total por ventas de exportación a la UE en el último año (S/ o USD)</w:t>
      </w:r>
    </w:p>
    <w:p>
      <w:pPr>
        <w:pStyle w:val="ListBullet"/>
      </w:pPr>
      <w:r>
        <w:rPr>
          <w:b/>
        </w:rPr>
        <w:t xml:space="preserve">P4. </w:t>
      </w:r>
      <w:r>
        <w:t>N.º de compradores/clientes europeos activos actualmente</w:t>
      </w:r>
    </w:p>
    <w:p>
      <w:pPr>
        <w:pStyle w:val="ListBullet"/>
      </w:pPr>
      <w:r>
        <w:rPr>
          <w:b/>
        </w:rPr>
        <w:t xml:space="preserve">P5. </w:t>
      </w:r>
      <w:r>
        <w:t>N.º de compradores europeos activos hace 3 años — retrospectivo</w:t>
      </w:r>
    </w:p>
    <w:p>
      <w:pPr>
        <w:pStyle w:val="ListBullet"/>
      </w:pPr>
      <w:r>
        <w:rPr>
          <w:b/>
        </w:rPr>
        <w:t xml:space="preserve">P6. </w:t>
      </w:r>
      <w:r>
        <w:t>Precio promedio pagado al socio por kg/quintal, último año — conecta con D9.35</w:t>
      </w:r>
    </w:p>
    <w:p>
      <w:pPr>
        <w:pStyle w:val="ListBullet"/>
      </w:pPr>
      <w:r>
        <w:rPr>
          <w:b/>
        </w:rPr>
        <w:t xml:space="preserve">P7. </w:t>
      </w:r>
      <w:r>
        <w:t>Precio promedio pagado al socio hace 3 años — retrospectivo</w:t>
      </w:r>
    </w:p>
    <w:p>
      <w:pPr>
        <w:pStyle w:val="ListBullet"/>
      </w:pPr>
      <w:r>
        <w:rPr>
          <w:b/>
        </w:rPr>
        <w:t xml:space="preserve">P8. </w:t>
      </w:r>
      <w:r>
        <w:t>¿Lote rechazado/observado por trazabilidad-deforestación en 2 años? (Sí/No/No sabe)</w:t>
      </w:r>
    </w:p>
    <w:p>
      <w:pPr>
        <w:pStyle w:val="ListBullet"/>
      </w:pPr>
      <w:r>
        <w:rPr>
          <w:b/>
        </w:rPr>
        <w:t xml:space="preserve">P9. </w:t>
      </w:r>
      <w:r>
        <w:t>Si "Sí": N.º aproximado de lotes rechazados</w:t>
      </w:r>
    </w:p>
    <w:p>
      <w:pPr>
        <w:pStyle w:val="ListBullet"/>
      </w:pPr>
      <w:r>
        <w:rPr>
          <w:b/>
        </w:rPr>
        <w:t xml:space="preserve">P10. </w:t>
      </w:r>
      <w:r>
        <w:t>¿Perdió contrato o comprador europeo en 2 años por cumplimiento? (Sí/No/No sabe)</w:t>
      </w:r>
    </w:p>
    <w:p>
      <w:pPr>
        <w:pStyle w:val="Heading1"/>
      </w:pPr>
      <w:r>
        <w:t>D1 — Clasificación regulatoria</w:t>
      </w:r>
    </w:p>
    <w:p>
      <w:pPr>
        <w:pStyle w:val="ListBullet"/>
      </w:pPr>
      <w:r>
        <w:rPr>
          <w:b/>
        </w:rPr>
        <w:t xml:space="preserve">1. </w:t>
      </w:r>
      <w:r>
        <w:t>¿Introduce el producto directamente en el mercado UE bajo su propio nombre? (Sí/No)</w:t>
      </w:r>
    </w:p>
    <w:p>
      <w:pPr>
        <w:pStyle w:val="ListBullet"/>
      </w:pPr>
      <w:r>
        <w:rPr>
          <w:b/>
        </w:rPr>
        <w:t xml:space="preserve">2. </w:t>
      </w:r>
      <w:r>
        <w:t>¿Transforma el producto (trilla, tostado, fermentado, aserrío) antes de venderlo? (Transforma/No transforma)</w:t>
      </w:r>
    </w:p>
    <w:p>
      <w:pPr>
        <w:pStyle w:val="ListBullet"/>
      </w:pPr>
      <w:r>
        <w:rPr>
          <w:b/>
        </w:rPr>
        <w:t xml:space="preserve">3. </w:t>
      </w:r>
      <w:r>
        <w:t>¿Sabe con certeza qué rol le corresponde? (Sí con certeza/Idea aproximada/No sabe)</w:t>
      </w:r>
    </w:p>
    <w:p>
      <w:pPr>
        <w:pStyle w:val="ListBullet"/>
      </w:pPr>
      <w:r>
        <w:rPr>
          <w:b/>
        </w:rPr>
        <w:t xml:space="preserve">4. </w:t>
      </w:r>
      <w:r>
        <w:t>¿Cumple los umbrales de microempresa/pequeña empresa (Directiva 2013/34/UE)? (Sí/No/No sabe)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NOTA — </w:t>
      </w:r>
      <w:r>
        <w:rPr>
          <w:i/>
          <w:sz w:val="20"/>
        </w:rPr>
        <w:t>Este bloque completo se reutiliza, sin cambios, como insumo de IV2 (exposición regulatoria).</w:t>
      </w:r>
    </w:p>
    <w:p>
      <w:pPr>
        <w:pStyle w:val="Heading1"/>
      </w:pPr>
      <w:r>
        <w:t>D2 — Trazabilidad y geolocalización</w:t>
      </w:r>
    </w:p>
    <w:p>
      <w:pPr>
        <w:pStyle w:val="ListBullet"/>
      </w:pPr>
      <w:r>
        <w:rPr>
          <w:b/>
        </w:rPr>
        <w:t xml:space="preserve">5. </w:t>
      </w:r>
      <w:r>
        <w:t>¿Existe registro de geolocalización (GPS/polígono) por parcela de socio? — escala 0–4</w:t>
      </w:r>
    </w:p>
    <w:p>
      <w:pPr>
        <w:pStyle w:val="ListBullet"/>
      </w:pPr>
      <w:r>
        <w:rPr>
          <w:b/>
        </w:rPr>
        <w:t xml:space="preserve">6. </w:t>
      </w:r>
      <w:r>
        <w:t>% de socios con parcela geolocalizada</w:t>
      </w:r>
    </w:p>
    <w:p>
      <w:pPr>
        <w:pStyle w:val="ListBullet"/>
      </w:pPr>
      <w:r>
        <w:rPr>
          <w:b/>
        </w:rPr>
        <w:t xml:space="preserve">7. </w:t>
      </w:r>
      <w:r>
        <w:t>¿El sistema vincula un lote exportado con la(s) parcela(s) específica(s)? — escala 0–4</w:t>
      </w:r>
    </w:p>
    <w:p>
      <w:pPr>
        <w:pStyle w:val="ListBullet"/>
      </w:pPr>
      <w:r>
        <w:rPr>
          <w:b/>
        </w:rPr>
        <w:t xml:space="preserve">8. </w:t>
      </w:r>
      <w:r>
        <w:t>¿Quién levantó la información? (Técnico propio/Consultor/Proyecto de cooperación/Socio por su cuenta/No se ha levantado)</w:t>
      </w:r>
    </w:p>
    <w:p>
      <w:pPr>
        <w:pStyle w:val="ListBullet"/>
      </w:pPr>
      <w:r>
        <w:rPr>
          <w:b/>
        </w:rPr>
        <w:t xml:space="preserve">9. </w:t>
      </w:r>
      <w:r>
        <w:t>Frecuencia de actualización (Nunca/Al ingreso del socio/Anual/Por cosecha)</w:t>
      </w:r>
    </w:p>
    <w:p>
      <w:pPr>
        <w:pStyle w:val="ListBullet"/>
      </w:pPr>
      <w:r>
        <w:rPr>
          <w:b/>
        </w:rPr>
        <w:t xml:space="preserve">10. </w:t>
      </w:r>
      <w:r>
        <w:t>¿Se mezclan lotes de distinto origen sin registro? (Sí sin control/Se mezclan con registro/No, segregación completa)</w:t>
      </w:r>
    </w:p>
    <w:p>
      <w:pPr>
        <w:spacing w:before="120" w:after="200"/>
        <w:ind w:left="227"/>
      </w:pPr>
      <w:r>
        <w:rPr>
          <w:b/>
          <w:color w:val="A24936"/>
          <w:sz w:val="18"/>
        </w:rPr>
        <w:t xml:space="preserve">NOTA — </w:t>
      </w:r>
      <w:r>
        <w:rPr>
          <w:i/>
          <w:sz w:val="20"/>
        </w:rPr>
        <w:t>Bandera D2.10: "Sí, sin control" anula en la práctica cualquier puntaje alto de las preguntas 5–7.</w:t>
      </w:r>
    </w:p>
    <w:p>
      <w:pPr>
        <w:pStyle w:val="Heading1"/>
      </w:pPr>
      <w:r>
        <w:t>D3 — Legalidad de la producción</w:t>
      </w:r>
    </w:p>
    <w:p>
      <w:pPr>
        <w:pStyle w:val="ListBullet"/>
      </w:pPr>
      <w:r>
        <w:rPr>
          <w:b/>
        </w:rPr>
        <w:t xml:space="preserve">11. </w:t>
      </w:r>
      <w:r>
        <w:t>% de socios con título de propiedad o posesión reconocida legalmente</w:t>
      </w:r>
    </w:p>
    <w:p>
      <w:pPr>
        <w:pStyle w:val="ListBullet"/>
      </w:pPr>
      <w:r>
        <w:rPr>
          <w:b/>
        </w:rPr>
        <w:t xml:space="preserve">12. </w:t>
      </w:r>
      <w:r>
        <w:t>¿Parcelas superpuestas a áreas protegidas/territorios indígenas sin sanear? (Sí extensa/Sí puntual/No verificado/No, ninguna)</w:t>
      </w:r>
    </w:p>
    <w:p>
      <w:pPr>
        <w:pStyle w:val="ListBullet"/>
      </w:pPr>
      <w:r>
        <w:rPr>
          <w:b/>
        </w:rPr>
        <w:t xml:space="preserve">13. </w:t>
      </w:r>
      <w:r>
        <w:t>¿Se verifica cumplimiento laboral a nivel de finca? — escala 0–4</w:t>
      </w:r>
    </w:p>
    <w:p>
      <w:pPr>
        <w:pStyle w:val="ListBullet"/>
      </w:pPr>
      <w:r>
        <w:rPr>
          <w:b/>
        </w:rPr>
        <w:t xml:space="preserve">14. </w:t>
      </w:r>
      <w:r>
        <w:t>¿Zona de desarrollo alternativo (ex-coca) o antecedentes de conflicto social/territorial? (Sí/No/No verificado) — reutilizada como insumo de IV3</w:t>
      </w:r>
    </w:p>
    <w:p>
      <w:pPr>
        <w:pStyle w:val="ListBullet"/>
      </w:pPr>
      <w:r>
        <w:rPr>
          <w:b/>
        </w:rPr>
        <w:t xml:space="preserve">14a. </w:t>
      </w:r>
      <w:r>
        <w:t>¿Autorización de uso de agua, cuando corresponde? (Todas verificadas/Parcialmente/No/No aplica)</w:t>
      </w:r>
    </w:p>
    <w:p>
      <w:pPr>
        <w:pStyle w:val="ListBullet"/>
      </w:pPr>
      <w:r>
        <w:rPr>
          <w:b/>
        </w:rPr>
        <w:t xml:space="preserve">14b. </w:t>
      </w:r>
      <w:r>
        <w:t>¿Tratamiento de aguas residuales del beneficio cumple lo exigido? (Siempre/A veces/No/No aplica)</w:t>
      </w:r>
    </w:p>
    <w:p>
      <w:pPr>
        <w:pStyle w:val="ListBullet"/>
      </w:pPr>
      <w:r>
        <w:rPr>
          <w:b/>
        </w:rPr>
        <w:t xml:space="preserve">14c. </w:t>
      </w:r>
      <w:r>
        <w:t>¿Parcelas dentro de faja marginal de río/quebrada/laguna? (Sí/No/No sabe)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NOTA — </w:t>
      </w:r>
      <w:r>
        <w:rPr>
          <w:i/>
          <w:sz w:val="20"/>
        </w:rPr>
        <w:t>14a-14c son legalidad ambiental en sentido estricto (Art. 3(b)) y sí promedian dentro de D3 — no confundir con la batería ambiental operativa descartada del puntaje EUDR.</w:t>
      </w:r>
    </w:p>
    <w:p>
      <w:pPr>
        <w:pStyle w:val="Heading1"/>
      </w:pPr>
      <w:r>
        <w:t>D4 — Riesgo de deforestación</w:t>
      </w:r>
    </w:p>
    <w:p>
      <w:pPr>
        <w:pStyle w:val="ListBullet"/>
      </w:pPr>
      <w:r>
        <w:rPr>
          <w:b/>
        </w:rPr>
        <w:t xml:space="preserve">15. </w:t>
      </w:r>
      <w:r>
        <w:t>¿Se verificó cambio de uso de suelo posterior al 31 dic. 2020? (No verificado/Verificación parcial/Verificado sin hallazgos/Casos detectados sin resolver/Verificado sistemáticamente)</w:t>
      </w:r>
    </w:p>
    <w:p>
      <w:pPr>
        <w:pStyle w:val="ListBullet"/>
      </w:pPr>
      <w:r>
        <w:rPr>
          <w:b/>
        </w:rPr>
        <w:t xml:space="preserve">16. </w:t>
      </w:r>
      <w:r>
        <w:t>¿Usa herramientas de monitoreo satelital? — escala 0–4</w:t>
      </w:r>
    </w:p>
    <w:p>
      <w:pPr>
        <w:pStyle w:val="ListBullet"/>
      </w:pPr>
      <w:r>
        <w:rPr>
          <w:b/>
        </w:rPr>
        <w:t xml:space="preserve">17. </w:t>
      </w:r>
      <w:r>
        <w:t>¿Conoce la clasificación de riesgo de su zona? (Sí documentado/Idea aproximada/No sabe)</w:t>
      </w:r>
    </w:p>
    <w:p>
      <w:pPr>
        <w:pStyle w:val="Heading1"/>
      </w:pPr>
      <w:r>
        <w:t>D5 — Sistema interno de diligencia debida</w:t>
      </w:r>
    </w:p>
    <w:p>
      <w:pPr>
        <w:pStyle w:val="ListBullet"/>
      </w:pPr>
      <w:r>
        <w:rPr>
          <w:b/>
        </w:rPr>
        <w:t xml:space="preserve">18. </w:t>
      </w:r>
      <w:r>
        <w:t>¿Existe procedimiento escrito de diligencia debida? — escala 0–4</w:t>
      </w:r>
    </w:p>
    <w:p>
      <w:pPr>
        <w:pStyle w:val="ListBullet"/>
      </w:pPr>
      <w:r>
        <w:rPr>
          <w:b/>
        </w:rPr>
        <w:t xml:space="preserve">19. </w:t>
      </w:r>
      <w:r>
        <w:t>¿Ha elaborado/participado en una declaración de diligencia debida? (No sabe qué es/No pero lo entiende/En proceso/Presentada y aceptada)</w:t>
      </w:r>
    </w:p>
    <w:p>
      <w:pPr>
        <w:pStyle w:val="ListBullet"/>
      </w:pPr>
      <w:r>
        <w:rPr>
          <w:b/>
        </w:rPr>
        <w:t xml:space="preserve">20. </w:t>
      </w:r>
      <w:r>
        <w:t>¿Existe responsable designado? (No/Función adicional/Dedicado)</w:t>
      </w:r>
    </w:p>
    <w:p>
      <w:pPr>
        <w:pStyle w:val="ListBullet"/>
      </w:pPr>
      <w:r>
        <w:rPr>
          <w:b/>
        </w:rPr>
        <w:t xml:space="preserve">21. </w:t>
      </w:r>
      <w:r>
        <w:t>¿Capacitación formal en los últimos 12 meses? (No/Hace más de 12 meses/Sí, reciente)</w:t>
      </w:r>
    </w:p>
    <w:p>
      <w:pPr>
        <w:pStyle w:val="Heading1"/>
      </w:pPr>
      <w:r>
        <w:t>D6 — Capacidad organizacional y digital</w:t>
      </w:r>
    </w:p>
    <w:p>
      <w:pPr>
        <w:pStyle w:val="ListBullet"/>
      </w:pPr>
      <w:r>
        <w:rPr>
          <w:b/>
        </w:rPr>
        <w:t xml:space="preserve">22. </w:t>
      </w:r>
      <w:r>
        <w:t>Presupuesto asignado para cumplimiento EUDR (No/Parcial/Sí)</w:t>
      </w:r>
    </w:p>
    <w:p>
      <w:pPr>
        <w:pStyle w:val="ListBullet"/>
      </w:pPr>
      <w:r>
        <w:rPr>
          <w:b/>
        </w:rPr>
        <w:t xml:space="preserve">23. </w:t>
      </w:r>
      <w:r>
        <w:t>Digitalización de registros (Papel/Mixto/Digital)</w:t>
      </w:r>
    </w:p>
    <w:p>
      <w:pPr>
        <w:pStyle w:val="ListBullet"/>
      </w:pPr>
      <w:r>
        <w:rPr>
          <w:b/>
        </w:rPr>
        <w:t xml:space="preserve">24. </w:t>
      </w:r>
      <w:r>
        <w:t>Conectividad a internet (No hay/Limitada/Confiable)</w:t>
      </w:r>
    </w:p>
    <w:p>
      <w:pPr>
        <w:pStyle w:val="ListBullet"/>
      </w:pPr>
      <w:r>
        <w:rPr>
          <w:b/>
        </w:rPr>
        <w:t xml:space="preserve">25. </w:t>
      </w:r>
      <w:r>
        <w:t>¿Ha gestionado apoyo externo para adecuarse? (No y lo necesita/No lo cree necesario/Sí en el pasado/Sí activo)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NOTA — </w:t>
      </w:r>
      <w:r>
        <w:rPr>
          <w:i/>
          <w:sz w:val="20"/>
        </w:rPr>
        <w:t>La pregunta 24 se reutiliza, invertida, como insumo de IV4 (brechas tecnológicas).</w:t>
      </w:r>
    </w:p>
    <w:p>
      <w:pPr>
        <w:pStyle w:val="Heading1"/>
      </w:pPr>
      <w:r>
        <w:t>D7 — Cadena de valor</w:t>
      </w:r>
    </w:p>
    <w:p>
      <w:pPr>
        <w:pStyle w:val="ListBullet"/>
      </w:pPr>
      <w:r>
        <w:rPr>
          <w:b/>
        </w:rPr>
        <w:t xml:space="preserve">26. </w:t>
      </w:r>
      <w:r>
        <w:t>¿El comprador ha exigido formalmente geolocalización/diligencia debida? (Aún no/Informalmente/Formalmente por escrito)</w:t>
      </w:r>
    </w:p>
    <w:p>
      <w:pPr>
        <w:pStyle w:val="ListBullet"/>
      </w:pPr>
      <w:r>
        <w:rPr>
          <w:b/>
        </w:rPr>
        <w:t xml:space="preserve">27. </w:t>
      </w:r>
      <w:r>
        <w:t>¿El comprador ofrece financiamiento/asistencia técnica condicionada? (Sí/No)</w:t>
      </w:r>
    </w:p>
    <w:p>
      <w:pPr>
        <w:pStyle w:val="ListBullet"/>
      </w:pPr>
      <w:r>
        <w:rPr>
          <w:b/>
        </w:rPr>
        <w:t xml:space="preserve">28. </w:t>
      </w:r>
      <w:r>
        <w:t>Riesgo percibido de perder el contrato si no cumple a tiempo (No sabe/Bajo/Medio/Alto) — indicador de urgencia, no de madurez</w:t>
      </w:r>
    </w:p>
    <w:p>
      <w:pPr>
        <w:pStyle w:val="Heading1"/>
      </w:pPr>
      <w:r>
        <w:t>D8 — Gobernanza interna y apropiación de los socios (dimensión extendida)</w:t>
      </w:r>
    </w:p>
    <w:p>
      <w:pPr>
        <w:pStyle w:val="ListBullet"/>
      </w:pPr>
      <w:r>
        <w:rPr>
          <w:b/>
        </w:rPr>
        <w:t xml:space="preserve">29. </w:t>
      </w:r>
      <w:r>
        <w:t>¿Asambleas informativas sobre EUDR dirigidas a los socios (no solo directiva)? — escala 0–4</w:t>
      </w:r>
    </w:p>
    <w:p>
      <w:pPr>
        <w:pStyle w:val="ListBullet"/>
      </w:pPr>
      <w:r>
        <w:rPr>
          <w:b/>
        </w:rPr>
        <w:t xml:space="preserve">30. </w:t>
      </w:r>
      <w:r>
        <w:t>% estimado de socios que entienden por qué se les pide geolocalización/documentación</w:t>
      </w:r>
    </w:p>
    <w:p>
      <w:pPr>
        <w:pStyle w:val="ListBullet"/>
      </w:pPr>
      <w:r>
        <w:rPr>
          <w:b/>
        </w:rPr>
        <w:t xml:space="preserve">31. </w:t>
      </w:r>
      <w:r>
        <w:t>¿Mecanismo interno para que los socios entreguen su información? (No existe/Se pide informalmente/Requisito formal)</w:t>
      </w:r>
    </w:p>
    <w:p>
      <w:pPr>
        <w:pStyle w:val="ListBullet"/>
      </w:pPr>
      <w:r>
        <w:rPr>
          <w:b/>
        </w:rPr>
        <w:t xml:space="preserve">32. </w:t>
      </w:r>
      <w:r>
        <w:t>Rotación de la directiva en 2 años (Alta/Moderada/Baja-estable)</w:t>
      </w:r>
    </w:p>
    <w:p>
      <w:pPr>
        <w:pStyle w:val="Heading1"/>
      </w:pPr>
      <w:r>
        <w:t>D9 — Sostenibilidad económica del cumplimiento (dimensión extendida)</w:t>
      </w:r>
    </w:p>
    <w:p>
      <w:pPr>
        <w:pStyle w:val="ListBullet"/>
      </w:pPr>
      <w:r>
        <w:rPr>
          <w:b/>
        </w:rPr>
        <w:t xml:space="preserve">33. </w:t>
      </w:r>
      <w:r>
        <w:t>Costo de adecuación frente al presupuesto anual (&gt;10%/3-10%/&lt;3%/No estimado)</w:t>
      </w:r>
    </w:p>
    <w:p>
      <w:pPr>
        <w:pStyle w:val="ListBullet"/>
      </w:pPr>
      <w:r>
        <w:rPr>
          <w:b/>
        </w:rPr>
        <w:t xml:space="preserve">34. </w:t>
      </w:r>
      <w:r>
        <w:t>¿Financió la adecuación con deuda? (Sí/No/No ha sido necesario)</w:t>
      </w:r>
    </w:p>
    <w:p>
      <w:pPr>
        <w:pStyle w:val="ListBullet"/>
      </w:pPr>
      <w:r>
        <w:rPr>
          <w:b/>
        </w:rPr>
        <w:t xml:space="preserve">35. </w:t>
      </w:r>
      <w:r>
        <w:t>¿Riesgo de trasladar el costo a un menor precio al socio? (Ya ha ocurrido/Riesgo latente/No aplica/No evaluado)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NOTA — </w:t>
      </w:r>
      <w:r>
        <w:rPr>
          <w:i/>
          <w:sz w:val="20"/>
        </w:rPr>
        <w:t>Este bloque completo se reutiliza, invertido, como insumo de IV4 — su contenido real es de fragilidad financiera, no solo de capacidad.</w:t>
      </w:r>
    </w:p>
    <w:p>
      <w:pPr>
        <w:pStyle w:val="Heading1"/>
      </w:pPr>
      <w:r>
        <w:t>D10 — Confusión certificación / EUDR (dimensión extendida)</w:t>
      </w:r>
    </w:p>
    <w:p>
      <w:pPr>
        <w:pStyle w:val="ListBullet"/>
      </w:pPr>
      <w:r>
        <w:rPr>
          <w:b/>
        </w:rPr>
        <w:t xml:space="preserve">36. </w:t>
      </w:r>
      <w:r>
        <w:t>¿Cree que su certificación vigente ya cubre el EUDR? (Sí totalmente/Sí en parte/No, sabe que son distintas/No tiene certificación)</w:t>
      </w:r>
    </w:p>
    <w:p>
      <w:pPr>
        <w:pStyle w:val="ListBullet"/>
      </w:pPr>
      <w:r>
        <w:rPr>
          <w:b/>
        </w:rPr>
        <w:t xml:space="preserve">37. </w:t>
      </w:r>
      <w:r>
        <w:t>¿Le han ofrecido una "certificación EUDR" como producto? (Sí/No)</w:t>
      </w:r>
    </w:p>
    <w:p>
      <w:pPr>
        <w:spacing w:before="120" w:after="200"/>
        <w:ind w:left="227"/>
      </w:pPr>
      <w:r>
        <w:rPr>
          <w:b/>
          <w:color w:val="A24936"/>
          <w:sz w:val="18"/>
        </w:rPr>
        <w:t xml:space="preserve">NOTA — </w:t>
      </w:r>
      <w:r>
        <w:rPr>
          <w:i/>
          <w:sz w:val="20"/>
        </w:rPr>
        <w:t>Bandera, no promedio de madurez. "Sí, totalmente" en la 36 es la señal de falsa seguridad más importante del instrumento.</w:t>
      </w:r>
    </w:p>
    <w:p>
      <w:pPr>
        <w:pStyle w:val="Heading1"/>
      </w:pPr>
      <w:r>
        <w:t>D11 — Ecosistema de apoyo externo (dimensión extendida)</w:t>
      </w:r>
    </w:p>
    <w:p>
      <w:pPr>
        <w:pStyle w:val="ListBullet"/>
      </w:pPr>
      <w:r>
        <w:rPr>
          <w:b/>
        </w:rPr>
        <w:t xml:space="preserve">38. </w:t>
      </w:r>
      <w:r>
        <w:t>Actores con contacto/apoyo activo (SERFOR/PNCB-MINAM/MIDAGRI/Gob. regional/Cooperación internacional/JNC-APPCACAO/Ninguno)</w:t>
      </w:r>
    </w:p>
    <w:p>
      <w:pPr>
        <w:pStyle w:val="ListBullet"/>
      </w:pPr>
      <w:r>
        <w:rPr>
          <w:b/>
        </w:rPr>
        <w:t xml:space="preserve">39. </w:t>
      </w:r>
      <w:r>
        <w:t>De los no marcados, ¿cuáles conoce pero no ha contactado, y por qué?</w:t>
      </w:r>
    </w:p>
    <w:p>
      <w:pPr>
        <w:spacing w:before="120" w:after="200"/>
        <w:ind w:left="227"/>
      </w:pPr>
      <w:r>
        <w:rPr>
          <w:b/>
          <w:color w:val="2B6F65"/>
          <w:sz w:val="18"/>
        </w:rPr>
        <w:t xml:space="preserve">NOTA — </w:t>
      </w:r>
      <w:r>
        <w:rPr>
          <w:i/>
          <w:sz w:val="20"/>
        </w:rPr>
        <w:t>Mapeo, no promedio de madurez. Para IP5, se recalcula como % de actores con contacto activo.</w:t>
      </w:r>
    </w:p>
    <w:p>
      <w:pPr>
        <w:pStyle w:val="Heading1"/>
      </w:pPr>
      <w:r>
        <w:t>Nota de puntaje</w:t>
      </w:r>
    </w:p>
    <w:p>
      <w:pPr>
        <w:pStyle w:val="ListBullet"/>
      </w:pPr>
      <w:r>
        <w:t>El promedio de cada dimensión D1–D9 se calcula sobre las preguntas tipo escala/porcentaje únicamente.</w:t>
      </w:r>
    </w:p>
    <w:p>
      <w:pPr>
        <w:pStyle w:val="ListBullet"/>
      </w:pPr>
      <w:r>
        <w:t>D10 no se promedia como madurez — se reporta como bandera.</w:t>
      </w:r>
    </w:p>
    <w:p>
      <w:pPr>
        <w:pStyle w:val="ListBullet"/>
      </w:pPr>
      <w:r>
        <w:t>D11 no se promedia como madurez en el ISA — se reporta como inventario de oportunidades (Instrumento 4); para IP se recalcula como puntaje de cobertura.</w:t>
      </w:r>
    </w:p>
    <w:p>
      <w:pPr>
        <w:pStyle w:val="ListBullet"/>
      </w:pPr>
      <w:r>
        <w:t>% de mujeres en la directiva (Bloque 0) no se promedia como madurez — es variable de contexto, solo alimenta IV5.</w:t>
      </w:r>
    </w:p>
    <w:p/>
    <w:p>
      <w:pPr>
        <w:spacing w:before="280"/>
      </w:pPr>
      <w:r>
        <w:rPr>
          <w:b/>
          <w:sz w:val="17"/>
        </w:rPr>
        <w:t xml:space="preserve">Documentos relacionados: </w:t>
      </w:r>
      <w:r>
        <w:rPr>
          <w:color w:val="5B5548"/>
          <w:sz w:val="17"/>
        </w:rPr>
        <w:t>Propuesta de Índices (IP/IV/RE) — documento complementario que explica cómo se agregan estas mismas preguntas en los índices cuantitativos.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1E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B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2B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2B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