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5548"/>
          <w:sz w:val="18"/>
        </w:rPr>
        <w:t>PROPUESTA TÉCNICA · TOOLKIT EUDR — CAFÉ Y CACAO PERÚ</w:t>
      </w:r>
    </w:p>
    <w:p>
      <w:pPr>
        <w:pStyle w:val="Title"/>
      </w:pPr>
      <w:r>
        <w:rPr>
          <w:color w:val="0E2B27"/>
          <w:sz w:val="44"/>
        </w:rPr>
        <w:t>Índices de Preparación, Vulnerabilidad y Riesgo de Exclusión</w:t>
      </w:r>
    </w:p>
    <w:p>
      <w:r>
        <w:rPr>
          <w:i/>
          <w:color w:val="5B5548"/>
          <w:sz w:val="22"/>
        </w:rPr>
        <w:t>Integración del toolkit de diagnóstico EUDR (D1–D11) con la metodología IP / IV / RE del proyecto ISCAM</w:t>
      </w:r>
    </w:p>
    <w:p>
      <w:r>
        <w:rPr>
          <w:b/>
          <w:color w:val="BD7B34"/>
          <w:sz w:val="18"/>
        </w:rPr>
        <w:t>Versión de trabajo 2026-09-16 · para discusión con el equipo ISCAM</w:t>
      </w:r>
    </w:p>
    <w:p/>
    <w:p>
      <w:pPr>
        <w:pStyle w:val="Heading1"/>
      </w:pPr>
      <w:r>
        <w:t>1. Resumen ejecutivo</w:t>
      </w:r>
    </w:p>
    <w:p>
      <w:r>
        <w:t>Esta propuesta integra dos aproximaciones desarrolladas en paralelo: el toolkit de diagnóstico EUDR (11 dimensiones D1–D11, encuesta ya redactada y piloteable) y la metodología de Índice de Preparación (IP), Índice de Vulnerabilidad (IV) y Riesgo de Exclusión (RE) definida por el equipo ISCAM. En vez de construir un instrumento nuevo para IP e IV, esta propuesta remapea las dimensiones ya existentes del toolkit hacia las 5 sub-dimensiones de cada índice, identificando qué se puede reutilizar directamente y qué preguntas nuevas son realmente necesarias — que resultaron ser muy pocas, ya redactadas e incorporadas al instrumento.</w:t>
      </w:r>
    </w:p>
    <w:p>
      <w:pPr>
        <w:spacing w:before="120" w:after="200"/>
        <w:ind w:left="227"/>
      </w:pPr>
      <w:r>
        <w:rPr>
          <w:b/>
          <w:color w:val="2B6F65"/>
          <w:sz w:val="18"/>
        </w:rPr>
        <w:t xml:space="preserve">EN UNA FRASE — </w:t>
      </w:r>
      <w:r>
        <w:rPr>
          <w:i/>
          <w:sz w:val="20"/>
        </w:rPr>
        <w:t>D1–D11 aporta el instrumento de recolección y las banderas de cumplimiento; IP/IV/RE aporta la superestructura analítica que el objetivo de investigación del proyecto necesita.</w:t>
      </w:r>
    </w:p>
    <w:p>
      <w:pPr>
        <w:pStyle w:val="Heading1"/>
      </w:pPr>
      <w:r>
        <w:t>2. Por qué combinar en vez de elegir uno de los dos enfoques</w:t>
      </w:r>
    </w:p>
    <w:p>
      <w:r>
        <w:t>Un análisis comparativo across 13 criterios (base normativa, medición de vulnerabilidad, validación de contenido, robustez, unidad de análisis, tipología de priorización, entre otros) muestra que ninguno de los dos enfoques domina al otro — resuelven preguntas distintas:</w:t>
      </w:r>
    </w:p>
    <w:tbl>
      <w:tblPr>
        <w:tblStyle w:val="LightGrid-Accent1"/>
        <w:tblW w:type="auto" w:w="0"/>
        <w:jc w:val="center"/>
        <w:tblLook w:firstColumn="1" w:firstRow="1" w:lastColumn="0" w:lastRow="0" w:noHBand="0" w:noVBand="1" w:val="04A0"/>
      </w:tblPr>
      <w:tblGrid>
        <w:gridCol w:w="4873"/>
        <w:gridCol w:w="4873"/>
      </w:tblGrid>
      <w:tr>
        <w:tc>
          <w:tcPr>
            <w:tcW w:type="dxa" w:w="2592"/>
            <w:shd w:val="clear" w:color="auto" w:fill="2B6F65"/>
          </w:tcPr>
          <w:p>
            <w:r/>
            <w:r>
              <w:rPr>
                <w:b/>
                <w:color w:val="FFFFFF"/>
                <w:sz w:val="18"/>
              </w:rPr>
              <w:t>Fortaleza</w:t>
            </w:r>
          </w:p>
        </w:tc>
        <w:tc>
          <w:tcPr>
            <w:tcW w:type="dxa" w:w="6624"/>
            <w:shd w:val="clear" w:color="auto" w:fill="2B6F65"/>
          </w:tcPr>
          <w:p>
            <w:r/>
            <w:r>
              <w:rPr>
                <w:b/>
                <w:color w:val="FFFFFF"/>
                <w:sz w:val="18"/>
              </w:rPr>
              <w:t>Aporta</w:t>
            </w:r>
          </w:p>
        </w:tc>
      </w:tr>
      <w:tr>
        <w:tc>
          <w:tcPr>
            <w:tcW w:type="dxa" w:w="2592"/>
          </w:tcPr>
          <w:p>
            <w:r/>
            <w:r>
              <w:rPr>
                <w:sz w:val="18"/>
              </w:rPr>
              <w:t>Toolkit EUDR (D1–D11)</w:t>
            </w:r>
          </w:p>
        </w:tc>
        <w:tc>
          <w:tcPr>
            <w:tcW w:type="dxa" w:w="6624"/>
          </w:tcPr>
          <w:p>
            <w:r/>
            <w:r>
              <w:rPr>
                <w:sz w:val="18"/>
              </w:rPr>
              <w:t>Trazabilidad legal artículo por artículo, banderas no compensables (mezcla de lotes, falsa certificación, trabajo forzoso), 41+ preguntas ya redactadas y piloteables, marco muestral con avance real (JNC/APPCACAO, 20 RUC verificados).</w:t>
            </w:r>
          </w:p>
        </w:tc>
      </w:tr>
      <w:tr>
        <w:tc>
          <w:tcPr>
            <w:tcW w:type="dxa" w:w="2592"/>
          </w:tcPr>
          <w:p>
            <w:r/>
            <w:r>
              <w:rPr>
                <w:sz w:val="18"/>
              </w:rPr>
              <w:t>IP / IV / RE (ISCAM)</w:t>
            </w:r>
          </w:p>
        </w:tc>
        <w:tc>
          <w:tcPr>
            <w:tcW w:type="dxa" w:w="6624"/>
          </w:tcPr>
          <w:p>
            <w:r/>
            <w:r>
              <w:rPr>
                <w:sz w:val="18"/>
              </w:rPr>
              <w:t>Medición de vulnerabilidad estructural (ausente en el toolkit propio), operacionalización fina del impacto en performance (RE_c como función multiplicativa, no solo correlación), unidad de análisis multinivel, matriz de tipología 2×2 para priorización.</w:t>
            </w:r>
          </w:p>
        </w:tc>
      </w:tr>
    </w:tbl>
    <w:p/>
    <w:p>
      <w:pPr>
        <w:pStyle w:val="Heading1"/>
      </w:pPr>
      <w:r>
        <w:t>3. Remapeo D1–D9 → Índice de Preparación (IP)</w:t>
      </w:r>
    </w:p>
    <w:p>
      <w:r>
        <w:t>Es un remapeo de agregación, no un instrumento nuevo: convierte las 9 dimensiones de madurez ya existentes en las 5 sub-dimensiones de IP definidas por ISCAM, sin reescribir ninguna pregunta del instrumento.</w:t>
      </w:r>
    </w:p>
    <w:tbl>
      <w:tblPr>
        <w:tblStyle w:val="LightGrid-Accent1"/>
        <w:tblW w:type="auto" w:w="0"/>
        <w:jc w:val="center"/>
        <w:tblLook w:firstColumn="1" w:firstRow="1" w:lastColumn="0" w:lastRow="0" w:noHBand="0" w:noVBand="1" w:val="04A0"/>
      </w:tblPr>
      <w:tblGrid>
        <w:gridCol w:w="3249"/>
        <w:gridCol w:w="3249"/>
        <w:gridCol w:w="3249"/>
      </w:tblGrid>
      <w:tr>
        <w:tc>
          <w:tcPr>
            <w:tcW w:type="dxa" w:w="2880"/>
            <w:shd w:val="clear" w:color="auto" w:fill="2B6F65"/>
          </w:tcPr>
          <w:p>
            <w:r/>
            <w:r>
              <w:rPr>
                <w:b/>
                <w:color w:val="FFFFFF"/>
                <w:sz w:val="18"/>
              </w:rPr>
              <w:t>Sub-dimensión IP</w:t>
            </w:r>
          </w:p>
        </w:tc>
        <w:tc>
          <w:tcPr>
            <w:tcW w:type="dxa" w:w="4896"/>
            <w:shd w:val="clear" w:color="auto" w:fill="2B6F65"/>
          </w:tcPr>
          <w:p>
            <w:r/>
            <w:r>
              <w:rPr>
                <w:b/>
                <w:color w:val="FFFFFF"/>
                <w:sz w:val="18"/>
              </w:rPr>
              <w:t>Fuente en el toolkit</w:t>
            </w:r>
          </w:p>
        </w:tc>
        <w:tc>
          <w:tcPr>
            <w:tcW w:type="dxa" w:w="2016"/>
            <w:shd w:val="clear" w:color="auto" w:fill="2B6F65"/>
          </w:tcPr>
          <w:p>
            <w:r/>
            <w:r>
              <w:rPr>
                <w:b/>
                <w:color w:val="FFFFFF"/>
                <w:sz w:val="18"/>
              </w:rPr>
              <w:t>Regla de agregación</w:t>
            </w:r>
          </w:p>
        </w:tc>
      </w:tr>
      <w:tr>
        <w:tc>
          <w:tcPr>
            <w:tcW w:type="dxa" w:w="2880"/>
          </w:tcPr>
          <w:p>
            <w:r/>
            <w:r>
              <w:rPr>
                <w:sz w:val="18"/>
              </w:rPr>
              <w:t>1. Trazabilidad y origen</w:t>
            </w:r>
          </w:p>
        </w:tc>
        <w:tc>
          <w:tcPr>
            <w:tcW w:type="dxa" w:w="4896"/>
          </w:tcPr>
          <w:p>
            <w:r/>
            <w:r>
              <w:rPr>
                <w:sz w:val="18"/>
              </w:rPr>
              <w:t>D2 completo (geolocalización, trazabilidad lote-parcela, segregación física)</w:t>
            </w:r>
          </w:p>
        </w:tc>
        <w:tc>
          <w:tcPr>
            <w:tcW w:type="dxa" w:w="2016"/>
          </w:tcPr>
          <w:p>
            <w:r/>
            <w:r>
              <w:rPr>
                <w:sz w:val="18"/>
              </w:rPr>
              <w:t>Directa</w:t>
            </w:r>
          </w:p>
        </w:tc>
      </w:tr>
      <w:tr>
        <w:tc>
          <w:tcPr>
            <w:tcW w:type="dxa" w:w="2880"/>
          </w:tcPr>
          <w:p>
            <w:r/>
            <w:r>
              <w:rPr>
                <w:sz w:val="18"/>
              </w:rPr>
              <w:t>2. Cumplimiento ambiental</w:t>
            </w:r>
          </w:p>
        </w:tc>
        <w:tc>
          <w:tcPr>
            <w:tcW w:type="dxa" w:w="4896"/>
          </w:tcPr>
          <w:p>
            <w:r/>
            <w:r>
              <w:rPr>
                <w:sz w:val="18"/>
              </w:rPr>
              <w:t>D3 + D4 (legalidad de tierra, deforestación, agua/aguas residuales)</w:t>
            </w:r>
          </w:p>
        </w:tc>
        <w:tc>
          <w:tcPr>
            <w:tcW w:type="dxa" w:w="2016"/>
          </w:tcPr>
          <w:p>
            <w:r/>
            <w:r>
              <w:rPr>
                <w:sz w:val="18"/>
              </w:rPr>
              <w:t>Geométrica — no sustituibles</w:t>
            </w:r>
          </w:p>
        </w:tc>
      </w:tr>
      <w:tr>
        <w:tc>
          <w:tcPr>
            <w:tcW w:type="dxa" w:w="2880"/>
          </w:tcPr>
          <w:p>
            <w:r/>
            <w:r>
              <w:rPr>
                <w:sz w:val="18"/>
              </w:rPr>
              <w:t>3. Capacidades organizacionales</w:t>
            </w:r>
          </w:p>
        </w:tc>
        <w:tc>
          <w:tcPr>
            <w:tcW w:type="dxa" w:w="4896"/>
          </w:tcPr>
          <w:p>
            <w:r/>
            <w:r>
              <w:rPr>
                <w:sz w:val="18"/>
              </w:rPr>
              <w:t>D8 + D5 + parte de D6 (gobernanza, control interno, sistemas de gestión)</w:t>
            </w:r>
          </w:p>
        </w:tc>
        <w:tc>
          <w:tcPr>
            <w:tcW w:type="dxa" w:w="2016"/>
          </w:tcPr>
          <w:p>
            <w:r/>
            <w:r>
              <w:rPr>
                <w:sz w:val="18"/>
              </w:rPr>
              <w:t>Aritmética</w:t>
            </w:r>
          </w:p>
        </w:tc>
      </w:tr>
      <w:tr>
        <w:tc>
          <w:tcPr>
            <w:tcW w:type="dxa" w:w="2880"/>
          </w:tcPr>
          <w:p>
            <w:r/>
            <w:r>
              <w:rPr>
                <w:sz w:val="18"/>
              </w:rPr>
              <w:t>4. Información y documentación</w:t>
            </w:r>
          </w:p>
        </w:tc>
        <w:tc>
          <w:tcPr>
            <w:tcW w:type="dxa" w:w="4896"/>
          </w:tcPr>
          <w:p>
            <w:r/>
            <w:r>
              <w:rPr>
                <w:sz w:val="18"/>
              </w:rPr>
              <w:t>D6.23 + D2.9 (digitalización, frecuencia de actualización)</w:t>
            </w:r>
          </w:p>
        </w:tc>
        <w:tc>
          <w:tcPr>
            <w:tcW w:type="dxa" w:w="2016"/>
          </w:tcPr>
          <w:p>
            <w:r/>
            <w:r>
              <w:rPr>
                <w:sz w:val="18"/>
              </w:rPr>
              <w:t>Aritmética — sub-dimensión más débil, solo 2 ítems fuente</w:t>
            </w:r>
          </w:p>
        </w:tc>
      </w:tr>
      <w:tr>
        <w:tc>
          <w:tcPr>
            <w:tcW w:type="dxa" w:w="2880"/>
          </w:tcPr>
          <w:p>
            <w:r/>
            <w:r>
              <w:rPr>
                <w:sz w:val="18"/>
              </w:rPr>
              <w:t>5. Capacidad de adaptación y recursos</w:t>
            </w:r>
          </w:p>
        </w:tc>
        <w:tc>
          <w:tcPr>
            <w:tcW w:type="dxa" w:w="4896"/>
          </w:tcPr>
          <w:p>
            <w:r/>
            <w:r>
              <w:rPr>
                <w:sz w:val="18"/>
              </w:rPr>
              <w:t>D7 + D9 + D11 + Certificaciones (recalculados para IP)</w:t>
            </w:r>
          </w:p>
        </w:tc>
        <w:tc>
          <w:tcPr>
            <w:tcW w:type="dxa" w:w="2016"/>
          </w:tcPr>
          <w:p>
            <w:r/>
            <w:r>
              <w:rPr>
                <w:sz w:val="18"/>
              </w:rPr>
              <w:t>Aritmética</w:t>
            </w:r>
          </w:p>
        </w:tc>
      </w:tr>
    </w:tbl>
    <w:p/>
    <w:p>
      <w:r>
        <w:t>D1 (clasificación regulatoria) y D10 (bandera de certificación) quedan fuera de IP — son estatus jurídico y percepción, no capacidad.</w:t>
      </w:r>
    </w:p>
    <w:p>
      <w:pPr>
        <w:spacing w:before="120" w:after="200"/>
        <w:ind w:left="283"/>
      </w:pPr>
      <w:r>
        <w:rPr>
          <w:rFonts w:ascii="Consolas" w:hAnsi="Consolas"/>
          <w:color w:val="0E2B27"/>
          <w:sz w:val="19"/>
        </w:rPr>
        <w:t>IP2_c = (D3_c × D4_c)^(1/2)                         [geométrica]</w:t>
        <w:br/>
      </w:r>
      <w:r>
        <w:rPr>
          <w:rFonts w:ascii="Consolas" w:hAnsi="Consolas"/>
          <w:color w:val="0E2B27"/>
          <w:sz w:val="19"/>
        </w:rPr>
        <w:t>IP3_c = (D8_c + D5_c + D6_sistemas_c) / 3            [aritmética]</w:t>
        <w:br/>
      </w:r>
      <w:r>
        <w:rPr>
          <w:rFonts w:ascii="Consolas" w:hAnsi="Consolas"/>
          <w:color w:val="0E2B27"/>
          <w:sz w:val="19"/>
        </w:rPr>
        <w:t>IP4_c = (D6.23_c + D2.9_c) / 2                       [aritmética]</w:t>
        <w:br/>
      </w:r>
      <w:r>
        <w:rPr>
          <w:rFonts w:ascii="Consolas" w:hAnsi="Consolas"/>
          <w:color w:val="0E2B27"/>
          <w:sz w:val="19"/>
        </w:rPr>
        <w:t>IP5_c = (D7_c + D9_c + D11_recalc_c + Certif_recalc_c) / 4</w:t>
        <w:br/>
      </w:r>
      <w:r>
        <w:rPr>
          <w:rFonts w:ascii="Consolas" w:hAnsi="Consolas"/>
          <w:color w:val="0E2B27"/>
          <w:sz w:val="19"/>
        </w:rPr>
        <w:t>IP1_c = D2_c</w:t>
        <w:br/>
      </w:r>
      <w:r>
        <w:rPr>
          <w:rFonts w:ascii="Consolas" w:hAnsi="Consolas"/>
          <w:color w:val="0E2B27"/>
          <w:sz w:val="19"/>
        </w:rPr>
        <w:br/>
      </w:r>
      <w:r>
        <w:rPr>
          <w:rFonts w:ascii="Consolas" w:hAnsi="Consolas"/>
          <w:color w:val="0E2B27"/>
          <w:sz w:val="19"/>
        </w:rPr>
        <w:t>IP_c = 0.20×IP1_c + 0.20×IP2_c + 0.20×IP3_c + 0.20×IP4_c + 0.20×IP5_c</w:t>
        <w:br/>
      </w:r>
    </w:p>
    <w:p>
      <w:pPr>
        <w:spacing w:before="120" w:after="200"/>
        <w:ind w:left="227"/>
      </w:pPr>
      <w:r>
        <w:rPr>
          <w:b/>
          <w:color w:val="2B6F65"/>
          <w:sz w:val="18"/>
        </w:rPr>
        <w:t xml:space="preserve">HALLAZGO RELEVANTE — </w:t>
      </w:r>
      <w:r>
        <w:rPr>
          <w:i/>
          <w:sz w:val="20"/>
        </w:rPr>
        <w:t>D6.24 (conectividad a internet) y D9 (sostenibilidad económica) miden, en realidad, contenido más cercano a vulnerabilidad que a preparación — se reutilizan invertidos en IV en vez de tratarlos solo como capacidad.</w:t>
      </w:r>
    </w:p>
    <w:p>
      <w:pPr>
        <w:pStyle w:val="Heading1"/>
      </w:pPr>
      <w:r>
        <w:t>4. Índice de Vulnerabilidad (IV) — la pieza que no existía</w:t>
      </w:r>
    </w:p>
    <w:p>
      <w:r>
        <w:t>A diferencia de IP, IV no tenía ningún equivalente en el toolkit — es la brecha real identificada en el análisis comparativo. Se diseñó maximizando el reúso de preguntas existentes, invertidas donde corresponde.</w:t>
      </w:r>
    </w:p>
    <w:tbl>
      <w:tblPr>
        <w:tblStyle w:val="LightGrid-Accent1"/>
        <w:tblW w:type="auto" w:w="0"/>
        <w:jc w:val="center"/>
        <w:tblLook w:firstColumn="1" w:firstRow="1" w:lastColumn="0" w:lastRow="0" w:noHBand="0" w:noVBand="1" w:val="04A0"/>
      </w:tblPr>
      <w:tblGrid>
        <w:gridCol w:w="3249"/>
        <w:gridCol w:w="3249"/>
        <w:gridCol w:w="3249"/>
      </w:tblGrid>
      <w:tr>
        <w:tc>
          <w:tcPr>
            <w:tcW w:type="dxa" w:w="3168"/>
            <w:shd w:val="clear" w:color="auto" w:fill="2B6F65"/>
          </w:tcPr>
          <w:p>
            <w:r/>
            <w:r>
              <w:rPr>
                <w:b/>
                <w:color w:val="FFFFFF"/>
                <w:sz w:val="18"/>
              </w:rPr>
              <w:t>Sub-dimensión IV</w:t>
            </w:r>
          </w:p>
        </w:tc>
        <w:tc>
          <w:tcPr>
            <w:tcW w:type="dxa" w:w="4896"/>
            <w:shd w:val="clear" w:color="auto" w:fill="2B6F65"/>
          </w:tcPr>
          <w:p>
            <w:r/>
            <w:r>
              <w:rPr>
                <w:b/>
                <w:color w:val="FFFFFF"/>
                <w:sz w:val="18"/>
              </w:rPr>
              <w:t>Fuente</w:t>
            </w:r>
          </w:p>
        </w:tc>
        <w:tc>
          <w:tcPr>
            <w:tcW w:type="dxa" w:w="2304"/>
            <w:shd w:val="clear" w:color="auto" w:fill="2B6F65"/>
          </w:tcPr>
          <w:p>
            <w:r/>
            <w:r>
              <w:rPr>
                <w:b/>
                <w:color w:val="FFFFFF"/>
                <w:sz w:val="18"/>
              </w:rPr>
              <w:t>Tipo</w:t>
            </w:r>
          </w:p>
        </w:tc>
      </w:tr>
      <w:tr>
        <w:tc>
          <w:tcPr>
            <w:tcW w:type="dxa" w:w="3168"/>
          </w:tcPr>
          <w:p>
            <w:r/>
            <w:r>
              <w:rPr>
                <w:sz w:val="18"/>
              </w:rPr>
              <w:t>1. Dependencia del mercado europeo</w:t>
            </w:r>
          </w:p>
        </w:tc>
        <w:tc>
          <w:tcPr>
            <w:tcW w:type="dxa" w:w="4896"/>
          </w:tcPr>
          <w:p>
            <w:r/>
            <w:r>
              <w:rPr>
                <w:sz w:val="18"/>
              </w:rPr>
              <w:t>Bloque P (volumen UE / volumen total, N° de compradores)</w:t>
            </w:r>
          </w:p>
        </w:tc>
        <w:tc>
          <w:tcPr>
            <w:tcW w:type="dxa" w:w="2304"/>
          </w:tcPr>
          <w:p>
            <w:r/>
            <w:r>
              <w:rPr>
                <w:sz w:val="18"/>
              </w:rPr>
              <w:t>Reúso + 1 pregunta nueva (ya redactada)</w:t>
            </w:r>
          </w:p>
        </w:tc>
      </w:tr>
      <w:tr>
        <w:tc>
          <w:tcPr>
            <w:tcW w:type="dxa" w:w="3168"/>
          </w:tcPr>
          <w:p>
            <w:r/>
            <w:r>
              <w:rPr>
                <w:sz w:val="18"/>
              </w:rPr>
              <w:t>2. Exposición regulatoria</w:t>
            </w:r>
          </w:p>
        </w:tc>
        <w:tc>
          <w:tcPr>
            <w:tcW w:type="dxa" w:w="4896"/>
          </w:tcPr>
          <w:p>
            <w:r/>
            <w:r>
              <w:rPr>
                <w:sz w:val="18"/>
              </w:rPr>
              <w:t>D1 completo (rol declarado ante el reglamento)</w:t>
            </w:r>
          </w:p>
        </w:tc>
        <w:tc>
          <w:tcPr>
            <w:tcW w:type="dxa" w:w="2304"/>
          </w:tcPr>
          <w:p>
            <w:r/>
            <w:r>
              <w:rPr>
                <w:sz w:val="18"/>
              </w:rPr>
              <w:t>Reúso total</w:t>
            </w:r>
          </w:p>
        </w:tc>
      </w:tr>
      <w:tr>
        <w:tc>
          <w:tcPr>
            <w:tcW w:type="dxa" w:w="3168"/>
          </w:tcPr>
          <w:p>
            <w:r/>
            <w:r>
              <w:rPr>
                <w:sz w:val="18"/>
              </w:rPr>
              <w:t>3. Fragilidad productiva y territorial</w:t>
            </w:r>
          </w:p>
        </w:tc>
        <w:tc>
          <w:tcPr>
            <w:tcW w:type="dxa" w:w="4896"/>
          </w:tcPr>
          <w:p>
            <w:r/>
            <w:r>
              <w:rPr>
                <w:sz w:val="18"/>
              </w:rPr>
              <w:t>Zona de riesgo social (D3.14), tamaño de parcela derivado, dispersión geográfica</w:t>
            </w:r>
          </w:p>
        </w:tc>
        <w:tc>
          <w:tcPr>
            <w:tcW w:type="dxa" w:w="2304"/>
          </w:tcPr>
          <w:p>
            <w:r/>
            <w:r>
              <w:rPr>
                <w:sz w:val="18"/>
              </w:rPr>
              <w:t>Reúso + 2 preguntas nuevas (ya redactadas)</w:t>
            </w:r>
          </w:p>
        </w:tc>
      </w:tr>
      <w:tr>
        <w:tc>
          <w:tcPr>
            <w:tcW w:type="dxa" w:w="3168"/>
          </w:tcPr>
          <w:p>
            <w:r/>
            <w:r>
              <w:rPr>
                <w:sz w:val="18"/>
              </w:rPr>
              <w:t>4. Brechas tecnológicas y financieras</w:t>
            </w:r>
          </w:p>
        </w:tc>
        <w:tc>
          <w:tcPr>
            <w:tcW w:type="dxa" w:w="4896"/>
          </w:tcPr>
          <w:p>
            <w:r/>
            <w:r>
              <w:rPr>
                <w:sz w:val="18"/>
              </w:rPr>
              <w:t>D6.24 (conectividad) + D9 (riesgo financiero), invertidos</w:t>
            </w:r>
          </w:p>
        </w:tc>
        <w:tc>
          <w:tcPr>
            <w:tcW w:type="dxa" w:w="2304"/>
          </w:tcPr>
          <w:p>
            <w:r/>
            <w:r>
              <w:rPr>
                <w:sz w:val="18"/>
              </w:rPr>
              <w:t>Reúso total</w:t>
            </w:r>
          </w:p>
        </w:tc>
      </w:tr>
      <w:tr>
        <w:tc>
          <w:tcPr>
            <w:tcW w:type="dxa" w:w="3168"/>
          </w:tcPr>
          <w:p>
            <w:r/>
            <w:r>
              <w:rPr>
                <w:sz w:val="18"/>
              </w:rPr>
              <w:t>5. Riesgo social y comercial</w:t>
            </w:r>
          </w:p>
        </w:tc>
        <w:tc>
          <w:tcPr>
            <w:tcW w:type="dxa" w:w="4896"/>
          </w:tcPr>
          <w:p>
            <w:r/>
            <w:r>
              <w:rPr>
                <w:sz w:val="18"/>
              </w:rPr>
              <w:t>D7 (dependencia de comprador) + fricción de D8 + % de mujeres en la directiva (nuevo), invertidos</w:t>
            </w:r>
          </w:p>
        </w:tc>
        <w:tc>
          <w:tcPr>
            <w:tcW w:type="dxa" w:w="2304"/>
          </w:tcPr>
          <w:p>
            <w:r/>
            <w:r>
              <w:rPr>
                <w:sz w:val="18"/>
              </w:rPr>
              <w:t>Reúso parcial + 1 pregunta nueva</w:t>
            </w:r>
          </w:p>
        </w:tc>
      </w:tr>
    </w:tbl>
    <w:p/>
    <w:p>
      <w:pPr>
        <w:spacing w:before="120" w:after="200"/>
        <w:ind w:left="227"/>
      </w:pPr>
      <w:r>
        <w:rPr>
          <w:b/>
          <w:color w:val="BD7B34"/>
          <w:sz w:val="18"/>
        </w:rPr>
        <w:t xml:space="preserve">DISCIPLINA DE DISEÑO — </w:t>
      </w:r>
      <w:r>
        <w:rPr>
          <w:i/>
          <w:sz w:val="20"/>
        </w:rPr>
        <w:t>Antes de redactar preguntas nuevas se revisó el instrumento completo: 2 de 3 vacíos planeados para la sub-dimensión 3 resultaron ya cubiertos (tamaño de parcela es derivable de datos existentes; la zona de riesgo social ya era una pregunta cerrada). Solo se redactaron las preguntas genuinamente faltantes.</w:t>
      </w:r>
    </w:p>
    <w:p>
      <w:pPr>
        <w:spacing w:before="120" w:after="200"/>
        <w:ind w:left="227"/>
      </w:pPr>
      <w:r>
        <w:rPr>
          <w:b/>
          <w:color w:val="3F7D53"/>
          <w:sz w:val="18"/>
        </w:rPr>
        <w:t xml:space="preserve">ACTUALIZACIÓN 2026-09-16 — </w:t>
      </w:r>
      <w:r>
        <w:rPr>
          <w:i/>
          <w:sz w:val="20"/>
        </w:rPr>
        <w:t>Se agregó "% de mujeres en la directiva" a IV5, hallazgo de la evaluación de preparación EUDR de Vietnam (Team Europe Initiative, 2025), que trata representación/inclusión como criterio transversal de riesgo de exclusión — variable de contexto que no entra al puntaje D1–D9/ISA/IP, solo a IV5.</w:t>
      </w:r>
    </w:p>
    <w:p>
      <w:pPr>
        <w:pStyle w:val="Heading1"/>
      </w:pPr>
      <w:r>
        <w:t>5. Riesgo de Exclusión (RE) y matriz de tipología</w:t>
      </w:r>
    </w:p>
    <w:p>
      <w:pPr>
        <w:spacing w:before="120" w:after="200"/>
        <w:ind w:left="283"/>
      </w:pPr>
      <w:r>
        <w:rPr>
          <w:rFonts w:ascii="Consolas" w:hAnsi="Consolas"/>
          <w:color w:val="0E2B27"/>
          <w:sz w:val="19"/>
        </w:rPr>
        <w:t>RE_c = IV_c · (1 − IP_c / 100)</w:t>
        <w:br/>
      </w:r>
    </w:p>
    <w:p>
      <w:r>
        <w:t>La preparación modera el efecto de la vulnerabilidad: una cooperativa muy vulnerable pero muy preparada tiene RE bajo. Esto opera directamente la Hipótesis 3 del proyecto ISCAM.</w:t>
      </w:r>
    </w:p>
    <w:tbl>
      <w:tblPr>
        <w:tblStyle w:val="LightGrid-Accent1"/>
        <w:tblW w:type="auto" w:w="0"/>
        <w:jc w:val="center"/>
        <w:tblLook w:firstColumn="1" w:firstRow="1" w:lastColumn="0" w:lastRow="0" w:noHBand="0" w:noVBand="1" w:val="04A0"/>
      </w:tblPr>
      <w:tblGrid>
        <w:gridCol w:w="3249"/>
        <w:gridCol w:w="3249"/>
        <w:gridCol w:w="3249"/>
      </w:tblGrid>
      <w:tr>
        <w:tc>
          <w:tcPr>
            <w:tcW w:type="dxa" w:w="1728"/>
            <w:shd w:val="clear" w:color="auto" w:fill="2B6F65"/>
          </w:tcPr>
          <w:p>
            <w:r/>
            <w:r>
              <w:rPr>
                <w:b/>
                <w:color w:val="FFFFFF"/>
                <w:sz w:val="18"/>
              </w:rPr>
            </w:r>
          </w:p>
        </w:tc>
        <w:tc>
          <w:tcPr>
            <w:tcW w:type="dxa" w:w="4320"/>
            <w:shd w:val="clear" w:color="auto" w:fill="2B6F65"/>
          </w:tcPr>
          <w:p>
            <w:r/>
            <w:r>
              <w:rPr>
                <w:b/>
                <w:color w:val="FFFFFF"/>
                <w:sz w:val="18"/>
              </w:rPr>
              <w:t>IV bajo</w:t>
            </w:r>
          </w:p>
        </w:tc>
        <w:tc>
          <w:tcPr>
            <w:tcW w:type="dxa" w:w="4320"/>
            <w:shd w:val="clear" w:color="auto" w:fill="2B6F65"/>
          </w:tcPr>
          <w:p>
            <w:r/>
            <w:r>
              <w:rPr>
                <w:b/>
                <w:color w:val="FFFFFF"/>
                <w:sz w:val="18"/>
              </w:rPr>
              <w:t>IV alto</w:t>
            </w:r>
          </w:p>
        </w:tc>
      </w:tr>
      <w:tr>
        <w:tc>
          <w:tcPr>
            <w:tcW w:type="dxa" w:w="1728"/>
          </w:tcPr>
          <w:p>
            <w:r/>
            <w:r>
              <w:rPr>
                <w:sz w:val="18"/>
              </w:rPr>
              <w:t>IP alto</w:t>
            </w:r>
          </w:p>
        </w:tc>
        <w:tc>
          <w:tcPr>
            <w:tcW w:type="dxa" w:w="4320"/>
          </w:tcPr>
          <w:p>
            <w:r/>
            <w:r>
              <w:rPr>
                <w:sz w:val="18"/>
              </w:rPr>
              <w:t>Resilientes y mejor posicionadas</w:t>
            </w:r>
          </w:p>
        </w:tc>
        <w:tc>
          <w:tcPr>
            <w:tcW w:type="dxa" w:w="4320"/>
          </w:tcPr>
          <w:p>
            <w:r/>
            <w:r>
              <w:rPr>
                <w:sz w:val="18"/>
              </w:rPr>
              <w:t>Expuestas pero adaptables</w:t>
            </w:r>
          </w:p>
        </w:tc>
      </w:tr>
      <w:tr>
        <w:tc>
          <w:tcPr>
            <w:tcW w:type="dxa" w:w="1728"/>
          </w:tcPr>
          <w:p>
            <w:r/>
            <w:r>
              <w:rPr>
                <w:sz w:val="18"/>
              </w:rPr>
              <w:t>IP bajo</w:t>
            </w:r>
          </w:p>
        </w:tc>
        <w:tc>
          <w:tcPr>
            <w:tcW w:type="dxa" w:w="4320"/>
          </w:tcPr>
          <w:p>
            <w:r/>
            <w:r>
              <w:rPr>
                <w:sz w:val="18"/>
              </w:rPr>
              <w:t>Riesgo latente</w:t>
            </w:r>
          </w:p>
        </w:tc>
        <w:tc>
          <w:tcPr>
            <w:tcW w:type="dxa" w:w="4320"/>
          </w:tcPr>
          <w:p>
            <w:r/>
            <w:r>
              <w:rPr>
                <w:sz w:val="18"/>
              </w:rPr>
              <w:t>Riesgo crítico de exclusión</w:t>
            </w:r>
          </w:p>
        </w:tc>
      </w:tr>
    </w:tbl>
    <w:p/>
    <w:p>
      <w:r>
        <w:t>El punto de corte alto/bajo se fijará con los primeros datos reales del piloto, no de forma arbitraria.</w:t>
      </w:r>
    </w:p>
    <w:p>
      <w:pPr>
        <w:pStyle w:val="Heading1"/>
      </w:pPr>
      <w:r>
        <w:t>6. Validación de pesos — Panel AHP propuesto</w:t>
      </w:r>
    </w:p>
    <w:p>
      <w:r>
        <w:t>Ambos índices usan hoy pesos iguales (20% por sub-dimensión) como default metodológico. Se propone validarlos con un panel de 8–10 expertos (2 especialistas EUDR/legal, 2 gerencia de cooperativas/gremios, 2 certificación/sostenibilidad, 1–2 cooperación técnica en territorio, 1–2 del equipo académico ISCAM), mediante comparaciones pareadas (escala de Saaty 1–9) para las 5 sub-dimensiones de IP y las 5 de IV por separado — no se pide un peso relativo entre IP e IV, porque esa relación ya la fija la fórmula de RE.</w:t>
      </w:r>
    </w:p>
    <w:p>
      <w:pPr>
        <w:pStyle w:val="ListBullet"/>
      </w:pPr>
      <w:r>
        <w:rPr>
          <w:b/>
        </w:rPr>
        <w:t xml:space="preserve">Consistencia: </w:t>
      </w:r>
      <w:r>
        <w:t>umbral de Radio de Consistencia (CR) ≤ 0.10 por experto (Saaty, 2008); una matriz inconsistente se devuelve para una ronda de revisión, no se descarta.</w:t>
      </w:r>
    </w:p>
    <w:p>
      <w:pPr>
        <w:pStyle w:val="ListBullet"/>
      </w:pPr>
      <w:r>
        <w:rPr>
          <w:b/>
        </w:rPr>
        <w:t xml:space="preserve">Agregación: </w:t>
      </w:r>
      <w:r>
        <w:t>media geométrica de las matrices de comparación de los expertos antes de calcular pesos (método AIJ, Forman &amp; Peniwati 1998) — no promedio aritmético de pesos ya calculados por separado.</w:t>
      </w:r>
    </w:p>
    <w:p>
      <w:pPr>
        <w:pStyle w:val="ListBullet"/>
      </w:pPr>
      <w:r>
        <w:rPr>
          <w:b/>
        </w:rPr>
        <w:t xml:space="preserve">Sensibilidad obligatoria: </w:t>
      </w:r>
      <w:r>
        <w:t>comparar el índice con pesos AHP vs. pesos iguales sobre el mismo piloto y reportar la correlación de rangos (Spearman) entre ambos.</w:t>
      </w:r>
    </w:p>
    <w:p>
      <w:pPr>
        <w:pStyle w:val="Heading1"/>
      </w:pPr>
      <w:r>
        <w:t>7. Qué se solicita al equipo ISCAM</w:t>
      </w:r>
    </w:p>
    <w:p>
      <w:pPr>
        <w:pStyle w:val="ListBullet"/>
      </w:pPr>
      <w:r>
        <w:t>Validar o corregir el remapeo D1–D9 → IP propuesto en la sección 3.</w:t>
      </w:r>
    </w:p>
    <w:p>
      <w:pPr>
        <w:pStyle w:val="ListBullet"/>
      </w:pPr>
      <w:r>
        <w:t>Validar el diseño de IV (sección 4), incluyendo el nuevo indicador de representación de género en IV5.</w:t>
      </w:r>
    </w:p>
    <w:p>
      <w:pPr>
        <w:pStyle w:val="ListBullet"/>
      </w:pPr>
      <w:r>
        <w:t>Aportar los 8–10 expertos del panel AHP, o confirmar la composición sugerida.</w:t>
      </w:r>
    </w:p>
    <w:p>
      <w:pPr>
        <w:pStyle w:val="ListBullet"/>
      </w:pPr>
      <w:r>
        <w:t>Validar la variable de performance preliminar (Bloque P del cuestionario) frente al objetivo de investigación (f).</w:t>
      </w:r>
    </w:p>
    <w:p>
      <w:pPr>
        <w:pStyle w:val="ListBullet"/>
      </w:pPr>
      <w:r>
        <w:t>Compartir los totales poblacionales de JNC/APPCACAO/MIDAGRI/CENAGRO necesarios para la calibración del marco muestral.</w:t>
      </w:r>
    </w:p>
    <w:p/>
    <w:p>
      <w:pPr>
        <w:spacing w:before="280"/>
      </w:pPr>
      <w:r>
        <w:rPr>
          <w:b/>
          <w:sz w:val="17"/>
        </w:rPr>
        <w:t xml:space="preserve">Documentos relacionados: </w:t>
      </w:r>
      <w:r>
        <w:rPr>
          <w:color w:val="5B5548"/>
          <w:sz w:val="17"/>
        </w:rPr>
        <w:t>Propuesta de Cuestionario (Instrumento 2) — documento complementario con el instrumento completo de recolección.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1E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2B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2B2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2B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