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B5548"/>
          <w:sz w:val="18"/>
        </w:rPr>
        <w:t>RESUMEN EJECUTIVO · PARA EL EQUIPO ISCAM</w:t>
      </w:r>
    </w:p>
    <w:p>
      <w:pPr>
        <w:pStyle w:val="Title"/>
        <w:spacing w:after="80"/>
      </w:pPr>
      <w:r>
        <w:rPr>
          <w:color w:val="0E2B27"/>
          <w:sz w:val="38"/>
        </w:rPr>
        <w:t>Integración EUDR × ISCAM: Índices IP, IV y RE</w:t>
      </w:r>
    </w:p>
    <w:p>
      <w:pPr>
        <w:spacing w:after="200"/>
      </w:pPr>
      <w:r>
        <w:rPr>
          <w:i/>
          <w:color w:val="5B5548"/>
          <w:sz w:val="21"/>
        </w:rPr>
        <w:t>Cómo quedó ensamblado el toolkit de diagnóstico EUDR con la arquitectura de índices del proyecto — qué se valida, qué se calcula y qué ya se puede usar.</w:t>
      </w:r>
    </w:p>
    <w:p>
      <w:pPr>
        <w:pStyle w:val="Heading1"/>
      </w:pPr>
      <w:r>
        <w:t>Punto de partida</w:t>
      </w:r>
    </w:p>
    <w:p>
      <w:pPr>
        <w:spacing w:after="160"/>
      </w:pPr>
      <w:r>
        <w:t>El toolkit de diagnóstico EUDR (Instrumentos 1–7, dimensiones D1–D11) y la arquitectura de Índice de Preparación (IP), Índice de Vulnerabilidad (IV) y Riesgo de Exclusión (RE) del proyecto son dos piezas de un mismo diseño que había que ensamblar — no dos propuestas en competencia. Este documento resume cómo quedaron conectadas y qué es utilizable hoy.</w:t>
      </w:r>
    </w:p>
    <w:p>
      <w:pPr>
        <w:pStyle w:val="Heading1"/>
      </w:pPr>
      <w:r>
        <w:t>Qué se valida del trabajo ya hecho</w:t>
      </w:r>
    </w:p>
    <w:p>
      <w:pPr>
        <w:spacing w:after="40"/>
      </w:pPr>
      <w:r>
        <w:t>El ensamblaje no reemplaza el instrumento de recolección — lo reutiliza tal cual:</w:t>
      </w:r>
    </w:p>
    <w:p>
      <w:pPr>
        <w:pStyle w:val="ListBullet"/>
        <w:spacing w:after="60"/>
      </w:pPr>
      <w:r>
        <w:rPr>
          <w:b/>
        </w:rPr>
        <w:t xml:space="preserve">41+ preguntas </w:t>
      </w:r>
      <w:r>
        <w:t>de la Encuesta Cuantitativa (Instrumento 2), ya redactadas y trazadas artículo por artículo al Reglamento (UE) 2023/1115.</w:t>
      </w:r>
    </w:p>
    <w:p>
      <w:pPr>
        <w:pStyle w:val="ListBullet"/>
        <w:spacing w:after="60"/>
      </w:pPr>
      <w:r>
        <w:rPr>
          <w:b/>
        </w:rPr>
        <w:t xml:space="preserve">Las banderas no compensables </w:t>
      </w:r>
      <w:r>
        <w:t>D2.10 (mezcla de lotes/balance de masas) y D10 (falsa seguridad de certificación) — se mantienen siempre fuera de IP, IV y RE, y se reportan aparte.</w:t>
      </w:r>
    </w:p>
    <w:p>
      <w:pPr>
        <w:pStyle w:val="ListBullet"/>
        <w:spacing w:after="60"/>
      </w:pPr>
      <w:r>
        <w:rPr>
          <w:b/>
        </w:rPr>
        <w:t xml:space="preserve">La trazabilidad legal dimensión por dimensión, </w:t>
      </w:r>
      <w:r>
        <w:t>ya validada externamente por el Documento orientador ADEX/MIDAGRI/EFI (2026).</w:t>
      </w:r>
    </w:p>
    <w:p>
      <w:pPr>
        <w:spacing w:after="40"/>
      </w:pPr>
    </w:p>
    <w:p>
      <w:pPr>
        <w:pStyle w:val="Heading1"/>
      </w:pPr>
      <w:r>
        <w:t>Cómo se calculan IP, IV y RE</w:t>
      </w:r>
    </w:p>
    <w:p>
      <w:pPr>
        <w:pStyle w:val="ListBullet"/>
        <w:spacing w:after="60"/>
      </w:pPr>
      <w:r>
        <w:rPr>
          <w:b/>
        </w:rPr>
        <w:t xml:space="preserve">IP (Índice de Preparación): </w:t>
      </w:r>
      <w:r>
        <w:t>5 sub-dimensiones remapeadas de D1–D9 (Trazabilidad y origen, Cumplimiento ambiental, Capacidades organizacionales, Información y documentación, Capacidad de adaptación y recursos), pesos iguales por defecto (20% cada una).</w:t>
      </w:r>
    </w:p>
    <w:p>
      <w:pPr>
        <w:pStyle w:val="ListBullet"/>
        <w:spacing w:after="60"/>
      </w:pPr>
      <w:r>
        <w:rPr>
          <w:b/>
        </w:rPr>
        <w:t xml:space="preserve">IV (Índice de Vulnerabilidad): </w:t>
      </w:r>
      <w:r>
        <w:t>5 sub-dimensiones (Dependencia del mercado europeo, Exposición regulatoria, Fragilidad productiva y territorial, Brechas tecnológicas y financieras, Riesgo social y comercial), construidas reutilizando ítems ya existentes del mismo cuestionario — una sola pregunta nueva fue necesaria, lo que minimiza la carga adicional sobre el encuestado.</w:t>
      </w:r>
    </w:p>
    <w:p>
      <w:pPr>
        <w:pStyle w:val="ListBullet"/>
        <w:spacing w:after="60"/>
      </w:pPr>
      <w:r>
        <w:rPr>
          <w:b/>
        </w:rPr>
        <w:t xml:space="preserve">RE (Riesgo de Exclusión) = IV · (1 − IP/100): </w:t>
      </w:r>
      <w:r>
        <w:t>la preparación modera el efecto de la vulnerabilidad.</w:t>
      </w:r>
    </w:p>
    <w:p>
      <w:pPr>
        <w:pStyle w:val="ListBullet"/>
        <w:spacing w:after="60"/>
      </w:pPr>
      <w:r>
        <w:rPr>
          <w:b/>
        </w:rPr>
        <w:t xml:space="preserve">Pesos validables </w:t>
      </w:r>
      <w:r>
        <w:t>con un panel de 8–10 expertos mediante comparaciones pareadas (AHP, escala de Saaty) y un umbral de consistencia ya definido (CR ≤ 0.10).</w:t>
      </w:r>
    </w:p>
    <w:p>
      <w:pPr>
        <w:pStyle w:val="Heading1"/>
      </w:pPr>
      <w:r>
        <w:t>Qué ya es operativo hoy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B6F65"/>
          </w:tcPr>
          <w:p>
            <w:r/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4986"/>
            <w:shd w:val="clear" w:color="auto" w:fill="2B6F65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Cuestionario completo (Instrumento 2 + Bloque P + ítems IV)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Documento Word, listo para aplicar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Herramienta de captura de comparaciones pareadas AHP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Funcional en línea, con cálculo de consistencia en vivo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Modelo de cálculo ISA / IP / IV / RE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Excel con fórmulas editables, estimación manual sin depender de herramientas externas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Directorio de posibles integrantes del panel de expertos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6 contactos reales verificados, resto marcado explícitamente como pendiente de solicitar</w:t>
            </w:r>
          </w:p>
        </w:tc>
      </w:tr>
    </w:tbl>
    <w:p>
      <w:pPr>
        <w:spacing w:after="40"/>
      </w:pPr>
    </w:p>
    <w:p>
      <w:pPr>
        <w:pStyle w:val="Heading1"/>
      </w:pPr>
      <w:r>
        <w:t>Qué se solicita al equipo ISCAM</w:t>
      </w:r>
    </w:p>
    <w:p>
      <w:pPr>
        <w:pStyle w:val="ListBullet"/>
        <w:spacing w:after="60"/>
      </w:pPr>
      <w:r>
        <w:t>Validar el remapeo D1–D9 → IP.</w:t>
      </w:r>
    </w:p>
    <w:p>
      <w:pPr>
        <w:pStyle w:val="ListBullet"/>
        <w:spacing w:after="60"/>
      </w:pPr>
      <w:r>
        <w:t>Convocar o confirmar a los expertos del panel AHP.</w:t>
      </w:r>
    </w:p>
    <w:p>
      <w:pPr>
        <w:pStyle w:val="ListBullet"/>
        <w:spacing w:after="60"/>
      </w:pPr>
      <w:r>
        <w:t>Compartir los totales poblacionales (JNC / APPCACAO / MIDAGRI / CENAGRO) necesarios para calibrar el marco muestral.</w:t>
      </w:r>
    </w:p>
    <w:p>
      <w:pPr>
        <w:spacing w:before="200"/>
      </w:pPr>
      <w:r>
        <w:rPr>
          <w:color w:val="5B5548"/>
          <w:sz w:val="18"/>
        </w:rPr>
        <w:t xml:space="preserve">El detalle metodológico completo — fórmulas exactas, justificación de cada decisión de diseño, matriz comparativa entre enfoques — está en los documentos anexos: </w:t>
      </w:r>
      <w:r>
        <w:rPr>
          <w:i/>
          <w:color w:val="5B5548"/>
          <w:sz w:val="18"/>
        </w:rPr>
        <w:t>Propuesta de Índices IP-IV-RE, Propuesta de Cuestionario, y los 12 documentos técnicos de referencia.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1E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B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2B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2B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