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MATRIZ DE COBERTURA TÉCNICA — INSTRUMENTO 2 (NIVEL DE PREGUNTA, RUTA IP/IV SEPARADA)</w:t>
      </w:r>
    </w:p>
    <w:p>
      <w:pPr>
        <w:jc w:val="center"/>
      </w:pPr>
      <w:r>
        <w:rPr>
          <w:sz w:val="18"/>
        </w:rPr>
        <w:t>76 filas de tabla, las 76 son preguntas reales, cruzada contra 5 columnas de criterio: EUDR · 5 pasos de debida diligencia · Otras fuentes citadas · Ruta a IP · Ruta a IV.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/>
            <w:r>
              <w:rPr>
                <w:b/>
                <w:sz w:val="18"/>
              </w:rPr>
              <w:t>Dimensión</w:t>
            </w:r>
          </w:p>
        </w:tc>
        <w:tc>
          <w:tcPr>
            <w:tcW w:type="dxa" w:w="2057"/>
          </w:tcPr>
          <w:p>
            <w:r/>
            <w:r>
              <w:rPr>
                <w:b/>
                <w:sz w:val="18"/>
              </w:rPr>
              <w:t>Pregunta</w:t>
            </w:r>
          </w:p>
        </w:tc>
        <w:tc>
          <w:tcPr>
            <w:tcW w:type="dxa" w:w="2057"/>
          </w:tcPr>
          <w:p>
            <w:r/>
            <w:r>
              <w:rPr>
                <w:b/>
                <w:sz w:val="18"/>
              </w:rPr>
              <w:t>EUDR</w:t>
            </w:r>
          </w:p>
        </w:tc>
        <w:tc>
          <w:tcPr>
            <w:tcW w:type="dxa" w:w="2057"/>
          </w:tcPr>
          <w:p>
            <w:r/>
            <w:r>
              <w:rPr>
                <w:b/>
                <w:sz w:val="18"/>
              </w:rPr>
              <w:t>5 pasos de debida diligencia</w:t>
            </w:r>
          </w:p>
        </w:tc>
        <w:tc>
          <w:tcPr>
            <w:tcW w:type="dxa" w:w="2057"/>
          </w:tcPr>
          <w:p>
            <w:r/>
            <w:r>
              <w:rPr>
                <w:b/>
                <w:sz w:val="18"/>
              </w:rPr>
              <w:t>Otras fuentes citadas</w:t>
            </w:r>
          </w:p>
        </w:tc>
        <w:tc>
          <w:tcPr>
            <w:tcW w:type="dxa" w:w="2057"/>
          </w:tcPr>
          <w:p>
            <w:r/>
            <w:r>
              <w:rPr>
                <w:b/>
                <w:sz w:val="18"/>
              </w:rPr>
              <w:t>Ruta a IP</w:t>
            </w:r>
          </w:p>
        </w:tc>
        <w:tc>
          <w:tcPr>
            <w:tcW w:type="dxa" w:w="2057"/>
          </w:tcPr>
          <w:p>
            <w:r/>
            <w:r>
              <w:rPr>
                <w:b/>
                <w:sz w:val="18"/>
              </w:rPr>
              <w:t>Ruta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Bloque 0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0.1. Nombre de la cooperativa / razón social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9(1)(a) — identificación del operador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2.1 — mapeo de cadena de suministro (Tabla 3)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(Bloque 0 es identificación, no madurez)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directo; alimenta IV1/IV3/IV5 vía preguntas específicas de esta sección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0.2. RUC (clave de deduplicación del marco muestral)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9(1)(a)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2.1 — mapeo de cadena de suministro (Tabla 3)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(Bloque 0 es identificación, no madurez)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directo; alimenta IV1/IV3/IV5 vía preguntas específicas de esta sección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0.3. Producto(s) exportado(s) / código SA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Anexo I — lista de materias primas cubiertas (café, cacao, madera)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2.1 — mapeo de cadena de suministro (Tabla 3)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(Bloque 0 es identificación, no madurez)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directo; alimenta IV1/IV3/IV5 vía preguntas específicas de esta sección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0.4. N.º de socios / hectáreas totales asociadas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3 — "tamaño de finca"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Alimenta IV3 (tamaño de parcela = hectáreas/socios, derivado)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0.5. ¿Exporta directo a la UE o a través de un tercero?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2 — determina el rol (operador / operador posterior)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2.1 — mapeo de cadena de suministro (Tabla 3)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directo (informa D1)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Alimenta IV2 (vía D1)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0.6. Si es indirecto: ¿quién es el comprador que exporta a la UE?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2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Alimenta IV1 (vía D7)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0.7. Volumen anual aproximado destinado a la UE (%)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9(1) — cantidad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2.1 — mapeo de cadena de suministro (Tabla 3)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IV1 (estimación rápida, reemplazada por P1/P1b)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0.8. País(es) de destino dentro de la UE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9(1)(c) — país de destino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2.1 — mapeo de cadena de suministro (Tabla 3)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(Bloque 0 es identificación, no madurez)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directo; alimenta IV1/IV3/IV5 vía preguntas específicas de esta sección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0.9. Certificaciones voluntarias vigentes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30 — no sustituyen la diligencia debida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Fig. 4 / Tabla 5 — certificaciones como criterio de riesgo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IP5 recalculado (Certificaciones, conteo 0/33/66/100)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 directo (insumo D10)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0.10. Dispersión geográfica de los socios (insumo IV3)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2.2.2.1.3 — ubicación de acopios (tangencial)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IV3 directo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0.11. Distancia a centro de acopio (insumo IV3)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2.2.2.1.3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IV3 directo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0.12. % de mujeres en la directiva (insumo IV5)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Fig. 10, componente 7 — atención a productoras mujeres (tangencial)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Estudio Vietnam, Team Europe Initiative (2025)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IV5 directo — (100−%mujeres_directiva)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Bloque 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P1. Volumen exportado a la UE en el último año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9(1) — cantidad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Objetivo (f) proyecto madre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IV1 — numerador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P1b. Volumen TOTAL exportado a todos los destinos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Objetivo (f) proyecto madre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IV1 — denominador (cierra brecha, 2026-09-16)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P2. Volumen exportado a la UE hace 3 años (retrospectivo)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Objetivo (f) proyecto madre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 (variable de resultado, no de IP/IV)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P3. Ingreso total por ventas de exportación a la UE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Objetivo (f) proyecto madre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IV1 — P1/P1b (numerador/denominador), P4 (concentración = 100/P4)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P4. N.º de compradores europeos activos actualmente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Objetivo (f) proyecto madre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IV1 — concentración = 100/P4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P5. N.º de compradores europeos hace 3 años (retrospectivo)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Objetivo (f) proyecto madre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 (retrospectivo, variable de resultado)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P6. Precio promedio pagado al socio, último año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Objetivo (f) proyecto madre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 directo — variable de resultado, conecta D9.35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P7. Precio promedio pagado al socio, hace 3 años (retrospectivo)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Objetivo (f) proyecto madre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IV1 — P1/P1b (numerador/denominador), P4 (concentración = 100/P4)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P8. ¿Lote rechazado/observado por comprador europeo?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3 — consecuencia de no declarar conforme (tangencial)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Objetivo (f) proyecto madre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IV1 — P1/P1b (numerador/denominador), P4 (concentración = 100/P4)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P9. N.º aproximado de lotes rechazados u observados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Objetivo (f) proyecto madre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IV1 — P1/P1b (numerador/denominador), P4 (concentración = 100/P4)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P10. ¿Ha perdido contrato/comprador europeo por incumplimiento?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Objetivo (f) proyecto madre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 directo — variable de resultado, conecta D7.28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P11. % del volumen exportado con trazabilidad verificada hasta parcela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Comparativa ISA-vs-ISCAM §3.3 — criterio de validación externa ISCAM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directo — se correlaciona contra IP una vez calculado, no es insumo de su fórmula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 directo — mismo tratamiento, criterio de validación externa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P12. N.º de años consecutivos exportando a la UE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Comparativa ISA-vs-ISCAM §3.3 — criterio de validación externa ISCAM (continuidad exportadora)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directo — criterio de validación externa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 directo — criterio de validación externa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D1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1. ¿Introduce el producto directo en el mercado UE bajo su propio nombre?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2(15) — definición de "operador"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un paso específico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Fuera de IP (estatus jurídico, no capacidad)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IV2 completo — directo, recodificado 0–100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2. ¿Transforma el producto (trilla, tostado, fermentado, aserrío)?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2 — determina "operador posterior"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un paso específico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Fuera de IP (estatus jurídico, no capacidad)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IV2 completo — directo, recodificado 0–100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3. ¿Sabe con certeza qué rol le corresponde?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2 — las 4 categorías de operador/comerciante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un paso específico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Fuera de IP (estatus jurídico, no capacidad)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IV2 completo — directo, recodificado 0–100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4. ¿Cumple los umbrales de micro/pequeña empresa?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Remite a Directiva 2013/34/UE (vía Art. 2 EUDR)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un paso específico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Fuera de IP (estatus jurídico, no capacidad)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IV2 completo — directo, recodificado 0–100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D2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5. ¿Existe registro de geolocalización (GPS/polígono) por parcela?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9(1)(d) — polígono/punto por parcela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2.1 — mapeo de cadena de suministro (Tabla 3)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IP1 — directa (Trazabilidad y origen)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6. % de socios con parcela geolocalizada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9(1)(d)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3 — "parcela georreferenciada"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IP1 — directa (Trazabilidad y origen)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7. ¿El sistema vincula lote exportado con parcela(s)?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9(1)(f) — trazabilidad lote-origen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3 — trazabilidad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IP1 — directa (Trazabilidad y origen)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8. ¿Quién levantó la información de geolocalización?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2 — importancia del mapeo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directo (informa D8, dependencia de terceros)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9. Frecuencia de actualización del registro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3 — "evolución de superficie" implica actualización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IP4 (proxy de monitoreo, junto con D6.23)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10. ¿Se mezclan lotes de distinto origen sin registro? (bandera)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10 — prohibición de balance de masas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2.2.2.1.3 — riesgo de mezcla (Fig. 6/7, Tabla 8/9)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IP1 ("Segregación de producto" — D2.10 es ese componente exacto)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D3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11. % de socios con título de propiedad reconocida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6 fila 1 — "tenencia de la tierra y uso de suelo" (Art. 2(40)(a))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2.2.2.1.2 — riesgo de legalidad (Tabla 6)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Doc. ADEX/MIDAGRI/EFI (línea base Cavassa 2022, no verificada)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geométrica con D4: √(D3×D4)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12. ¿Parcelas superpuestas a áreas protegidas/territorios indígenas?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6 fila 1 — "tenencia de la tierra y uso de suelo" (Art. 2(40)(a); cubre (d) solo parcialmente)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2.2.2.1.2 — riesgo de legalidad (Tabla 6)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Doc. orientador ADEX/MIDAGRI/EFI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geométrica con D4: √(D3×D4)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13. ¿Se verifica cumplimiento laboral a nivel de finca?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6 fila 3 — "normas laborales" (Art. 2(40)(e); (f) parcialmente)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2.2.2.1.2 — riesgo de legalidad (Tabla 6)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Doc. orientador ADEX/MIDAGRI/EFI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geométrica con D4: √(D3×D4)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14. ¿Parcela en zona de desarrollo alternativo/conflicto?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es criterio del reglamento — contexto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IV3 — D3.14 recodificada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14a. ¿Socios con autorización de uso de agua?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2(40)(b) — protección ambiental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6 fila 2 — "permisos ambientales y cumplimiento forestal"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Doc. orientador ADEX/MIDAGRI/EFI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geométrica con D4: √(D3×D4)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14b. ¿Tratamiento de aguas residuales cumple norma ambiental?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2(40)(b)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6 fila 2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Doc. ADEX/MIDAGRI/EFI (Castro y Julca 2020, 10%)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geométrica con D4: √(D3×D4)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14c. ¿Parcela dentro de faja marginal de río/quebrada/laguna?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2(40)(b)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6 fila 2 (extensión)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Doc. ADEX/MIDAGRI/EFI (mapa de fajas marginales, datosabiertos.gob.pe)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geométrica con D4: √(D3×D4)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14d. ¿Derechos de terceros sobre la parcela o el inmueble (cargas, usufructo, acuerdos constructivos)?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2(40)(d) — derechos de terceros; DISEÑADA contra esta definición, no por analogía con la Tabla 6 (2026-10-02). La letra (c) — reglas forestales — se declara NO APLICABLE: solo es legislación pertinente cuando se relaciona directamente con la cosecha de madera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2.2.2.1.2 — riesgo de legalidad; la Tabla 6 (7 filas) no tiene fila para (d)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Comisión Europea C(2024) 7027 §6 "Legality" — cargas, usufructo, acuerdos constructivos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hereda D3 (√(D3×D4)); promedia en D3, escala 4→0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14e. ¿Al día en obligaciones tributarias/aduaneras/comerciales?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6 filas 5 y 6 — "normativa tributaria y aduanera" + "normativa comercial" (Art. 2(40)(h))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2.2.2.1.2 — riesgo de legalidad (Tabla 6)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Manual PROMPERÚ/BID (origen de la pregunta)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geométrica con D4: √(D3×D4)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14f. ¿Existen mecanismos internos contra la corrupción?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6 fila 7 — "medidas anticorrupción" (Art. 2(40)(h))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2.2.2.1.2 — riesgo de legalidad (Tabla 6)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Manual PROMPERÚ/BID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geométrica con D4: √(D3×D4)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14g. ¿Proceso de CLPI cuando corresponde? (verificación, no promedia)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6 fila 4 — "CLPI" (Art. 2(40)(g), no (f))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6, fila 4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Doc. ADEX/MIDAGRI/EFI (concluyó: no requisito pertinente a nivel nacional) · Manual PROMPERÚ (origen de la pregunta)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Fuera de IP — verificación aislada, no promedia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Fuera de IV — verificación aislada, no promedia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D4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15. ¿Se verificó cambio de uso de suelo posterior a dic. 2020?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2(13)–(14) — definición y corte de deforestación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5 — "fecha de instalación del cultivo"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geométrica con D3: √(D3×D4)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16. ¿Usa herramientas de monitoreo satelital?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 — evaluación de riesgo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Fig. 4 — GFW, GeoBosques, Satelligence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geométrica con D3: √(D3×D4)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17. ¿Conoce la clasificación de riesgo de su zona?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9/10 — benchmarking país-riesgo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5 — "aumento de deforestación en el distrito"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IP2 — geométrica con D3: √(D3×D4)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D5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18. ¿Existe procedimiento escrito de diligencia debida?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8 — sistema de diligencia debida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Transversal a los 5 pasos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Manual OCDE-FAO (2024)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junto con D8 y D6 parcial: (D8+D5+D6_sistemas)/3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18a. ¿Política de deforestación formal con metas medibles?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8 (recomendación operativa del manual, no artículo textual propio)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1 — política de deforestación (Tabla 1)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Manual PROMPERÚ/BID, Paso 1 (origen de la pregunta)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junto con D8 y D6 parcial: (D8+D5+D6_sistemas)/3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18b. ¿Prioriza riesgos con criterio de probabilidad×impacto?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 — evaluación de riesgo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2.3 — priorización de riesgos (Tabla 10)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Manual PROMPERÚ/BID, Paso 2.3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junto con D8 y D6 parcial: (D8+D5+D6_sistemas)/3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19. ¿Ha elaborado/participado en declaración de diligencia debida?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12 — declaración de diligencia debida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5 — comunicar (parcial)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Manual OCDE-FAO (2024)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junto con D8 y D6 parcial: (D8+D5+D6_sistemas)/3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19a. Componentes del plan de gestión de riesgos (mapeo)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9–11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3 — plan de gestión (Fig. 10, 7 componentes)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Manual PROMPERÚ/BID, Paso 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— mapeo, insumo Instrumento 4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20. ¿Existe responsable designado para el cumplimiento EUDR?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8 — sistema de diligencia debida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Fig. 10, componente 3 — responsables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junto con D8 y D6 parcial: (D8+D5+D6_sistemas)/3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21. ¿Capacitación formal en los últimos 12 meses?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Tabla 1 / Fig. 10, componente 6 — capacitación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junto con D8 y D6 parcial: (D8+D5+D6_sistemas)/3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21a. ¿El plan se revisa con frecuencia definida?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4 — monitoreo (Fig. 11)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Manual PROMPERÚ/BID, Paso 4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junto con D8 y D6 parcial: (D8+D5+D6_sistemas)/3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21b. ¿Elabora y comunica reporte de diligencia debida con KPIs?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12 — contenido de la declaración (parcial)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5 — comunicar (Fig. 12, Tabla 12)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Manual PROMPERÚ/BID, Paso 5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junto con D8 y D6 parcial: (D8+D5+D6_sistemas)/3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D6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22. Presupuesto asignado para cumplimiento EUDR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Fig. 10, componente 2 — recursos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parcial (sistemas de gestión)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23. Digitalización de registros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IP4 directo (junto con D2.9)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24. Conectividad a internet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(identificado como huérfano de IP, ver Remapeo §3.3)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IV4 — invertida: (100−D6.24) — mejor caso de reúso identificado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25. ¿Ha gestionado apoyo externo para adecuarse?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Fig. 10, componente 4 — consulta (tangencial)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parcial (apoyo externo)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D7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26. ¿El comprador ha exigido geolocalización/DD formalmente?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un paso específico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IP5 — aritmética (relación con compradores)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 directo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27. ¿El comprador ofrece financiamiento/asistencia condicionada?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un paso específico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IP5 — aritmética (relación con compradores)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 directo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28. Riesgo percibido de perder el contrato si no cumple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un paso específico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(indicador de urgencia, no de madurez)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IV5 — (100−D7) — match directo con "riesgo de perder el mercado"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D8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29. ¿Asambleas/reuniones informativas sobre EUDR a los socios?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Paso 1 — sensibilización (Tabla 1, match directo)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(match directo "Gobernanza")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 directo (contexto general, no fricción específica)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30. % de socios que entienden por qué se pide geolocalización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"Importancia de la sensibilización" (§ tras Paso 3.2.1)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(match directo "Gobernanza")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 directo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31. ¿Mecanismo interno para que socios entreguen su información?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Fig. 10, componente 4 — consulta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(match directo "Gobernanza")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Candidato a fricción→IV5 (fracción exacta aún no definida, Diseño IV, pendiente)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32. Rotación de la directiva en los últimos 2 años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IP3 — aritmética (match directo "Gobernanza")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Candidato a fricción→IV5 (continuidad — mismo pendiente)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D9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33. Costo de adecuación vs. presupuesto anual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Fig. 10, componente 2 — recursos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IP5 — aritmética ("Financiamiento")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IV4 — invertida, junto con D6.24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34. ¿La adecuación se financió con deuda?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directo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IV4 — invertida, junto con D6.24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35. ¿Riesgo de trasladar el costo al precio pagado al socio?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directo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IV4 — invertida; también variable de resultado vía P6/P7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D10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36. ¿Cree que su certificación ya cubre las obligaciones EUDR?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Art. 30 — match exacto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Fuera de IP — bandera de alerta aparte, nunca absorbida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37. ¿Le han ofrecido una "certificación EUDR" como producto?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existe tal certificación (sin base legal)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corresponde a ningún paso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Fuera de IP — bandera de alerta aparte, nunca absorbida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  <w:t>D11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38. Actores con los que ya tiene contacto o apoyo activo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Fig. 4 — actores y fuentes estatales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Doc. ADEX/MIDAGRI/EFI (GEOSERFOR, SINIA, OEFA, SENASA, BDPI, SUNAT/VUCE)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IP5 recalculado — % actores activos de D11.38, regla propia solo para IP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  <w:tr>
        <w:tc>
          <w:tcPr>
            <w:tcW w:type="dxa" w:w="205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39. Actores conocidos pero no contactados, y por qué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IP directo (insumo Instrumento 4)</w:t>
            </w:r>
          </w:p>
        </w:tc>
        <w:tc>
          <w:tcPr>
            <w:tcW w:type="dxa" w:w="2057"/>
          </w:tcPr>
          <w:p>
            <w:r/>
            <w:r>
              <w:rPr>
                <w:sz w:val="16"/>
              </w:rPr>
              <w:t>No entra a IV</w:t>
            </w:r>
          </w:p>
        </w:tc>
      </w:tr>
    </w:tbl>
    <w:p/>
    <w:p>
      <w:r>
        <w:rPr>
          <w:sz w:val="16"/>
        </w:rPr>
        <w:t>Estado: documento de trabajo, generado desde el .md por generar_matriz_docx.py. Fuente editable: «Matriz de Cobertura Tecnica - Instrumento 2.md». Editar el .md y volver a ejecutar; no editar el .docx a mano.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