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4C"/>
          <w:sz w:val="32"/>
        </w:rPr>
        <w:t>MATRIZ DE COBERTURA TÉCNICA — INSTRUMENTO 2 (NIVEL DE PREGUNTA, RUTA IP/IV SEPARADA)</w:t>
      </w:r>
    </w:p>
    <w:p>
      <w:pPr>
        <w:jc w:val="center"/>
      </w:pPr>
      <w:r>
        <w:rPr>
          <w:i/>
          <w:color w:val="9C6B1F"/>
          <w:sz w:val="20"/>
        </w:rPr>
        <w:t>75 preguntas de Bloque 0, Bloque P y D1–D11, cruzadas contra EUDR, debida diligencia, otras fuentes e ISCAM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720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Dim.</w:t>
            </w:r>
          </w:p>
        </w:tc>
        <w:tc>
          <w:tcPr>
            <w:tcW w:type="dxa" w:w="3384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2520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EUDR</w:t>
            </w:r>
          </w:p>
        </w:tc>
        <w:tc>
          <w:tcPr>
            <w:tcW w:type="dxa" w:w="2664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5 pasos de debida diligencia</w:t>
            </w:r>
          </w:p>
        </w:tc>
        <w:tc>
          <w:tcPr>
            <w:tcW w:type="dxa" w:w="2592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Otras fuentes citadas</w:t>
            </w:r>
          </w:p>
        </w:tc>
        <w:tc>
          <w:tcPr>
            <w:tcW w:type="dxa" w:w="2520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Ruta a IP</w:t>
            </w:r>
          </w:p>
        </w:tc>
        <w:tc>
          <w:tcPr>
            <w:tcW w:type="dxa" w:w="2520"/>
            <w:shd w:val="clear" w:color="auto" w:fill="1F4E4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Ruta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Bloque 0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0.1. Nombre de la cooperativa / razón social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9(1)(a) — identificación del operador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IP (Bloque 0 es identificación, no madurez)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0.2. RUC (clave de deduplicación del marco muestral)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9(1)(a)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(Bloque 0 es identificación, no madurez)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0.3. Producto(s) exportado(s) / código SA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Anexo I — lista de materias primas cubiertas (café, cacao, madera)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(Bloque 0 es identificación, no madurez)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0.4. N.º de socios / hectáreas totales asociadas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3 — "tamaño de finca"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Alimenta IV3 (tamaño de parcela = hectáreas/socios, derivado)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0.5. ¿Exporta directo a la UE o a través de un tercero?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2 — determina el rol (operador / operador posterior)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directo (informa D1)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Alimenta IV2 (vía D1)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0.6. Si es indirecto: ¿quién es el comprador que exporta a la UE?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2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Alimenta IV1 (vía D7)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0.7. Volumen anual aproximado destinado a la UE (%)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9(1) — cantidad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IV1 (estimación rápida, reemplazada por P1/P1b)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0.8. País(es) de destino dentro de la UE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9(1)(c) — país de destino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(Bloque 0 es identificación, no madurez)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directo; alimenta IV1/IV3/IV5 vía preguntas específicas de esta sección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0.9. Certificaciones voluntarias vigentes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30 — no sustituyen la diligencia debida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Fig. 4 / Tabla 5 — certificaciones como criterio de riesgo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IP5 recalculado (Certificaciones, conteo 0/33/66/100)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directo (insumo D10)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0.10. Dispersión geográfica de los socios (insumo IV3)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2.2.2.1.3 — ubicación de acopios (tangencial)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IV3 directo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0.11. Distancia a centro de acopio (insumo IV3)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2.2.2.1.3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IV3 directo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0.12. % de mujeres en la directiva (insumo IV5)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Fig. 10, componente 7 — atención a productoras mujeres (tangencial)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Estudio Vietnam, Team Europe Initiative (2025)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IV5 directo — (100−%mujeres_directiva)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Bloque P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P1. Volumen exportado a la UE en el último año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9(1) — cantidad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IV1 — numerador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P1b. Volumen TOTAL exportado a todos los destinos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IV1 — denominador (cierra brecha, 2026-09-16)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P2. Volumen exportado a la UE hace 3 años (retrospectivo)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(variable de resultado, no de IP/IV)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P3. Ingreso total por ventas de exportación a la UE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IV1 — P1/P1b (numerador/denominador), P4 (concentración = 100/P4)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P4. N.º de compradores europeos activos actualmente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IV1 — concentración = 100/P4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P5. N.º de compradores europeos hace 3 años (retrospectivo)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 (retrospectivo, variable de resultado)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P6. Precio promedio pagado al socio, último año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directo — variable de resultado, conecta D9.35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P7. Precio promedio pagado al socio, hace 3 años (retrospectivo)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IV1 — P1/P1b (numerador/denominador), P4 (concentración = 100/P4)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P8. ¿Lote rechazado/observado por comprador europeo?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3 — consecuencia de no declarar conforme (tangencial)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IV1 — P1/P1b (numerador/denominador), P4 (concentración = 100/P4)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P9. N.º aproximado de lotes rechazados u observados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IV1 — P1/P1b (numerador/denominador), P4 (concentración = 100/P4)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P10. ¿Ha perdido contrato/comprador europeo por incumplimiento?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Objetivo (f) proyecto madre ISCAM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directo — variable de resultado, conecta D7.28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P11. % del volumen exportado con trazabilidad verificada hasta parcela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Comparativa ISA-vs-ISCAM §3.3 — criterio de validación externa ISCAM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directo — se correlaciona contra IP una vez calculado, no es insumo de su fórmula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 directo — mismo tratamiento, criterio de validación externa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P12. N.º de años consecutivos exportando a la UE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Comparativa ISA-vs-ISCAM §3.3 — criterio de validación externa ISCAM (continuidad exportadora)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directo — criterio de validación externa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directo — criterio de validación externa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D1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1. ¿Introduce el producto directo en el mercado UE bajo su propio nombre?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2(15) — definición de "operador"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Fuera de IP (estatus jurídico, no capacidad)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IV2 completo — directo, recodificado 0–100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2. ¿Transforma el producto (trilla, tostado, fermentado, aserrío)?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2 — determina "operador posterior"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Fuera de IP (estatus jurídico, no capacidad)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IV2 completo — directo, recodificado 0–100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3. ¿Sabe con certeza qué rol le corresponde?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2 — las 4 categorías de operador/comerciante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Fuera de IP (estatus jurídico, no capacidad)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IV2 completo — directo, recodificado 0–100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4. ¿Cumple los umbrales de micro/pequeña empresa?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Remite a Directiva 2013/34/UE (vía Art. 2 EUDR)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Fuera de IP (estatus jurídico, no capacidad)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IV2 completo — directo, recodificado 0–100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D2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5. ¿Existe registro de geolocalización (GPS/polígono) por parcela?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9(1)(d) — polígono/punto por parcela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Paso 2.1 — mapeo de cadena de suministro (Tabla 3)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IP1 — directa (Trazabilidad y origen)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6. % de socios con parcela geolocalizada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9(1)(d)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3 — "parcela georreferenciada"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IP1 — directa (Trazabilidad y origen)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7. ¿El sistema vincula lote exportado con parcela(s)?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9(1)(f) — trazabilidad lote-origen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3 — trazabilidad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IP1 — directa (Trazabilidad y origen)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8. ¿Quién levantó la información de geolocalización?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2 — importancia del mapeo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directo (informa D8, dependencia de terceros)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9. Frecuencia de actualización del registro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3 — "evolución de superficie" implica actualización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IP4 (proxy de monitoreo, junto con D6.23)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10. ¿Se mezclan lotes de distinto origen sin registro? (bandera)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10 — prohibición de balance de masas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2.2.2.1.3 — riesgo de mezcla (Fig. 6/7, Tabla 8/9)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IP1 ("Segregación de producto" — D2.10 es ese componente exacto)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D3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11. % de socios con título de propiedad reconocida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Tabla 6 — "tenencia de tierra y uso de suelo"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Paso 2.2.2.1.2 — riesgo de legalidad (Tabla 6)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Doc. ADEX/MIDAGRI/EFI (línea base Cavassa 2022, no verificada)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12. ¿Parcelas superpuestas a áreas protegidas/territorios indígenas?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6 — "tenencia de tierra" (implica CLPI si aplica)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2.2.2.1.2 — riesgo de legalidad (Tabla 6)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Doc. orientador ADEX/MIDAGRI/EFI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13. ¿Se verifica cumplimiento laboral a nivel de finca?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6 — "normas laborales"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2.2.2.1.2 — riesgo de legalidad (Tabla 6)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Doc. orientador ADEX/MIDAGRI/EFI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14. ¿Parcela en zona de desarrollo alternativo/conflicto?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es criterio del reglamento — contexto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IV3 — D3.14 recodificada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14a. ¿Socios con autorización de uso de agua?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3(b) — legislación ambiental pertinente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6 — "permisos ambientales"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Doc. orientador ADEX/MIDAGRI/EFI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14b. ¿Tratamiento de aguas residuales cumple norma ambiental?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3(b)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6 — "permisos ambientales"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Doc. ADEX/MIDAGRI/EFI (Castro y Julca 2020, 10%)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14c. ¿Parcela dentro de faja marginal de río/quebrada/laguna?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3(b)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6 — "permisos ambientales" (extensión)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Doc. ADEX/MIDAGRI/EFI (mapa de fajas marginales, datosabiertos.gob.pe)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14e. ¿Al día en obligaciones tributarias/aduaneras/comerciales?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6 — "normativa tributaria/aduanera/comercial"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2.2.2.1.2 — riesgo de legalidad (Tabla 6)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Manual PROMPERÚ/BID (origen de la pregunta)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14f. ¿Existen mecanismos internos contra la corrupción?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6 — "medidas anticorrupción"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2.2.2.1.2 — riesgo de legalidad (Tabla 6)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Manual PROMPERÚ/BID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IP2 — geométrica con D4: √(D3×D4)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14g. ¿Proceso de CLPI cuando corresponde? (verificación, no promedia)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6 — "CLPI" (Art. 2(40)(f))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6, fila 4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Doc. ADEX/MIDAGRI/EFI (concluyó: no requisito pertinente a nivel nacional) · Manual PROMPERÚ (origen de la pregunta)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Fuera de IP — verificación aislada, no promedia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Fuera de IV — verificación aislada, no promedia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D4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15. ¿Se verificó cambio de uso de suelo posterior a dic. 2020?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2(13)–(14) — definición y corte de deforestación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Tabla 5 — "fecha de instalación del cultivo"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IP2 — geométrica con D3: √(D3×D4)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16. ¿Usa herramientas de monitoreo satelital?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9 — evaluación de riesgo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Fig. 4 — GFW, GeoBosques, Satelligence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IP2 — geométrica con D3: √(D3×D4)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17. ¿Conoce la clasificación de riesgo de su zona?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9/10 — benchmarking país-riesgo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Tabla 5 — "aumento de deforestación en el distrito"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IP2 — geométrica con D3: √(D3×D4)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D5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18. ¿Existe procedimiento escrito de diligencia debida?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8 — sistema de diligencia debida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Transversal a los 5 pasos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Manual OCDE-FAO (2024)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18a. ¿Política de deforestación formal con metas medibles?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8 (recomendación operativa del manual, no artículo textual propio)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1 — política de deforestación (Tabla 1)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Manual PROMPERÚ/BID, Paso 1 (origen de la pregunta)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18b. ¿Prioriza riesgos con criterio de probabilidad×impacto?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9 — evaluación de riesgo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2.3 — priorización de riesgos (Tabla 10)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Manual PROMPERÚ/BID, Paso 2.3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19. ¿Ha elaborado/participado en declaración de diligencia debida?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12 — declaración de diligencia debida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5 — comunicar (parcial)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Manual OCDE-FAO (2024)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19a. Componentes del plan de gestión de riesgos (mapeo)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9–11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3 — plan de gestión (Fig. 10, 7 componentes)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Manual PROMPERÚ/BID, Paso 3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— mapeo, insumo Instrumento 4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20. ¿Existe responsable designado para el cumplimiento EUDR?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Art. 8 — sistema de diligencia debida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Fig. 10, componente 3 — responsables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21. ¿Capacitación formal en los últimos 12 meses?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Tabla 1 / Fig. 10, componente 6 — capacitación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21a. ¿El plan se revisa con frecuencia definida?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Paso 4 — monitoreo (Fig. 11)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Manual PROMPERÚ/BID, Paso 4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21b. ¿Elabora y comunica reporte de diligencia debida con KPIs?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Art. 12 — contenido de la declaración (parcial)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Paso 5 — comunicar (Fig. 12, Tabla 12)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Manual PROMPERÚ/BID, Paso 5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IP3 — aritmética junto con D8 y D6 parcial: (D8+D5+D6_sistemas)/3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D6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22. Presupuesto asignado para cumplimiento EUDR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Fig. 10, componente 2 — recursos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IP3 parcial (sistemas de gestión)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23. Digitalización de registros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IP4 directo (junto con D2.9)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24. Conectividad a internet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(identificado como huérfano de IP, ver Remapeo §3.3)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IV4 — invertida: (100−D6.24) — mejor caso de reúso identificado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25. ¿Ha gestionado apoyo externo para adecuarse?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Fig. 10, componente 4 — consulta (tangencial)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IP3 parcial (apoyo externo)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D7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26. ¿El comprador ha exigido geolocalización/DD formalmente?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IP5 — aritmética (relación con compradores)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 directo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27. ¿El comprador ofrece financiamiento/asistencia condicionada?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IP5 — aritmética (relación con compradores)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 directo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28. Riesgo percibido de perder el contrato si no cumple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No corresponde a un paso específico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(indicador de urgencia, no de madurez)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IV5 — (100−D7) — match directo con "riesgo de perder el mercado"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D8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29. ¿Asambleas/reuniones informativas sobre EUDR a los socios?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Paso 1 — sensibilización (Tabla 1, match directo)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IP3 — aritmética (match directo "Gobernanza")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 directo (contexto general, no fricción específica)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30. % de socios que entienden por qué se pide geolocalización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"Importancia de la sensibilización" (§ tras Paso 3.2.1)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(match directo "Gobernanza")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IV directo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31. ¿Mecanismo interno para que socios entreguen su información?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Fig. 10, componente 4 — consulta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IP3 — aritmética (match directo "Gobernanza")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Candidato a fricción→IV5 (fracción exacta aún no definida, Diseño IV, pendiente)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32. Rotación de la directiva en los últimos 2 años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IP3 — aritmética (match directo "Gobernanza")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Candidato a fricción→IV5 (continuidad — mismo pendiente)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D9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33. Costo de adecuación vs. presupuesto anual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Fig. 10, componente 2 — recursos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IP5 — aritmética ("Financiamiento")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IV4 — invertida, junto con D6.24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FFFFF"/>
          </w:tcPr>
          <w:p>
            <w:r/>
            <w:r>
              <w:rPr>
                <w:b w:val="0"/>
                <w:color w:val="222222"/>
                <w:sz w:val="14"/>
              </w:rPr>
              <w:t>34. ¿La adecuación se financió con deuda?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No entra a IP directo</w:t>
            </w:r>
          </w:p>
        </w:tc>
        <w:tc>
          <w:tcPr>
            <w:tcW w:type="dxa" w:w="2520"/>
            <w:shd w:val="clear" w:color="auto" w:fill="FFFFFF"/>
          </w:tcPr>
          <w:p>
            <w:r/>
            <w:r>
              <w:rPr>
                <w:b w:val="0"/>
                <w:sz w:val="14"/>
              </w:rPr>
              <w:t>IV4 — invertida, junto con D6.24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35. ¿Riesgo de trasladar el costo al precio pagado al socio?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directo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IV4 — invertida; también variable de resultado vía P6/P7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D10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36. ¿Cree que su certificación ya cubre las obligaciones EUDR?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Art. 30 — match exacto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Fuera de IP — bandera de alerta aparte, nunca absorbida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37. ¿Le han ofrecido una "certificación EUDR" como producto?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existe tal certificación (sin base legal)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No corresponde a ningún paso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Fuera de IP — bandera de alerta aparte, nunca absorbida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E4DCC9"/>
          </w:tcPr>
          <w:p>
            <w:r/>
            <w:r>
              <w:rPr>
                <w:b/>
                <w:color w:val="1F4E4C"/>
                <w:sz w:val="15"/>
              </w:rPr>
              <w:t>D11</w:t>
            </w:r>
          </w:p>
        </w:tc>
        <w:tc>
          <w:tcPr>
            <w:tcW w:type="dxa" w:w="3384"/>
            <w:shd w:val="clear" w:color="auto" w:fill="E4DCC9"/>
          </w:tcPr>
          <w:p>
            <w:r/>
            <w:r>
              <w:rPr>
                <w:b w:val="0"/>
                <w:color w:val="222222"/>
                <w:sz w:val="14"/>
              </w:rPr>
              <w:t>38. Actores con los que ya tiene contacto o apoyo activo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E4DCC9"/>
          </w:tcPr>
          <w:p>
            <w:r/>
            <w:r>
              <w:rPr>
                <w:b w:val="0"/>
                <w:sz w:val="14"/>
              </w:rPr>
              <w:t>Fig. 4 — actores y fuentes estatales</w:t>
            </w:r>
          </w:p>
        </w:tc>
        <w:tc>
          <w:tcPr>
            <w:tcW w:type="dxa" w:w="2592"/>
            <w:shd w:val="clear" w:color="auto" w:fill="E4DCC9"/>
          </w:tcPr>
          <w:p>
            <w:r/>
            <w:r>
              <w:rPr>
                <w:b w:val="0"/>
                <w:sz w:val="14"/>
              </w:rPr>
              <w:t>Doc. ADEX/MIDAGRI/EFI (GEOSERFOR, SINIA, OEFA, SENASA, BDPI, SUNAT/VUCE)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IP5 recalculado — % actores activos de D11.38, regla propia solo para IP</w:t>
            </w:r>
          </w:p>
        </w:tc>
        <w:tc>
          <w:tcPr>
            <w:tcW w:type="dxa" w:w="2520"/>
            <w:shd w:val="clear" w:color="auto" w:fill="E4DCC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  <w:tr>
        <w:tc>
          <w:tcPr>
            <w:tcW w:type="dxa" w:w="720"/>
            <w:shd w:val="clear" w:color="auto" w:fill="F2EFE9"/>
          </w:tcPr>
          <w:p>
            <w:r/>
            <w:r>
              <w:rPr>
                <w:b/>
                <w:color w:val="1F4E4C"/>
                <w:sz w:val="15"/>
              </w:rPr>
            </w:r>
          </w:p>
        </w:tc>
        <w:tc>
          <w:tcPr>
            <w:tcW w:type="dxa" w:w="3384"/>
            <w:shd w:val="clear" w:color="auto" w:fill="F2EFE9"/>
          </w:tcPr>
          <w:p>
            <w:r/>
            <w:r>
              <w:rPr>
                <w:b w:val="0"/>
                <w:color w:val="222222"/>
                <w:sz w:val="14"/>
              </w:rPr>
              <w:t>39. Actores conocidos pero no contactados, y por qué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664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92"/>
            <w:shd w:val="clear" w:color="auto" w:fill="F2EFE9"/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IP directo (insumo Instrumento 4)</w:t>
            </w:r>
          </w:p>
        </w:tc>
        <w:tc>
          <w:tcPr>
            <w:tcW w:type="dxa" w:w="2520"/>
            <w:shd w:val="clear" w:color="auto" w:fill="F2EFE9"/>
          </w:tcPr>
          <w:p>
            <w:r/>
            <w:r>
              <w:rPr>
                <w:b w:val="0"/>
                <w:sz w:val="14"/>
              </w:rPr>
              <w:t>No entra a IV</w:t>
            </w:r>
          </w:p>
        </w:tc>
      </w:tr>
    </w:tbl>
    <w:p/>
    <w:p>
      <w:r>
        <w:rPr>
          <w:i/>
          <w:color w:val="666666"/>
          <w:sz w:val="15"/>
        </w:rPr>
        <w:t>Estado: documento de trabajo, 2026-09-17. Fuente editable: matriz_data.py + "Matriz de Cobertura Tecnica - Instrumento 2.md". Regla de herencia: una celda sin relación textual propia hereda el valor general de su dimensión; se muestra un valor propio cuando la pregunta tiene una relación más específica (ej. D2.10 con el Art. 10, en vez del Art. 9 genérico de D2).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