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B5E20"/>
          <w:sz w:val="28"/>
        </w:rPr>
        <w:t>SCORECARD EUDR — COOPERATIVA EXPORTADORA</w:t>
      </w:r>
    </w:p>
    <w:p>
      <w:pPr>
        <w:jc w:val="center"/>
      </w:pPr>
      <w:r>
        <w:rPr>
          <w:b/>
          <w:i w:val="0"/>
          <w:color w:val="2E7D32"/>
          <w:sz w:val="24"/>
        </w:rPr>
        <w:t>ASOCIACION DE PRODUCTORES CERRO BLANCO</w:t>
      </w:r>
    </w:p>
    <w:p>
      <w:pPr>
        <w:jc w:val="center"/>
      </w:pPr>
      <w:r>
        <w:rPr>
          <w:b w:val="0"/>
          <w:i w:val="0"/>
          <w:color w:val="666666"/>
          <w:sz w:val="18"/>
        </w:rPr>
        <w:t>RUC: 20606451122  |  FOB 2024-2025: US$ 864,648  |  Items DUA: 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E3F2FD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EXPOSICIÓN EU</w:t>
              <w:br/>
            </w:r>
            <w:r>
              <w:rPr>
                <w:b/>
                <w:i w:val="0"/>
                <w:color w:val="0D47A1"/>
                <w:sz w:val="22"/>
              </w:rPr>
              <w:t>1 países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OPERACIONES</w:t>
              <w:br/>
            </w:r>
            <w:r>
              <w:rPr>
                <w:b/>
                <w:i w:val="0"/>
                <w:color w:val="2E7D32"/>
                <w:sz w:val="22"/>
              </w:rPr>
              <w:t>7 DUAs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VOLUMEN</w:t>
              <w:br/>
            </w:r>
            <w:r>
              <w:rPr>
                <w:b/>
                <w:i w:val="0"/>
                <w:color w:val="2E7D32"/>
                <w:sz w:val="22"/>
              </w:rPr>
              <w:t>58,121 kg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ITEMS DUA</w:t>
              <w:br/>
            </w:r>
            <w:r>
              <w:rPr>
                <w:b/>
                <w:i w:val="0"/>
                <w:color w:val="2E7D32"/>
                <w:sz w:val="22"/>
              </w:rPr>
              <w:t>14 líneas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SUBPARTIDAS</w:t>
              <w:br/>
            </w:r>
            <w:r>
              <w:rPr>
                <w:b/>
                <w:i w:val="0"/>
                <w:color w:val="2E7D32"/>
                <w:sz w:val="22"/>
              </w:rPr>
              <w:t>0 códigos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AÑOS EXPORT.</w:t>
              <w:br/>
            </w:r>
            <w:r>
              <w:rPr>
                <w:b/>
                <w:i w:val="0"/>
                <w:color w:val="2E7D32"/>
                <w:sz w:val="22"/>
              </w:rPr>
              <w:t>—–2025</w:t>
            </w:r>
          </w:p>
        </w:tc>
      </w:tr>
      <w:tr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</w:tr>
    </w:tbl>
    <w:p/>
    <w:p>
      <w:r>
        <w:rPr>
          <w:b/>
          <w:i w:val="0"/>
          <w:color w:val="1B5E20"/>
          <w:sz w:val="20"/>
        </w:rPr>
        <w:t>MATRIZ DE PREPARACIÓN EUDR (D1–D11)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DIM</w:t>
            </w:r>
          </w:p>
        </w:tc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DIMENSIÓN</w:t>
            </w:r>
          </w:p>
        </w:tc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EVIDENCIA DUA / ADMIN</w:t>
            </w:r>
          </w:p>
        </w:tc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SCORE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D1</w:t>
            </w:r>
            <w:r>
              <w:rPr>
                <w:b/>
                <w:i w:val="0"/>
                <w:sz w:val="16"/>
              </w:rPr>
              <w:t>D1</w:t>
            </w:r>
          </w:p>
        </w:tc>
        <w:tc>
          <w:tcPr>
            <w:tcW w:type="dxa" w:w="2635"/>
            <w:shd w:val="clear" w:color="auto" w:fill="F5F5F5"/>
          </w:tcPr>
          <w:p>
            <w:r>
              <w:t>Trazabilidad lotes</w:t>
            </w:r>
            <w:r>
              <w:rPr>
                <w:b w:val="0"/>
                <w:i w:val="0"/>
                <w:sz w:val="16"/>
              </w:rPr>
              <w:t>Trazabilidad lotes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D2</w:t>
            </w:r>
            <w:r>
              <w:rPr>
                <w:b/>
                <w:i w:val="0"/>
                <w:sz w:val="16"/>
              </w:rPr>
              <w:t>D2</w:t>
            </w:r>
          </w:p>
        </w:tc>
        <w:tc>
          <w:tcPr>
            <w:tcW w:type="dxa" w:w="2635"/>
          </w:tcPr>
          <w:p>
            <w:r>
              <w:t>Registro productores</w:t>
            </w:r>
            <w:r>
              <w:rPr>
                <w:b w:val="0"/>
                <w:i w:val="0"/>
                <w:sz w:val="16"/>
              </w:rPr>
              <w:t>Registro productores</w:t>
            </w:r>
          </w:p>
        </w:tc>
        <w:tc>
          <w:tcPr>
            <w:tcW w:type="dxa" w:w="2635"/>
          </w:tcPr>
          <w:p>
            <w:r>
              <w:t>DUA: marca=2, lote=0, contrato=0</w:t>
            </w:r>
            <w:r>
              <w:rPr>
                <w:b w:val="0"/>
                <w:i w:val="0"/>
                <w:sz w:val="14"/>
              </w:rPr>
              <w:t>DUA: marca=2, lote=0, contrato=0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EF6C00"/>
                <w:sz w:val="18"/>
              </w:rPr>
              <w:t>0%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D3</w:t>
            </w:r>
            <w:r>
              <w:rPr>
                <w:b/>
                <w:i w:val="0"/>
                <w:sz w:val="16"/>
              </w:rPr>
              <w:t>D3</w:t>
            </w:r>
          </w:p>
        </w:tc>
        <w:tc>
          <w:tcPr>
            <w:tcW w:type="dxa" w:w="2635"/>
            <w:shd w:val="clear" w:color="auto" w:fill="F5F5F5"/>
          </w:tcPr>
          <w:p>
            <w:r>
              <w:t>Monitoreo deforest.</w:t>
            </w:r>
            <w:r>
              <w:rPr>
                <w:b w:val="0"/>
                <w:i w:val="0"/>
                <w:sz w:val="16"/>
              </w:rPr>
              <w:t>Monitoreo deforest.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D4</w:t>
            </w:r>
            <w:r>
              <w:rPr>
                <w:b/>
                <w:i w:val="0"/>
                <w:sz w:val="16"/>
              </w:rPr>
              <w:t>D4</w:t>
            </w:r>
          </w:p>
        </w:tc>
        <w:tc>
          <w:tcPr>
            <w:tcW w:type="dxa" w:w="2635"/>
          </w:tcPr>
          <w:p>
            <w:r>
              <w:t>Manejo ambiental</w:t>
            </w:r>
            <w:r>
              <w:rPr>
                <w:b w:val="0"/>
                <w:i w:val="0"/>
                <w:sz w:val="16"/>
              </w:rPr>
              <w:t>Manejo ambiental</w:t>
            </w:r>
          </w:p>
        </w:tc>
        <w:tc>
          <w:tcPr>
            <w:tcW w:type="dxa" w:w="263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D5</w:t>
            </w:r>
            <w:r>
              <w:rPr>
                <w:b/>
                <w:i w:val="0"/>
                <w:sz w:val="16"/>
              </w:rPr>
              <w:t>D5</w:t>
            </w:r>
          </w:p>
        </w:tc>
        <w:tc>
          <w:tcPr>
            <w:tcW w:type="dxa" w:w="2635"/>
            <w:shd w:val="clear" w:color="auto" w:fill="F5F5F5"/>
          </w:tcPr>
          <w:p>
            <w:r>
              <w:t>Condiciones laborales</w:t>
            </w:r>
            <w:r>
              <w:rPr>
                <w:b w:val="0"/>
                <w:i w:val="0"/>
                <w:sz w:val="16"/>
              </w:rPr>
              <w:t>Condiciones laborales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D6</w:t>
            </w:r>
            <w:r>
              <w:rPr>
                <w:b/>
                <w:i w:val="0"/>
                <w:sz w:val="16"/>
              </w:rPr>
              <w:t>D6</w:t>
            </w:r>
          </w:p>
        </w:tc>
        <w:tc>
          <w:tcPr>
            <w:tcW w:type="dxa" w:w="2635"/>
          </w:tcPr>
          <w:p>
            <w:r>
              <w:t>No trabajo infantil</w:t>
            </w:r>
            <w:r>
              <w:rPr>
                <w:b w:val="0"/>
                <w:i w:val="0"/>
                <w:sz w:val="16"/>
              </w:rPr>
              <w:t>No trabajo infantil</w:t>
            </w:r>
          </w:p>
        </w:tc>
        <w:tc>
          <w:tcPr>
            <w:tcW w:type="dxa" w:w="263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D7</w:t>
            </w:r>
            <w:r>
              <w:rPr>
                <w:b/>
                <w:i w:val="0"/>
                <w:sz w:val="16"/>
              </w:rPr>
              <w:t>D7</w:t>
            </w:r>
          </w:p>
        </w:tc>
        <w:tc>
          <w:tcPr>
            <w:tcW w:type="dxa" w:w="2635"/>
            <w:shd w:val="clear" w:color="auto" w:fill="F5F5F5"/>
          </w:tcPr>
          <w:p>
            <w:r>
              <w:t>Seguridad ocupacional</w:t>
            </w:r>
            <w:r>
              <w:rPr>
                <w:b w:val="0"/>
                <w:i w:val="0"/>
                <w:sz w:val="16"/>
              </w:rPr>
              <w:t>Seguridad ocupacional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D8</w:t>
            </w:r>
            <w:r>
              <w:rPr>
                <w:b/>
                <w:i w:val="0"/>
                <w:sz w:val="16"/>
              </w:rPr>
              <w:t>D8</w:t>
            </w:r>
          </w:p>
        </w:tc>
        <w:tc>
          <w:tcPr>
            <w:tcW w:type="dxa" w:w="2635"/>
          </w:tcPr>
          <w:p>
            <w:r>
              <w:t>Antigüedad/Socios</w:t>
            </w:r>
            <w:r>
              <w:rPr>
                <w:b w:val="0"/>
                <w:i w:val="0"/>
                <w:sz w:val="16"/>
              </w:rPr>
              <w:t>Antigüedad/Socios</w:t>
            </w:r>
          </w:p>
        </w:tc>
        <w:tc>
          <w:tcPr>
            <w:tcW w:type="dxa" w:w="2635"/>
          </w:tcPr>
          <w:p>
            <w:r>
              <w:t>? años, ? socios</w:t>
            </w:r>
            <w:r>
              <w:rPr>
                <w:b w:val="0"/>
                <w:i w:val="0"/>
                <w:sz w:val="14"/>
              </w:rPr>
              <w:t>? años, ? socios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—</w:t>
            </w:r>
            <w:r>
              <w:rPr>
                <w:b/>
                <w:i w:val="0"/>
                <w:color w:val="2E7D32"/>
                <w:sz w:val="18"/>
              </w:rPr>
              <w:t>—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D9</w:t>
            </w:r>
            <w:r>
              <w:rPr>
                <w:b/>
                <w:i w:val="0"/>
                <w:sz w:val="16"/>
              </w:rPr>
              <w:t>D9</w:t>
            </w:r>
          </w:p>
        </w:tc>
        <w:tc>
          <w:tcPr>
            <w:tcW w:type="dxa" w:w="2635"/>
            <w:shd w:val="clear" w:color="auto" w:fill="F5F5F5"/>
          </w:tcPr>
          <w:p>
            <w:r>
              <w:t>Capacidad export.</w:t>
            </w:r>
            <w:r>
              <w:rPr>
                <w:b w:val="0"/>
                <w:i w:val="0"/>
                <w:sz w:val="16"/>
              </w:rPr>
              <w:t>Capacidad export.</w:t>
            </w:r>
          </w:p>
        </w:tc>
        <w:tc>
          <w:tcPr>
            <w:tcW w:type="dxa" w:w="2635"/>
            <w:shd w:val="clear" w:color="auto" w:fill="F5F5F5"/>
          </w:tcPr>
          <w:p>
            <w:r>
              <w:t>? ops, ? países</w:t>
            </w:r>
            <w:r>
              <w:rPr>
                <w:b w:val="0"/>
                <w:i w:val="0"/>
                <w:sz w:val="14"/>
              </w:rPr>
              <w:t>? ops, ? países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—</w:t>
            </w:r>
            <w:r>
              <w:rPr>
                <w:b/>
                <w:i w:val="0"/>
                <w:color w:val="2E7D32"/>
                <w:sz w:val="18"/>
              </w:rPr>
              <w:t>—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D10</w:t>
            </w:r>
            <w:r>
              <w:rPr>
                <w:b/>
                <w:i w:val="0"/>
                <w:sz w:val="16"/>
              </w:rPr>
              <w:t>D10</w:t>
            </w:r>
          </w:p>
        </w:tc>
        <w:tc>
          <w:tcPr>
            <w:tcW w:type="dxa" w:w="2635"/>
          </w:tcPr>
          <w:p>
            <w:r>
              <w:t>Certificaciones</w:t>
            </w:r>
            <w:r>
              <w:rPr>
                <w:b w:val="0"/>
                <w:i w:val="0"/>
                <w:sz w:val="16"/>
              </w:rPr>
              <w:t>Certificaciones</w:t>
            </w:r>
          </w:p>
        </w:tc>
        <w:tc>
          <w:tcPr>
            <w:tcW w:type="dxa" w:w="2635"/>
          </w:tcPr>
          <w:p>
            <w:r>
              <w:t>Org:2 FT:0 RF:0 UTZ:0</w:t>
            </w:r>
            <w:r>
              <w:rPr>
                <w:b w:val="0"/>
                <w:i w:val="0"/>
                <w:sz w:val="14"/>
              </w:rPr>
              <w:t>Org:2 FT:0 RF:0 UTZ:0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2E7D32"/>
                <w:sz w:val="18"/>
              </w:rPr>
              <w:t>0%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D11</w:t>
            </w:r>
            <w:r>
              <w:rPr>
                <w:b/>
                <w:i w:val="0"/>
                <w:sz w:val="16"/>
              </w:rPr>
              <w:t>D11</w:t>
            </w:r>
          </w:p>
        </w:tc>
        <w:tc>
          <w:tcPr>
            <w:tcW w:type="dxa" w:w="2635"/>
            <w:shd w:val="clear" w:color="auto" w:fill="F5F5F5"/>
          </w:tcPr>
          <w:p>
            <w:r>
              <w:t>Volumen FOB</w:t>
            </w:r>
            <w:r>
              <w:rPr>
                <w:b w:val="0"/>
                <w:i w:val="0"/>
                <w:sz w:val="16"/>
              </w:rPr>
              <w:t>Volumen FOB</w:t>
            </w:r>
          </w:p>
        </w:tc>
        <w:tc>
          <w:tcPr>
            <w:tcW w:type="dxa" w:w="2635"/>
            <w:shd w:val="clear" w:color="auto" w:fill="F5F5F5"/>
          </w:tcPr>
          <w:p>
            <w:r>
              <w:t>US$ 864,648</w:t>
            </w:r>
            <w:r>
              <w:rPr>
                <w:b w:val="0"/>
                <w:i w:val="0"/>
                <w:sz w:val="14"/>
              </w:rPr>
              <w:t>US$ 864,648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—</w:t>
            </w:r>
            <w:r>
              <w:rPr>
                <w:b/>
                <w:i w:val="0"/>
                <w:color w:val="2E7D32"/>
                <w:sz w:val="18"/>
              </w:rPr>
              <w:t>—</w:t>
            </w:r>
          </w:p>
        </w:tc>
      </w:tr>
    </w:tbl>
    <w:p/>
    <w:p>
      <w:r>
        <w:rPr>
          <w:b/>
          <w:i w:val="0"/>
          <w:color w:val="1B5E20"/>
          <w:sz w:val="20"/>
        </w:rPr>
        <w:t>PERFIL DE EMPAQUE Y CALIDAD FÍSICA (DUA)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F5F5F5"/>
          </w:tcPr>
          <w:p>
            <w:r>
              <w:t>Empaque bolsa (sacos)</w:t>
            </w:r>
            <w:r>
              <w:rPr>
                <w:b/>
                <w:i w:val="0"/>
                <w:sz w:val="16"/>
              </w:rPr>
              <w:t>Empaque bolsa (sacos)</w:t>
            </w:r>
          </w:p>
        </w:tc>
        <w:tc>
          <w:tcPr>
            <w:tcW w:type="dxa" w:w="5270"/>
            <w:shd w:val="clear" w:color="auto" w:fill="F5F5F5"/>
          </w:tcPr>
          <w:p>
            <w:r>
              <w:t>13 items (92.9%)</w:t>
            </w:r>
            <w:r>
              <w:rPr>
                <w:b w:val="0"/>
                <w:i w:val="0"/>
                <w:sz w:val="16"/>
              </w:rPr>
              <w:t>13 items (92.9%)</w:t>
            </w:r>
          </w:p>
        </w:tc>
      </w:tr>
      <w:tr>
        <w:tc>
          <w:tcPr>
            <w:tcW w:type="dxa" w:w="5270"/>
          </w:tcPr>
          <w:p>
            <w:r>
              <w:t>Empaque granel</w:t>
            </w:r>
            <w:r>
              <w:rPr>
                <w:b/>
                <w:i w:val="0"/>
                <w:sz w:val="16"/>
              </w:rPr>
              <w:t>Empaque granel</w:t>
            </w:r>
          </w:p>
        </w:tc>
        <w:tc>
          <w:tcPr>
            <w:tcW w:type="dxa" w:w="5270"/>
          </w:tcPr>
          <w:p>
            <w:r>
              <w:t>0 items (0.0%)</w:t>
            </w:r>
            <w:r>
              <w:rPr>
                <w:b w:val="0"/>
                <w:i w:val="0"/>
                <w:sz w:val="16"/>
              </w:rPr>
              <w:t>0 items (0.0%)</w:t>
            </w:r>
          </w:p>
        </w:tc>
      </w:tr>
      <w:tr>
        <w:tc>
          <w:tcPr>
            <w:tcW w:type="dxa" w:w="5270"/>
            <w:shd w:val="clear" w:color="auto" w:fill="F5F5F5"/>
          </w:tcPr>
          <w:p>
            <w:r>
              <w:t>Estado: en grano</w:t>
            </w:r>
            <w:r>
              <w:rPr>
                <w:b/>
                <w:i w:val="0"/>
                <w:sz w:val="16"/>
              </w:rPr>
              <w:t>Estado: en grano</w:t>
            </w:r>
          </w:p>
        </w:tc>
        <w:tc>
          <w:tcPr>
            <w:tcW w:type="dxa" w:w="5270"/>
            <w:shd w:val="clear" w:color="auto" w:fill="F5F5F5"/>
          </w:tcPr>
          <w:p>
            <w:r>
              <w:t>14 items (100.0%)</w:t>
            </w:r>
            <w:r>
              <w:rPr>
                <w:b w:val="0"/>
                <w:i w:val="0"/>
                <w:sz w:val="16"/>
              </w:rPr>
              <w:t>14 items (100.0%)</w:t>
            </w:r>
          </w:p>
        </w:tc>
      </w:tr>
      <w:tr>
        <w:tc>
          <w:tcPr>
            <w:tcW w:type="dxa" w:w="5270"/>
          </w:tcPr>
          <w:p>
            <w:r>
              <w:t>Proceso: lavado (washed)</w:t>
            </w:r>
            <w:r>
              <w:rPr>
                <w:b/>
                <w:i w:val="0"/>
                <w:sz w:val="16"/>
              </w:rPr>
              <w:t>Proceso: lavado (washed)</w:t>
            </w:r>
          </w:p>
        </w:tc>
        <w:tc>
          <w:tcPr>
            <w:tcW w:type="dxa" w:w="5270"/>
          </w:tcPr>
          <w:p>
            <w:r>
              <w:t>9 items (64.3%)</w:t>
            </w:r>
            <w:r>
              <w:rPr>
                <w:b w:val="0"/>
                <w:i w:val="0"/>
                <w:sz w:val="16"/>
              </w:rPr>
              <w:t>9 items (64.3%)</w:t>
            </w:r>
          </w:p>
        </w:tc>
      </w:tr>
      <w:tr>
        <w:tc>
          <w:tcPr>
            <w:tcW w:type="dxa" w:w="5270"/>
            <w:shd w:val="clear" w:color="auto" w:fill="F5F5F5"/>
          </w:tcPr>
          <w:p>
            <w:r>
              <w:t>Proceso: natural/honey</w:t>
            </w:r>
            <w:r>
              <w:rPr>
                <w:b/>
                <w:i w:val="0"/>
                <w:sz w:val="16"/>
              </w:rPr>
              <w:t>Proceso: natural/honey</w:t>
            </w:r>
          </w:p>
        </w:tc>
        <w:tc>
          <w:tcPr>
            <w:tcW w:type="dxa" w:w="5270"/>
            <w:shd w:val="clear" w:color="auto" w:fill="F5F5F5"/>
          </w:tcPr>
          <w:p>
            <w:r>
              <w:t>0 items</w:t>
            </w:r>
            <w:r>
              <w:rPr>
                <w:b w:val="0"/>
                <w:i w:val="0"/>
                <w:sz w:val="16"/>
              </w:rPr>
              <w:t>0 items</w:t>
            </w:r>
          </w:p>
        </w:tc>
      </w:tr>
      <w:tr>
        <w:tc>
          <w:tcPr>
            <w:tcW w:type="dxa" w:w="5270"/>
          </w:tcPr>
          <w:p>
            <w:r>
              <w:t>Orgánico certificado</w:t>
            </w:r>
            <w:r>
              <w:rPr>
                <w:b/>
                <w:i w:val="0"/>
                <w:sz w:val="16"/>
              </w:rPr>
              <w:t>Orgánico certificado</w:t>
            </w:r>
          </w:p>
        </w:tc>
        <w:tc>
          <w:tcPr>
            <w:tcW w:type="dxa" w:w="5270"/>
          </w:tcPr>
          <w:p>
            <w:r>
              <w:t>2 items (14.3%)</w:t>
            </w:r>
            <w:r>
              <w:rPr>
                <w:b w:val="0"/>
                <w:i w:val="0"/>
                <w:sz w:val="16"/>
              </w:rPr>
              <w:t>2 items (14.3%)</w:t>
            </w:r>
          </w:p>
        </w:tc>
      </w:tr>
      <w:tr>
        <w:tc>
          <w:tcPr>
            <w:tcW w:type="dxa" w:w="5270"/>
            <w:shd w:val="clear" w:color="auto" w:fill="F5F5F5"/>
          </w:tcPr>
          <w:p>
            <w:r>
              <w:t>Fairtrade certificado</w:t>
            </w:r>
            <w:r>
              <w:rPr>
                <w:b/>
                <w:i w:val="0"/>
                <w:sz w:val="16"/>
              </w:rPr>
              <w:t>Fairtrade certificado</w:t>
            </w:r>
          </w:p>
        </w:tc>
        <w:tc>
          <w:tcPr>
            <w:tcW w:type="dxa" w:w="5270"/>
            <w:shd w:val="clear" w:color="auto" w:fill="F5F5F5"/>
          </w:tcPr>
          <w:p>
            <w:r>
              <w:t>0 items (0.0%)</w:t>
            </w:r>
            <w:r>
              <w:rPr>
                <w:b w:val="0"/>
                <w:i w:val="0"/>
                <w:sz w:val="16"/>
              </w:rPr>
              <w:t>0 items (0.0%)</w:t>
            </w:r>
          </w:p>
        </w:tc>
      </w:tr>
      <w:tr>
        <w:tc>
          <w:tcPr>
            <w:tcW w:type="dxa" w:w="5270"/>
          </w:tcPr>
          <w:p>
            <w:r>
              <w:t>Trazabilidad: marca/lote/contrato</w:t>
            </w:r>
            <w:r>
              <w:rPr>
                <w:b/>
                <w:i w:val="0"/>
                <w:sz w:val="16"/>
              </w:rPr>
              <w:t>Trazabilidad: marca/lote/contrato</w:t>
            </w:r>
          </w:p>
        </w:tc>
        <w:tc>
          <w:tcPr>
            <w:tcW w:type="dxa" w:w="5270"/>
          </w:tcPr>
          <w:p>
            <w:r>
              <w:t>Marca: 2 | Lote: 0 | Contrato: 0</w:t>
            </w:r>
            <w:r>
              <w:rPr>
                <w:b w:val="0"/>
                <w:i w:val="0"/>
                <w:sz w:val="16"/>
              </w:rPr>
              <w:t>Marca: 2 | Lote: 0 | Contrato: 0</w:t>
            </w:r>
          </w:p>
        </w:tc>
      </w:tr>
    </w:tbl>
    <w:p/>
    <w:p>
      <w:r>
        <w:rPr>
          <w:b/>
          <w:i w:val="0"/>
          <w:color w:val="1B5E20"/>
          <w:sz w:val="20"/>
        </w:rPr>
        <w:t>MERCADOS Y CLASIFICACIÓN ARANCELARIA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>
              <w:t>Países destino</w:t>
            </w:r>
            <w:r>
              <w:rPr>
                <w:b/>
                <w:i w:val="0"/>
                <w:sz w:val="16"/>
              </w:rPr>
              <w:t>Países destino</w:t>
            </w:r>
          </w:p>
        </w:tc>
        <w:tc>
          <w:tcPr>
            <w:tcW w:type="dxa" w:w="5270"/>
          </w:tcPr>
          <w:p>
            <w:r>
              <w:t>VERDE</w:t>
            </w:r>
            <w:r>
              <w:rPr>
                <w:b w:val="0"/>
                <w:i w:val="0"/>
                <w:sz w:val="14"/>
              </w:rPr>
              <w:t>VERDE</w:t>
            </w:r>
          </w:p>
        </w:tc>
      </w:tr>
      <w:tr>
        <w:tc>
          <w:tcPr>
            <w:tcW w:type="dxa" w:w="5270"/>
          </w:tcPr>
          <w:p>
            <w:r>
              <w:t>Subpartidas (HS)</w:t>
            </w:r>
            <w:r>
              <w:rPr>
                <w:b/>
                <w:i w:val="0"/>
                <w:sz w:val="16"/>
              </w:rPr>
              <w:t>Subpartidas (HS)</w:t>
            </w:r>
          </w:p>
        </w:tc>
        <w:tc>
          <w:tcPr>
            <w:tcW w:type="dxa" w:w="5270"/>
          </w:tcPr>
          <w:p>
            <w:r>
              <w:t>—</w:t>
            </w:r>
            <w:r>
              <w:rPr>
                <w:b w:val="0"/>
                <w:i w:val="0"/>
                <w:sz w:val="14"/>
              </w:rPr>
              <w:t>—</w:t>
            </w:r>
          </w:p>
        </w:tc>
      </w:tr>
    </w:tbl>
    <w:p/>
    <w:p>
      <w:r>
        <w:rPr>
          <w:b/>
          <w:i w:val="0"/>
          <w:color w:val="C62828"/>
          <w:sz w:val="20"/>
        </w:rPr>
        <w:t>ALERTAS DE RIESGO EUDR</w:t>
      </w:r>
    </w:p>
    <w:p>
      <w:pPr>
        <w:pStyle w:val="ListBullet"/>
      </w:pPr>
      <w:r>
        <w:rPr>
          <w:b w:val="0"/>
          <w:i w:val="0"/>
          <w:color w:val="EF6C00"/>
          <w:sz w:val="16"/>
        </w:rPr>
        <w:t>⚠ Sin destino UE confirmado en muestra DUA</w:t>
      </w:r>
    </w:p>
    <w:p>
      <w:pPr>
        <w:pStyle w:val="ListBullet"/>
      </w:pPr>
      <w:r>
        <w:rPr>
          <w:b w:val="0"/>
          <w:i w:val="0"/>
          <w:color w:val="EF6C00"/>
          <w:sz w:val="16"/>
        </w:rPr>
        <w:t>⚠ Directorio PAC: sin certificación registrada</w:t>
      </w:r>
    </w:p>
    <w:p>
      <w:pPr>
        <w:pStyle w:val="ListBullet"/>
      </w:pPr>
      <w:r>
        <w:rPr>
          <w:b w:val="0"/>
          <w:i w:val="0"/>
          <w:color w:val="0D47A1"/>
          <w:sz w:val="16"/>
        </w:rPr>
        <w:t>📌 Perú = riesgo estándar (Art. 4a no aplica); DDS completo obligatorio</w:t>
      </w:r>
    </w:p>
    <w:p/>
    <w:p>
      <w:r>
        <w:rPr>
          <w:b/>
          <w:i w:val="0"/>
          <w:color w:val="1B5E20"/>
          <w:sz w:val="20"/>
        </w:rPr>
        <w:t>ACCIONES PRIORITARIAS (≤90 días al 30-dic-2026)</w:t>
      </w:r>
    </w:p>
    <w:p>
      <w:pPr>
        <w:pStyle w:val="ListBullet"/>
      </w:pPr>
      <w:r>
        <w:rPr>
          <w:b w:val="0"/>
          <w:i w:val="0"/>
          <w:sz w:val="16"/>
        </w:rPr>
        <w:t>Implementar sistema DDS por lote con reference number EUDR</w:t>
      </w:r>
    </w:p>
    <w:p>
      <w:pPr>
        <w:pStyle w:val="ListBullet"/>
      </w:pPr>
      <w:r>
        <w:rPr>
          <w:b w:val="0"/>
          <w:i w:val="0"/>
          <w:sz w:val="16"/>
        </w:rPr>
        <w:t>Registrar marca/lote/contrato en 100% items DUA (hoy &lt;30% cobertura)</w:t>
      </w:r>
    </w:p>
    <w:p>
      <w:pPr>
        <w:pStyle w:val="ListBullet"/>
      </w:pPr>
      <w:r>
        <w:rPr>
          <w:b w:val="0"/>
          <w:i w:val="0"/>
          <w:sz w:val="16"/>
        </w:rPr>
        <w:t>Obtener certificación Rainforest Alliance EUDR-opt-in o equivalente</w:t>
      </w:r>
    </w:p>
    <w:p>
      <w:pPr>
        <w:pStyle w:val="ListBullet"/>
      </w:pPr>
      <w:r>
        <w:rPr>
          <w:b w:val="0"/>
          <w:i w:val="0"/>
          <w:sz w:val="16"/>
        </w:rPr>
        <w:t>Georreferenciar parcelas de socios y vincular a lotes de exportación</w:t>
      </w:r>
    </w:p>
    <w:p>
      <w:pPr>
        <w:pStyle w:val="ListBullet"/>
      </w:pPr>
      <w:r>
        <w:rPr>
          <w:b w:val="0"/>
          <w:i w:val="0"/>
          <w:sz w:val="16"/>
        </w:rPr>
        <w:t>Validar legalidad ambiental (Anexo VII) vía MIDAGRI — no SENACE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