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0" w:line="240" w:lineRule="auto"/>
        <w:ind w:firstLine="0"/>
        <w:jc w:val="center"/>
      </w:pPr>
      <w:r>
        <w:rPr>
          <w:rFonts w:ascii="Times New Roman" w:hAnsi="Times New Roman"/>
          <w:b/>
          <w:color w:val="000000"/>
          <w:sz w:val="24"/>
        </w:rPr>
        <w:t>UNIVERSIDAD DEL PACÍFICO</w:t>
      </w:r>
    </w:p>
    <w:p>
      <w:pPr>
        <w:spacing w:before="120" w:after="0" w:line="240" w:lineRule="auto"/>
        <w:ind w:firstLine="0"/>
        <w:jc w:val="center"/>
      </w:pPr>
      <w:r>
        <w:rPr>
          <w:rFonts w:ascii="Times New Roman" w:hAnsi="Times New Roman"/>
          <w:b w:val="0"/>
          <w:color w:val="000000"/>
          <w:sz w:val="24"/>
        </w:rPr>
        <w:t>DOCUMENTO DE TRABAJO</w:t>
      </w:r>
    </w:p>
    <w:p>
      <w:pPr>
        <w:spacing w:before="80" w:after="0" w:line="240" w:lineRule="auto"/>
        <w:ind w:firstLine="0"/>
        <w:jc w:val="center"/>
      </w:pPr>
      <w:r>
        <w:rPr>
          <w:rFonts w:ascii="Times New Roman" w:hAnsi="Times New Roman"/>
          <w:b/>
          <w:color w:val="000000"/>
          <w:sz w:val="24"/>
        </w:rPr>
        <w:t>DT-ISCAM-001</w:t>
      </w:r>
    </w:p>
    <w:p>
      <w:pPr>
        <w:spacing w:before="4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8"/>
        </w:rPr>
        <w:t>ÍNDICE ISCAM DE SOSTENIBILIDAD Y CONFORMIDAD</w:t>
      </w:r>
    </w:p>
    <w:p>
      <w:pPr>
        <w:spacing w:before="120" w:after="0" w:line="240" w:lineRule="auto"/>
        <w:ind w:firstLine="0"/>
        <w:jc w:val="center"/>
      </w:pPr>
      <w:r>
        <w:rPr>
          <w:rFonts w:ascii="Times New Roman" w:hAnsi="Times New Roman"/>
          <w:b/>
          <w:color w:val="000000"/>
          <w:sz w:val="26"/>
        </w:rPr>
        <w:t>El impacto del Pacto Verde Europeo en la performance</w:t>
      </w:r>
    </w:p>
    <w:p>
      <w:pPr>
        <w:spacing w:before="0" w:after="0" w:line="240" w:lineRule="auto"/>
        <w:ind w:firstLine="0"/>
        <w:jc w:val="center"/>
      </w:pPr>
      <w:r>
        <w:rPr>
          <w:rFonts w:ascii="Times New Roman" w:hAnsi="Times New Roman"/>
          <w:b/>
          <w:color w:val="000000"/>
          <w:sz w:val="26"/>
        </w:rPr>
        <w:t>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jc w:val="center"/>
      </w:pPr>
      <w:r>
        <w:rPr>
          <w:rFonts w:ascii="Times New Roman" w:hAnsi="Times New Roman"/>
          <w:color w:val="000000"/>
          <w:sz w:val="20"/>
        </w:rPr>
        <w:t>______________________________________________________________</w:t>
      </w:r>
    </w:p>
    <w:p>
      <w:pPr>
        <w:spacing w:before="20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val="0"/>
          <w:color w:val="000000"/>
          <w:sz w:val="22"/>
        </w:rPr>
        <w:t>Elaborado por: Equipo Técnico ISCAM</w:t>
      </w:r>
    </w:p>
    <w:p>
      <w:pPr>
        <w:spacing w:before="80" w:after="0" w:line="240" w:lineRule="auto"/>
        <w:ind w:firstLine="0"/>
        <w:jc w:val="center"/>
      </w:pPr>
      <w:r>
        <w:rPr>
          <w:rFonts w:ascii="Times New Roman" w:hAnsi="Times New Roman"/>
          <w:b w:val="0"/>
          <w:color w:val="000000"/>
          <w:sz w:val="22"/>
        </w:rPr>
        <w:t>Proyecto EUDR Perú — Universidad del Pacífico</w:t>
      </w:r>
    </w:p>
    <w:p>
      <w:pPr>
        <w:spacing w:before="16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Pregunta de investigación:</w:t>
      </w:r>
    </w:p>
    <w:p>
      <w:pPr>
        <w:spacing w:before="40" w:after="0" w:line="240" w:lineRule="auto"/>
        <w:ind w:firstLine="0"/>
        <w:jc w:val="center"/>
      </w:pPr>
      <w:r>
        <w:rPr>
          <w:rFonts w:ascii="Times New Roman" w:hAnsi="Times New Roman"/>
          <w:b w:val="0"/>
          <w:color w:val="000000"/>
          <w:sz w:val="22"/>
        </w:rPr>
        <w:t>"¿En qué medida el alineamiento con los pilares del Pacto Verde Europeo mejora o compromete la performance comercial de las cooperativas de café y cacao del Perú?"</w:t>
      </w:r>
    </w:p>
    <w:p>
      <w:pPr>
        <w:spacing w:before="280" w:after="0" w:line="240" w:lineRule="auto"/>
        <w:ind w:firstLine="0"/>
        <w:jc w:val="center"/>
      </w:pPr>
      <w:r>
        <w:rPr>
          <w:rFonts w:ascii="Times New Roman" w:hAnsi="Times New Roman"/>
          <w:b w:val="0"/>
          <w:color w:val="000000"/>
          <w:sz w:val="24"/>
        </w:rPr>
      </w:r>
    </w:p>
    <w:p>
      <w:pPr>
        <w:spacing w:before="0" w:after="0" w:line="240" w:lineRule="auto"/>
        <w:ind w:firstLine="0"/>
        <w:jc w:val="center"/>
      </w:pPr>
      <w:r>
        <w:rPr>
          <w:rFonts w:ascii="Times New Roman" w:hAnsi="Times New Roman"/>
          <w:b/>
          <w:color w:val="000000"/>
          <w:sz w:val="22"/>
        </w:rPr>
        <w:t>Lima, octubre de 2026</w:t>
      </w:r>
    </w:p>
    <w:p>
      <w:r>
        <w:br w:type="page"/>
      </w:r>
    </w:p>
    <w:p>
      <w:pPr>
        <w:keepNext/>
        <w:spacing w:before="360" w:after="120" w:lineRule="auto" w:line="360"/>
        <w:ind w:firstLine="0"/>
        <w:jc w:val="left"/>
      </w:pPr>
      <w:r>
        <w:rPr>
          <w:rFonts w:ascii="Times New Roman" w:hAnsi="Times New Roman"/>
          <w:b/>
          <w:color w:val="000000"/>
          <w:sz w:val="28"/>
        </w:rPr>
        <w:t>ÍNDICE DE CONTENIDO</w:t>
      </w:r>
    </w:p>
    <w:p>
      <w:pPr>
        <w:spacing w:before="0" w:after="60" w:lineRule="auto" w:line="360"/>
        <w:ind w:firstLine="0"/>
        <w:jc w:val="left"/>
      </w:pPr>
      <w:r>
        <w:rPr>
          <w:rFonts w:ascii="Times New Roman" w:hAnsi="Times New Roman"/>
          <w:color w:val="000000"/>
          <w:sz w:val="24"/>
        </w:rPr>
        <w:t>1.  El problema económico: el Pacto Verde como restricción de mercado ......... 1</w:t>
      </w:r>
    </w:p>
    <w:p>
      <w:pPr>
        <w:spacing w:before="0" w:after="60" w:lineRule="auto" w:line="360"/>
        <w:ind w:firstLine="0"/>
        <w:jc w:val="left"/>
      </w:pPr>
      <w:r>
        <w:rPr>
          <w:rFonts w:ascii="Times New Roman" w:hAnsi="Times New Roman"/>
          <w:color w:val="000000"/>
          <w:sz w:val="24"/>
        </w:rPr>
        <w:t>2.  Mecanismos de transmisión: cómo llega la presión regulatoria a la cooperativa  ......... 2</w:t>
      </w:r>
    </w:p>
    <w:p>
      <w:pPr>
        <w:spacing w:before="0" w:after="60" w:lineRule="auto" w:line="360"/>
        <w:ind w:firstLine="0"/>
        <w:jc w:val="left"/>
      </w:pPr>
      <w:r>
        <w:rPr>
          <w:rFonts w:ascii="Times New Roman" w:hAnsi="Times New Roman"/>
          <w:color w:val="000000"/>
          <w:sz w:val="24"/>
        </w:rPr>
        <w:t>3.  Los seis pilares: el paisaje regulatorio visto desde la cadena de valor  ......... 3</w:t>
      </w:r>
    </w:p>
    <w:p>
      <w:pPr>
        <w:spacing w:before="0" w:after="60" w:lineRule="auto" w:line="360"/>
        <w:ind w:firstLine="0"/>
        <w:jc w:val="left"/>
      </w:pPr>
      <w:r>
        <w:rPr>
          <w:rFonts w:ascii="Times New Roman" w:hAnsi="Times New Roman"/>
          <w:color w:val="000000"/>
          <w:sz w:val="24"/>
        </w:rPr>
        <w:t>4.  Arquitectura del ISA-Completo: la lógica económica de la fórmula  ......... 5</w:t>
      </w:r>
    </w:p>
    <w:p>
      <w:pPr>
        <w:spacing w:before="0" w:after="60" w:lineRule="auto" w:line="360"/>
        <w:ind w:firstLine="0"/>
        <w:jc w:val="left"/>
      </w:pPr>
      <w:r>
        <w:rPr>
          <w:rFonts w:ascii="Times New Roman" w:hAnsi="Times New Roman"/>
          <w:color w:val="000000"/>
          <w:sz w:val="24"/>
        </w:rPr>
        <w:t>5.  La matriz IP × IV → RE: priorización operativa con lógica de intervención  ......... 7</w:t>
      </w:r>
    </w:p>
    <w:p>
      <w:pPr>
        <w:spacing w:before="0" w:after="60" w:lineRule="auto" w:line="360"/>
        <w:ind w:firstLine="0"/>
        <w:jc w:val="left"/>
      </w:pPr>
      <w:r>
        <w:rPr>
          <w:rFonts w:ascii="Times New Roman" w:hAnsi="Times New Roman"/>
          <w:color w:val="000000"/>
          <w:sz w:val="24"/>
        </w:rPr>
        <w:t>6.  Estado de la plantilla PLANTILLA_INDICE_PVE_ISCAM.xlsx  ......... 10</w:t>
      </w:r>
    </w:p>
    <w:p>
      <w:pPr>
        <w:spacing w:before="0" w:after="60" w:lineRule="auto" w:line="360"/>
        <w:ind w:firstLine="0"/>
        <w:jc w:val="left"/>
      </w:pPr>
      <w:r>
        <w:rPr>
          <w:rFonts w:ascii="Times New Roman" w:hAnsi="Times New Roman"/>
          <w:color w:val="000000"/>
          <w:sz w:val="24"/>
        </w:rPr>
        <w:t>7.  Limitaciones metodológicas  ......... 12</w:t>
      </w:r>
    </w:p>
    <w:p>
      <w:pPr>
        <w:spacing w:before="0" w:after="60" w:lineRule="auto" w:line="360"/>
        <w:ind w:firstLine="0"/>
        <w:jc w:val="left"/>
      </w:pPr>
      <w:r>
        <w:rPr>
          <w:rFonts w:ascii="Times New Roman" w:hAnsi="Times New Roman"/>
          <w:color w:val="000000"/>
          <w:sz w:val="24"/>
        </w:rPr>
        <w:t>8.  Hoja de ruta: cómo usar el índice para proteger el acceso al mercado  ......... 13</w:t>
      </w:r>
    </w:p>
    <w:p>
      <w:pPr>
        <w:spacing w:before="0" w:after="60" w:lineRule="auto" w:line="360"/>
        <w:ind w:firstLine="0"/>
        <w:jc w:val="left"/>
      </w:pPr>
      <w:r>
        <w:rPr>
          <w:rFonts w:ascii="Times New Roman" w:hAnsi="Times New Roman"/>
          <w:color w:val="000000"/>
          <w:sz w:val="24"/>
        </w:rPr>
        <w:t xml:space="preserve">     Anexo. Tabla de ponderadores ISCAM  ......... 15</w:t>
      </w:r>
    </w:p>
    <w:p>
      <w:r>
        <w:br w:type="page"/>
      </w:r>
    </w:p>
    <w:p>
      <w:pPr>
        <w:keepNext/>
        <w:spacing w:before="360" w:after="120" w:lineRule="auto" w:line="360"/>
        <w:ind w:firstLine="0"/>
        <w:jc w:val="left"/>
      </w:pPr>
      <w:r>
        <w:rPr>
          <w:rFonts w:ascii="Times New Roman" w:hAnsi="Times New Roman"/>
          <w:b/>
          <w:color w:val="000000"/>
          <w:sz w:val="28"/>
        </w:rPr>
        <w:t>1. El problema económico: el Pacto Verde como restricción de mercado</w:t>
      </w:r>
    </w:p>
    <w:p>
      <w:pPr>
        <w:spacing w:before="0" w:after="120" w:lineRule="auto" w:line="360"/>
        <w:ind w:firstLine="709"/>
        <w:jc w:val="both"/>
      </w:pPr>
      <w:r>
        <w:rPr>
          <w:rFonts w:ascii="Times New Roman" w:hAnsi="Times New Roman"/>
          <w:i w:val="0"/>
          <w:color w:val="000000"/>
          <w:sz w:val="24"/>
        </w:rPr>
        <w:t>Europa no está exportando regulación. Está exportando demanda. A partir de 2024, los compradores europeos de café y cacao — tostadores, distribuidores, marcas de consumo masivo — enfrentan obligaciones legales que les exigen verificar que lo que compran no contribuye a la deforestación, no implica trabajo forzoso y no viene de una cadena contaminada con plaguicidas prohibidos. Esas obligaciones no son opciones de sostenibilidad: son requisitos legales cuyo incumplimiento lleva multas de hasta el 4% de la facturación global.</w:t>
      </w:r>
    </w:p>
    <w:p>
      <w:pPr>
        <w:spacing w:before="0" w:after="120" w:lineRule="auto" w:line="360"/>
        <w:ind w:firstLine="709"/>
        <w:jc w:val="both"/>
      </w:pPr>
      <w:r>
        <w:rPr>
          <w:rFonts w:ascii="Times New Roman" w:hAnsi="Times New Roman"/>
          <w:i w:val="0"/>
          <w:color w:val="000000"/>
          <w:sz w:val="24"/>
        </w:rPr>
        <w:t>La cadena de transmisión es directa y acelerada. Cuando un tostador alemán sabe que tiene que certificar la deforestación cero de cada lote que compra, le pide a su proveedor peruano — el exportador — que le demuestre trazabilidad lote a parcela. El exportador se lo pide a la cooperativa. La cooperativa tiene que pedírselo al productor. Todo esto ocurre antes de enero de 2025 para grandes operadores y antes de enero de 2026 para las pymes del sector. El que no puede responder a esa cadena queda fuera.</w:t>
      </w:r>
    </w:p>
    <w:p>
      <w:pPr>
        <w:spacing w:before="120" w:after="120" w:lineRule="auto" w:line="360"/>
        <w:ind w:firstLine="0" w:left="850"/>
        <w:jc w:val="both"/>
      </w:pPr>
      <w:r>
        <w:rPr>
          <w:rFonts w:ascii="Times New Roman" w:hAnsi="Times New Roman"/>
          <w:i/>
          <w:color w:val="404040"/>
          <w:sz w:val="22"/>
        </w:rPr>
        <w:t>"El primer efecto del Pacto Verde no es ambiental. Es competitivo: excluye proveedores que no pueden probar que lo que venden cumple."</w:t>
      </w:r>
    </w:p>
    <w:p>
      <w:pPr>
        <w:spacing w:before="0" w:after="120" w:lineRule="auto" w:line="360"/>
        <w:ind w:firstLine="709"/>
        <w:jc w:val="both"/>
      </w:pPr>
      <w:r>
        <w:rPr>
          <w:rFonts w:ascii="Times New Roman" w:hAnsi="Times New Roman"/>
          <w:i w:val="0"/>
          <w:color w:val="000000"/>
          <w:sz w:val="24"/>
        </w:rPr>
        <w:t>El objetivo del proyecto ISCAM es medir exactamente eso: cuánto alineamiento tiene cada organización con los seis pilares del Pacto Verde Europeo, dónde están sus vulnerabilidades más graves, y cómo asignar los recursos de cooperación técnica de forma que maximice el número de organizaciones que siguen pudiendo exportar a Europa. No es un ejercicio de cumplimiento normativo. Es un análisis de riesgo de mercado con enfoque de cadena de valor.</w:t>
      </w:r>
    </w:p>
    <w:p>
      <w:pPr>
        <w:keepNext/>
        <w:spacing w:before="360" w:after="120" w:lineRule="auto" w:line="360"/>
        <w:ind w:firstLine="0"/>
        <w:jc w:val="left"/>
      </w:pPr>
      <w:r>
        <w:rPr>
          <w:rFonts w:ascii="Times New Roman" w:hAnsi="Times New Roman"/>
          <w:b/>
          <w:color w:val="000000"/>
          <w:sz w:val="28"/>
        </w:rPr>
        <w:t>2. Mecanismos de transmisión: cómo llega la presión regulatoria a la cooperativa</w:t>
      </w:r>
    </w:p>
    <w:p>
      <w:pPr>
        <w:spacing w:before="0" w:after="120" w:lineRule="auto" w:line="360"/>
        <w:ind w:firstLine="709"/>
        <w:jc w:val="both"/>
      </w:pPr>
      <w:r>
        <w:rPr>
          <w:rFonts w:ascii="Times New Roman" w:hAnsi="Times New Roman"/>
          <w:i w:val="0"/>
          <w:color w:val="000000"/>
          <w:sz w:val="24"/>
        </w:rPr>
        <w:t>La presión del Pacto Verde no llega de golpe ni de forma uniforme. Llega a través de cuatro canales que operan en tiempos distintos y activan resortes diferentes en la organización.</w:t>
      </w:r>
    </w:p>
    <w:tbl>
      <w:tblPr>
        <w:tblStyle w:val="TableGrid"/>
        <w:tblW w:type="auto" w:w="0"/>
        <w:jc w:val="center"/>
        <w:tblLook w:firstColumn="1" w:firstRow="1" w:lastColumn="0" w:lastRow="0" w:noHBand="0" w:noVBand="1" w:val="04A0"/>
      </w:tblPr>
      <w:tblGrid>
        <w:gridCol w:w="567"/>
        <w:gridCol w:w="2154"/>
        <w:gridCol w:w="1984"/>
        <w:gridCol w:w="436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Canal</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Descripción</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Horizonte</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Qué le pide al exportador / cooperativa</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1</w:t>
            </w:r>
          </w:p>
        </w:tc>
        <w:tc>
          <w:tcPr>
            <w:tcW w:type="dxa" w:w="2154"/>
            <w:vAlign w:val="center"/>
          </w:tcPr>
          <w:p>
            <w:pPr>
              <w:spacing w:before="40" w:after="40" w:line="240" w:lineRule="auto"/>
              <w:ind w:firstLine="0"/>
              <w:jc w:val="left"/>
            </w:pPr>
            <w:r/>
            <w:r>
              <w:rPr>
                <w:rFonts w:ascii="Times New Roman" w:hAnsi="Times New Roman"/>
                <w:b w:val="0"/>
                <w:color w:val="000000"/>
                <w:sz w:val="19"/>
              </w:rPr>
              <w:t>Exigencia contractual de trazabilidad</w:t>
            </w:r>
          </w:p>
        </w:tc>
        <w:tc>
          <w:tcPr>
            <w:tcW w:type="dxa" w:w="1984"/>
            <w:vAlign w:val="center"/>
          </w:tcPr>
          <w:p>
            <w:pPr>
              <w:spacing w:before="40" w:after="40" w:line="240" w:lineRule="auto"/>
              <w:ind w:firstLine="0"/>
              <w:jc w:val="center"/>
            </w:pPr>
            <w:r/>
            <w:r>
              <w:rPr>
                <w:rFonts w:ascii="Times New Roman" w:hAnsi="Times New Roman"/>
                <w:b w:val="0"/>
                <w:color w:val="000000"/>
                <w:sz w:val="19"/>
              </w:rPr>
              <w:t>Ya vigente</w:t>
            </w:r>
          </w:p>
        </w:tc>
        <w:tc>
          <w:tcPr>
            <w:tcW w:type="dxa" w:w="4365"/>
            <w:vAlign w:val="center"/>
          </w:tcPr>
          <w:p>
            <w:pPr>
              <w:spacing w:before="40" w:after="40" w:line="240" w:lineRule="auto"/>
              <w:ind w:firstLine="0"/>
              <w:jc w:val="left"/>
            </w:pPr>
            <w:r/>
            <w:r>
              <w:rPr>
                <w:rFonts w:ascii="Times New Roman" w:hAnsi="Times New Roman"/>
                <w:b w:val="0"/>
                <w:color w:val="000000"/>
                <w:sz w:val="19"/>
              </w:rPr>
              <w:t>Coordenadas geográficas de parcela, segregación de lotes, evidencia de no deforestación. Fuente: EUDR Art. 2 y 3.</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2</w:t>
            </w:r>
          </w:p>
        </w:tc>
        <w:tc>
          <w:tcPr>
            <w:tcW w:type="dxa" w:w="2154"/>
            <w:vAlign w:val="center"/>
          </w:tcPr>
          <w:p>
            <w:pPr>
              <w:spacing w:before="40" w:after="40" w:line="240" w:lineRule="auto"/>
              <w:ind w:firstLine="0"/>
              <w:jc w:val="left"/>
            </w:pPr>
            <w:r/>
            <w:r>
              <w:rPr>
                <w:rFonts w:ascii="Times New Roman" w:hAnsi="Times New Roman"/>
                <w:b w:val="0"/>
                <w:color w:val="000000"/>
                <w:sz w:val="19"/>
              </w:rPr>
              <w:t>Diligencia debida del comprador europeo</w:t>
            </w:r>
          </w:p>
        </w:tc>
        <w:tc>
          <w:tcPr>
            <w:tcW w:type="dxa" w:w="1984"/>
            <w:vAlign w:val="center"/>
          </w:tcPr>
          <w:p>
            <w:pPr>
              <w:spacing w:before="40" w:after="40" w:line="240" w:lineRule="auto"/>
              <w:ind w:firstLine="0"/>
              <w:jc w:val="center"/>
            </w:pPr>
            <w:r/>
            <w:r>
              <w:rPr>
                <w:rFonts w:ascii="Times New Roman" w:hAnsi="Times New Roman"/>
                <w:b w:val="0"/>
                <w:color w:val="000000"/>
                <w:sz w:val="19"/>
              </w:rPr>
              <w:t>2024–2026</w:t>
            </w:r>
          </w:p>
        </w:tc>
        <w:tc>
          <w:tcPr>
            <w:tcW w:type="dxa" w:w="4365"/>
            <w:vAlign w:val="center"/>
          </w:tcPr>
          <w:p>
            <w:pPr>
              <w:spacing w:before="40" w:after="40" w:line="240" w:lineRule="auto"/>
              <w:ind w:firstLine="0"/>
              <w:jc w:val="left"/>
            </w:pPr>
            <w:r/>
            <w:r>
              <w:rPr>
                <w:rFonts w:ascii="Times New Roman" w:hAnsi="Times New Roman"/>
                <w:b w:val="0"/>
                <w:color w:val="000000"/>
                <w:sz w:val="19"/>
              </w:rPr>
              <w:t>Evaluación de riesgos en la cadena, plan de mitigación, reporte anual. Fuente: CSDDD y EUDR Art. 2(40).</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3</w:t>
            </w:r>
          </w:p>
        </w:tc>
        <w:tc>
          <w:tcPr>
            <w:tcW w:type="dxa" w:w="2154"/>
            <w:vAlign w:val="center"/>
          </w:tcPr>
          <w:p>
            <w:pPr>
              <w:spacing w:before="40" w:after="40" w:line="240" w:lineRule="auto"/>
              <w:ind w:firstLine="0"/>
              <w:jc w:val="left"/>
            </w:pPr>
            <w:r/>
            <w:r>
              <w:rPr>
                <w:rFonts w:ascii="Times New Roman" w:hAnsi="Times New Roman"/>
                <w:b w:val="0"/>
                <w:color w:val="000000"/>
                <w:sz w:val="19"/>
              </w:rPr>
              <w:t>Presión de mercado por huella de carbono</w:t>
            </w:r>
          </w:p>
        </w:tc>
        <w:tc>
          <w:tcPr>
            <w:tcW w:type="dxa" w:w="1984"/>
            <w:vAlign w:val="center"/>
          </w:tcPr>
          <w:p>
            <w:pPr>
              <w:spacing w:before="40" w:after="40" w:line="240" w:lineRule="auto"/>
              <w:ind w:firstLine="0"/>
              <w:jc w:val="center"/>
            </w:pPr>
            <w:r/>
            <w:r>
              <w:rPr>
                <w:rFonts w:ascii="Times New Roman" w:hAnsi="Times New Roman"/>
                <w:b w:val="0"/>
                <w:color w:val="000000"/>
                <w:sz w:val="19"/>
              </w:rPr>
              <w:t>2025–2028</w:t>
            </w:r>
          </w:p>
        </w:tc>
        <w:tc>
          <w:tcPr>
            <w:tcW w:type="dxa" w:w="4365"/>
            <w:vAlign w:val="center"/>
          </w:tcPr>
          <w:p>
            <w:pPr>
              <w:spacing w:before="40" w:after="40" w:line="240" w:lineRule="auto"/>
              <w:ind w:firstLine="0"/>
              <w:jc w:val="left"/>
            </w:pPr>
            <w:r/>
            <w:r>
              <w:rPr>
                <w:rFonts w:ascii="Times New Roman" w:hAnsi="Times New Roman"/>
                <w:b w:val="0"/>
                <w:color w:val="000000"/>
                <w:sz w:val="19"/>
              </w:rPr>
              <w:t>Datos de emisiones Scope 3, métrica de intensidad por kg de café/cacao exportado. Fuente: CSRD, CalCafé v2.1.</w:t>
            </w:r>
          </w:p>
        </w:tc>
      </w:tr>
      <w:tr>
        <w:tc>
          <w:tcPr>
            <w:tcW w:type="dxa" w:w="567"/>
            <w:vAlign w:val="center"/>
          </w:tcPr>
          <w:p>
            <w:pPr>
              <w:spacing w:before="40" w:after="40" w:line="240" w:lineRule="auto"/>
              <w:ind w:firstLine="0"/>
              <w:jc w:val="center"/>
            </w:pPr>
            <w:r/>
            <w:r>
              <w:rPr>
                <w:rFonts w:ascii="Times New Roman" w:hAnsi="Times New Roman"/>
                <w:b w:val="0"/>
                <w:color w:val="000000"/>
                <w:sz w:val="19"/>
              </w:rPr>
              <w:t>4</w:t>
            </w:r>
          </w:p>
        </w:tc>
        <w:tc>
          <w:tcPr>
            <w:tcW w:type="dxa" w:w="2154"/>
            <w:vAlign w:val="center"/>
          </w:tcPr>
          <w:p>
            <w:pPr>
              <w:spacing w:before="40" w:after="40" w:line="240" w:lineRule="auto"/>
              <w:ind w:firstLine="0"/>
              <w:jc w:val="left"/>
            </w:pPr>
            <w:r/>
            <w:r>
              <w:rPr>
                <w:rFonts w:ascii="Times New Roman" w:hAnsi="Times New Roman"/>
                <w:b w:val="0"/>
                <w:color w:val="000000"/>
                <w:sz w:val="19"/>
              </w:rPr>
              <w:t>Restricciones fitosanitarias en frontera</w:t>
            </w:r>
          </w:p>
        </w:tc>
        <w:tc>
          <w:tcPr>
            <w:tcW w:type="dxa" w:w="1984"/>
            <w:vAlign w:val="center"/>
          </w:tcPr>
          <w:p>
            <w:pPr>
              <w:spacing w:before="40" w:after="40" w:line="240" w:lineRule="auto"/>
              <w:ind w:firstLine="0"/>
              <w:jc w:val="center"/>
            </w:pPr>
            <w:r/>
            <w:r>
              <w:rPr>
                <w:rFonts w:ascii="Times New Roman" w:hAnsi="Times New Roman"/>
                <w:b w:val="0"/>
                <w:color w:val="000000"/>
                <w:sz w:val="19"/>
              </w:rPr>
              <w:t>Permanente</w:t>
            </w:r>
          </w:p>
        </w:tc>
        <w:tc>
          <w:tcPr>
            <w:tcW w:type="dxa" w:w="4365"/>
            <w:vAlign w:val="center"/>
          </w:tcPr>
          <w:p>
            <w:pPr>
              <w:spacing w:before="40" w:after="40" w:line="240" w:lineRule="auto"/>
              <w:ind w:firstLine="0"/>
              <w:jc w:val="left"/>
            </w:pPr>
            <w:r/>
            <w:r>
              <w:rPr>
                <w:rFonts w:ascii="Times New Roman" w:hAnsi="Times New Roman"/>
                <w:b w:val="0"/>
                <w:color w:val="000000"/>
                <w:sz w:val="19"/>
              </w:rPr>
              <w:t>Límites máximos de residuos (LMR) en frontera UE. Rechazo en puerto = pérdida efectiva del envío. Fuente: RASFF, Farm to Fork -50%.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implicación clave para las organizaciones peruanas es que estos canales no operan de forma aislada: un exportador que no puede dar trazabilidad lote a parcela pierde primero su certificado EUDR; después, sus compradores europeos no pueden cumplir su propia diligencia debida y buscan otro proveedor. La falla en un canal acelera la falla en los demás. Esto es lo que hace que el riesgo sea sistémico y no puntual.</w:t>
      </w:r>
    </w:p>
    <w:p>
      <w:pPr>
        <w:keepNext/>
        <w:spacing w:before="360" w:after="120" w:lineRule="auto" w:line="360"/>
        <w:ind w:firstLine="0"/>
        <w:jc w:val="left"/>
      </w:pPr>
      <w:r>
        <w:rPr>
          <w:rFonts w:ascii="Times New Roman" w:hAnsi="Times New Roman"/>
          <w:b/>
          <w:color w:val="000000"/>
          <w:sz w:val="28"/>
        </w:rPr>
        <w:t>3. Los seis pilares: el paisaje regulatorio visto desde la cadena de valor</w:t>
      </w:r>
    </w:p>
    <w:p>
      <w:pPr>
        <w:spacing w:before="0" w:after="120" w:lineRule="auto" w:line="360"/>
        <w:ind w:firstLine="709"/>
        <w:jc w:val="both"/>
      </w:pPr>
      <w:r>
        <w:rPr>
          <w:rFonts w:ascii="Times New Roman" w:hAnsi="Times New Roman"/>
          <w:i w:val="0"/>
          <w:color w:val="000000"/>
          <w:sz w:val="24"/>
        </w:rPr>
        <w:t>El Pacto Verde Europeo se traduce en seis pilares normativos que afectan directamente a la cadena de café y cacao del Perú. Cada pilar tiene un canal de transmisión a la cooperativa, un instrumento de verificación, y un costo de no cumplir: no el costo ambiental —ese es el problema de Europa— sino el costo de mercado: la exclusión del comprador.</w:t>
      </w:r>
    </w:p>
    <w:tbl>
      <w:tblPr>
        <w:tblStyle w:val="TableGrid"/>
        <w:tblW w:type="auto" w:w="0"/>
        <w:jc w:val="center"/>
        <w:tblLook w:firstColumn="1" w:firstRow="1" w:lastColumn="0" w:lastRow="0" w:noHBand="0" w:noVBand="1" w:val="04A0"/>
      </w:tblPr>
      <w:tblGrid>
        <w:gridCol w:w="794"/>
        <w:gridCol w:w="1814"/>
        <w:gridCol w:w="1928"/>
        <w:gridCol w:w="1928"/>
        <w:gridCol w:w="2608"/>
      </w:tblGrid>
      <w:tr>
        <w:tc>
          <w:tcPr>
            <w:tcW w:type="dxa" w:w="1872"/>
            <w:vAlign w:val="center"/>
            <w:shd w:val="clear" w:color="auto" w:fill="000000"/>
          </w:tcPr>
          <w:p>
            <w:pPr>
              <w:spacing w:before="60" w:after="60" w:line="240" w:lineRule="auto"/>
              <w:jc w:val="center"/>
            </w:pPr>
            <w:r/>
            <w:r>
              <w:rPr>
                <w:rFonts w:ascii="Times New Roman" w:hAnsi="Times New Roman"/>
                <w:b/>
                <w:color w:val="FFFFFF"/>
                <w:sz w:val="19"/>
              </w:rPr>
              <w:t>Pilar</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Nombre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Normativa UE</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Qué le piden a la cooperativa</w:t>
            </w:r>
          </w:p>
        </w:tc>
        <w:tc>
          <w:tcPr>
            <w:tcW w:type="dxa" w:w="1872"/>
            <w:vAlign w:val="center"/>
            <w:shd w:val="clear" w:color="auto" w:fill="000000"/>
          </w:tcPr>
          <w:p>
            <w:pPr>
              <w:spacing w:before="60" w:after="60" w:line="240" w:lineRule="auto"/>
              <w:jc w:val="center"/>
            </w:pPr>
            <w:r/>
            <w:r>
              <w:rPr>
                <w:rFonts w:ascii="Times New Roman" w:hAnsi="Times New Roman"/>
                <w:b/>
                <w:color w:val="FFFFFF"/>
                <w:sz w:val="19"/>
              </w:rPr>
              <w:t>Costo de no cumplir</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w:t>
            </w:r>
          </w:p>
        </w:tc>
        <w:tc>
          <w:tcPr>
            <w:tcW w:type="dxa" w:w="1814"/>
            <w:vAlign w:val="center"/>
          </w:tcPr>
          <w:p>
            <w:pPr>
              <w:spacing w:before="40" w:after="40" w:line="240" w:lineRule="auto"/>
              <w:ind w:firstLine="0"/>
              <w:jc w:val="left"/>
            </w:pPr>
            <w:r/>
            <w:r>
              <w:rPr>
                <w:rFonts w:ascii="Times New Roman" w:hAnsi="Times New Roman"/>
                <w:b w:val="0"/>
                <w:color w:val="000000"/>
                <w:sz w:val="18"/>
              </w:rPr>
              <w:t>Huella de carbono y GEI</w:t>
            </w:r>
          </w:p>
        </w:tc>
        <w:tc>
          <w:tcPr>
            <w:tcW w:type="dxa" w:w="1928"/>
            <w:vAlign w:val="center"/>
          </w:tcPr>
          <w:p>
            <w:pPr>
              <w:spacing w:before="40" w:after="40" w:line="240" w:lineRule="auto"/>
              <w:ind w:firstLine="0"/>
              <w:jc w:val="left"/>
            </w:pPr>
            <w:r/>
            <w:r>
              <w:rPr>
                <w:rFonts w:ascii="Times New Roman" w:hAnsi="Times New Roman"/>
                <w:b w:val="0"/>
                <w:color w:val="000000"/>
                <w:sz w:val="18"/>
              </w:rPr>
              <w:t>Taxonomía UE · CSRD · CBAM</w:t>
            </w:r>
          </w:p>
        </w:tc>
        <w:tc>
          <w:tcPr>
            <w:tcW w:type="dxa" w:w="1928"/>
            <w:vAlign w:val="center"/>
          </w:tcPr>
          <w:p>
            <w:pPr>
              <w:spacing w:before="40" w:after="40" w:line="240" w:lineRule="auto"/>
              <w:ind w:firstLine="0"/>
              <w:jc w:val="left"/>
            </w:pPr>
            <w:r/>
            <w:r>
              <w:rPr>
                <w:rFonts w:ascii="Times New Roman" w:hAnsi="Times New Roman"/>
                <w:b w:val="0"/>
                <w:color w:val="000000"/>
                <w:sz w:val="18"/>
              </w:rPr>
              <w:t>Medición de emisiones Scope 1–3; intensidad por kg exportado</w:t>
            </w:r>
          </w:p>
        </w:tc>
        <w:tc>
          <w:tcPr>
            <w:tcW w:type="dxa" w:w="2608"/>
            <w:vAlign w:val="center"/>
          </w:tcPr>
          <w:p>
            <w:pPr>
              <w:spacing w:before="40" w:after="40" w:line="240" w:lineRule="auto"/>
              <w:ind w:firstLine="0"/>
              <w:jc w:val="left"/>
            </w:pPr>
            <w:r/>
            <w:r>
              <w:rPr>
                <w:rFonts w:ascii="Times New Roman" w:hAnsi="Times New Roman"/>
                <w:b w:val="0"/>
                <w:color w:val="000000"/>
                <w:sz w:val="18"/>
              </w:rPr>
              <w:t>Exclusión de compradores con obligación CSRD; pérdida de prima de carbono</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Deforestación y trazabilidad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EUDR 2023/1115</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Geolocalización parcelas, verificación cero deforestación, trazabilidad lote a parcela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Multas hasta 4% facturación global; exclusión del mercado UE</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(iii)</w:t>
            </w:r>
          </w:p>
        </w:tc>
        <w:tc>
          <w:tcPr>
            <w:tcW w:type="dxa" w:w="1814"/>
            <w:vAlign w:val="center"/>
          </w:tcPr>
          <w:p>
            <w:pPr>
              <w:spacing w:before="40" w:after="40" w:line="240" w:lineRule="auto"/>
              <w:ind w:firstLine="0"/>
              <w:jc w:val="left"/>
            </w:pPr>
            <w:r/>
            <w:r>
              <w:rPr>
                <w:rFonts w:ascii="Times New Roman" w:hAnsi="Times New Roman"/>
                <w:b w:val="0"/>
                <w:color w:val="000000"/>
                <w:sz w:val="18"/>
              </w:rPr>
              <w:t>Diligencia debida DD.HH.</w:t>
            </w:r>
          </w:p>
        </w:tc>
        <w:tc>
          <w:tcPr>
            <w:tcW w:type="dxa" w:w="1928"/>
            <w:vAlign w:val="center"/>
          </w:tcPr>
          <w:p>
            <w:pPr>
              <w:spacing w:before="40" w:after="40" w:line="240" w:lineRule="auto"/>
              <w:ind w:firstLine="0"/>
              <w:jc w:val="left"/>
            </w:pPr>
            <w:r/>
            <w:r>
              <w:rPr>
                <w:rFonts w:ascii="Times New Roman" w:hAnsi="Times New Roman"/>
                <w:b w:val="0"/>
                <w:color w:val="000000"/>
                <w:sz w:val="18"/>
              </w:rPr>
              <w:t>EUDR Art. 2(40) · CSDDD</w:t>
            </w:r>
          </w:p>
        </w:tc>
        <w:tc>
          <w:tcPr>
            <w:tcW w:type="dxa" w:w="1928"/>
            <w:vAlign w:val="center"/>
          </w:tcPr>
          <w:p>
            <w:pPr>
              <w:spacing w:before="40" w:after="40" w:line="240" w:lineRule="auto"/>
              <w:ind w:firstLine="0"/>
              <w:jc w:val="left"/>
            </w:pPr>
            <w:r/>
            <w:r>
              <w:rPr>
                <w:rFonts w:ascii="Times New Roman" w:hAnsi="Times New Roman"/>
                <w:b w:val="0"/>
                <w:color w:val="000000"/>
                <w:sz w:val="18"/>
              </w:rPr>
              <w:t>Evaluación de riesgos, medidas de mitigación, monitoreo de productores</w:t>
            </w:r>
          </w:p>
        </w:tc>
        <w:tc>
          <w:tcPr>
            <w:tcW w:type="dxa" w:w="2608"/>
            <w:vAlign w:val="center"/>
          </w:tcPr>
          <w:p>
            <w:pPr>
              <w:spacing w:before="40" w:after="40" w:line="240" w:lineRule="auto"/>
              <w:ind w:firstLine="0"/>
              <w:jc w:val="left"/>
            </w:pPr>
            <w:r/>
            <w:r>
              <w:rPr>
                <w:rFonts w:ascii="Times New Roman" w:hAnsi="Times New Roman"/>
                <w:b w:val="0"/>
                <w:color w:val="000000"/>
                <w:sz w:val="18"/>
              </w:rPr>
              <w:t>Ruptura contractual con comprador EU; responsabilidad compartida en la cadena</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(iv)</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Reporte de sostenibilidad</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CSRD · ESRS · Taxonomía Verde</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Indicadores ESG, reporte de riesgos ambientales y sociales en la cadena</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Descalificación como proveedor por compradores con obligación CSRD</w:t>
            </w:r>
          </w:p>
        </w:tc>
      </w:tr>
      <w:tr>
        <w:tc>
          <w:tcPr>
            <w:tcW w:type="dxa" w:w="794"/>
            <w:vAlign w:val="center"/>
          </w:tcPr>
          <w:p>
            <w:pPr>
              <w:spacing w:before="40" w:after="40" w:line="240" w:lineRule="auto"/>
              <w:ind w:firstLine="0"/>
              <w:jc w:val="center"/>
            </w:pPr>
            <w:r/>
            <w:r>
              <w:rPr>
                <w:rFonts w:ascii="Times New Roman" w:hAnsi="Times New Roman"/>
                <w:b w:val="0"/>
                <w:color w:val="000000"/>
                <w:sz w:val="18"/>
              </w:rPr>
              <w:t>(v)</w:t>
            </w:r>
          </w:p>
        </w:tc>
        <w:tc>
          <w:tcPr>
            <w:tcW w:type="dxa" w:w="1814"/>
            <w:vAlign w:val="center"/>
          </w:tcPr>
          <w:p>
            <w:pPr>
              <w:spacing w:before="40" w:after="40" w:line="240" w:lineRule="auto"/>
              <w:ind w:firstLine="0"/>
              <w:jc w:val="left"/>
            </w:pPr>
            <w:r/>
            <w:r>
              <w:rPr>
                <w:rFonts w:ascii="Times New Roman" w:hAnsi="Times New Roman"/>
                <w:b w:val="0"/>
                <w:color w:val="000000"/>
                <w:sz w:val="18"/>
              </w:rPr>
              <w:t>Economía circular y envases</w:t>
            </w:r>
          </w:p>
        </w:tc>
        <w:tc>
          <w:tcPr>
            <w:tcW w:type="dxa" w:w="1928"/>
            <w:vAlign w:val="center"/>
          </w:tcPr>
          <w:p>
            <w:pPr>
              <w:spacing w:before="40" w:after="40" w:line="240" w:lineRule="auto"/>
              <w:ind w:firstLine="0"/>
              <w:jc w:val="left"/>
            </w:pPr>
            <w:r/>
            <w:r>
              <w:rPr>
                <w:rFonts w:ascii="Times New Roman" w:hAnsi="Times New Roman"/>
                <w:b w:val="0"/>
                <w:color w:val="000000"/>
                <w:sz w:val="18"/>
              </w:rPr>
              <w:t>PPWR · Plan Acción EC UE</w:t>
            </w:r>
          </w:p>
        </w:tc>
        <w:tc>
          <w:tcPr>
            <w:tcW w:type="dxa" w:w="1928"/>
            <w:vAlign w:val="center"/>
          </w:tcPr>
          <w:p>
            <w:pPr>
              <w:spacing w:before="40" w:after="40" w:line="240" w:lineRule="auto"/>
              <w:ind w:firstLine="0"/>
              <w:jc w:val="left"/>
            </w:pPr>
            <w:r/>
            <w:r>
              <w:rPr>
                <w:rFonts w:ascii="Times New Roman" w:hAnsi="Times New Roman"/>
                <w:b w:val="0"/>
                <w:color w:val="000000"/>
                <w:sz w:val="18"/>
              </w:rPr>
              <w:t>Diseño de envases, contenido reciclado, gestión de residuos del beneficio</w:t>
            </w:r>
          </w:p>
        </w:tc>
        <w:tc>
          <w:tcPr>
            <w:tcW w:type="dxa" w:w="2608"/>
            <w:vAlign w:val="center"/>
          </w:tcPr>
          <w:p>
            <w:pPr>
              <w:spacing w:before="40" w:after="40" w:line="240" w:lineRule="auto"/>
              <w:ind w:firstLine="0"/>
              <w:jc w:val="left"/>
            </w:pPr>
            <w:r/>
            <w:r>
              <w:rPr>
                <w:rFonts w:ascii="Times New Roman" w:hAnsi="Times New Roman"/>
                <w:b w:val="0"/>
                <w:color w:val="000000"/>
                <w:sz w:val="18"/>
              </w:rPr>
              <w:t>Barreras no arancelarias; rechazo en puerto por packaging</w:t>
            </w:r>
          </w:p>
        </w:tc>
      </w:tr>
      <w:tr>
        <w:tc>
          <w:tcPr>
            <w:tcW w:type="dxa" w:w="794"/>
            <w:vAlign w:val="center"/>
            <w:shd w:val="clear" w:color="auto" w:fill="F2F2F2"/>
          </w:tcPr>
          <w:p>
            <w:pPr>
              <w:spacing w:before="40" w:after="40" w:line="240" w:lineRule="auto"/>
              <w:ind w:firstLine="0"/>
              <w:jc w:val="center"/>
            </w:pPr>
            <w:r/>
            <w:r>
              <w:rPr>
                <w:rFonts w:ascii="Times New Roman" w:hAnsi="Times New Roman"/>
                <w:b w:val="0"/>
                <w:color w:val="000000"/>
                <w:sz w:val="18"/>
              </w:rPr>
              <w:t>(vi)</w:t>
            </w:r>
          </w:p>
        </w:tc>
        <w:tc>
          <w:tcPr>
            <w:tcW w:type="dxa" w:w="1814"/>
            <w:vAlign w:val="center"/>
            <w:shd w:val="clear" w:color="auto" w:fill="F2F2F2"/>
          </w:tcPr>
          <w:p>
            <w:pPr>
              <w:spacing w:before="40" w:after="40" w:line="240" w:lineRule="auto"/>
              <w:ind w:firstLine="0"/>
              <w:jc w:val="left"/>
            </w:pPr>
            <w:r/>
            <w:r>
              <w:rPr>
                <w:rFonts w:ascii="Times New Roman" w:hAnsi="Times New Roman"/>
                <w:b w:val="0"/>
                <w:color w:val="000000"/>
                <w:sz w:val="18"/>
              </w:rPr>
              <w:t>Farm to Fork — Pesticidas y LMR</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Directiva 2009/128/CE · RASFF</w:t>
            </w:r>
          </w:p>
        </w:tc>
        <w:tc>
          <w:tcPr>
            <w:tcW w:type="dxa" w:w="1928"/>
            <w:vAlign w:val="center"/>
            <w:shd w:val="clear" w:color="auto" w:fill="F2F2F2"/>
          </w:tcPr>
          <w:p>
            <w:pPr>
              <w:spacing w:before="40" w:after="40" w:line="240" w:lineRule="auto"/>
              <w:ind w:firstLine="0"/>
              <w:jc w:val="left"/>
            </w:pPr>
            <w:r/>
            <w:r>
              <w:rPr>
                <w:rFonts w:ascii="Times New Roman" w:hAnsi="Times New Roman"/>
                <w:b w:val="0"/>
                <w:color w:val="000000"/>
                <w:sz w:val="18"/>
              </w:rPr>
              <w:t>Gestión fitosanitaria, LMR dentro de umbrales UE, manejo integrado de plagas</w:t>
            </w:r>
          </w:p>
        </w:tc>
        <w:tc>
          <w:tcPr>
            <w:tcW w:type="dxa" w:w="2608"/>
            <w:vAlign w:val="center"/>
            <w:shd w:val="clear" w:color="auto" w:fill="F2F2F2"/>
          </w:tcPr>
          <w:p>
            <w:pPr>
              <w:spacing w:before="40" w:after="40" w:line="240" w:lineRule="auto"/>
              <w:ind w:firstLine="0"/>
              <w:jc w:val="left"/>
            </w:pPr>
            <w:r/>
            <w:r>
              <w:rPr>
                <w:rFonts w:ascii="Times New Roman" w:hAnsi="Times New Roman"/>
                <w:b w:val="0"/>
                <w:color w:val="000000"/>
                <w:sz w:val="18"/>
              </w:rPr>
              <w:t>Retención o rechazo en frontera UE — misma consecuencia que la deforestación</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Lo que revela esta tabla es que los seis pilares no son normas independientes: son las diferentes caras de un mismo sistema de señales que los compradores europeos usan para filtrar proveedores. Una cooperativa que domina la trazabilidad (pilar ii) ya tiene buena parte del camino andado hacia el pilar iii y el pilar iv. La estrategia inteligente no es cumplir cada norma por separado, sino construir capacidades transversales — trazabilidad, gestión ambiental, gobierno de datos, gobernanza — que respondan a varios pilares a la vez.</w:t>
      </w:r>
    </w:p>
    <w:p>
      <w:pPr>
        <w:keepNext/>
        <w:spacing w:before="360" w:after="120" w:lineRule="auto" w:line="360"/>
        <w:ind w:firstLine="0"/>
        <w:jc w:val="left"/>
      </w:pPr>
      <w:r>
        <w:rPr>
          <w:rFonts w:ascii="Times New Roman" w:hAnsi="Times New Roman"/>
          <w:b/>
          <w:color w:val="000000"/>
          <w:sz w:val="28"/>
        </w:rPr>
        <w:t>4. Arquitectura del ISA-Completo: la lógica económica de la fórmula</w:t>
      </w:r>
    </w:p>
    <w:p>
      <w:pPr>
        <w:keepNext/>
        <w:spacing w:before="240" w:after="80" w:lineRule="auto" w:line="360"/>
        <w:ind w:firstLine="0"/>
        <w:jc w:val="left"/>
      </w:pPr>
      <w:r>
        <w:rPr>
          <w:rFonts w:ascii="Times New Roman" w:hAnsi="Times New Roman"/>
          <w:b/>
          <w:color w:val="000000"/>
          <w:sz w:val="24"/>
        </w:rPr>
        <w:t>4.1  Por qué un índice unificado y por qué la ponderación 70/30</w:t>
      </w:r>
    </w:p>
    <w:p>
      <w:pPr>
        <w:spacing w:before="0" w:after="120" w:lineRule="auto" w:line="360"/>
        <w:ind w:firstLine="709"/>
        <w:jc w:val="both"/>
      </w:pPr>
      <w:r>
        <w:rPr>
          <w:rFonts w:ascii="Times New Roman" w:hAnsi="Times New Roman"/>
          <w:i w:val="0"/>
          <w:color w:val="000000"/>
          <w:sz w:val="24"/>
        </w:rPr>
        <w:t>El ISA-Completo es el score que condensa en un solo número (escala 0–100) la posición de cada organización frente al ecosistema regulatorio europeo. Su diseño responde a una pregunta económica: ¿cuál es el riesgo de mercado más urgente y cuál es el de mediano plazo?</w:t>
      </w:r>
    </w:p>
    <w:p>
      <w:pPr>
        <w:spacing w:before="0" w:after="120" w:lineRule="auto" w:line="360"/>
        <w:ind w:firstLine="709"/>
        <w:jc w:val="both"/>
      </w:pPr>
      <w:r>
        <w:rPr>
          <w:rFonts w:ascii="Times New Roman" w:hAnsi="Times New Roman"/>
          <w:i w:val="0"/>
          <w:color w:val="000000"/>
          <w:sz w:val="24"/>
        </w:rPr>
        <w:t>La respuesta inmediata es el Reglamento de Deforestación (EUDR, pilar ii). Es la norma que ya tiene fecha de cumplimiento para pyme (enero 2026), multas concretas, y un mecanismo de verificación en frontera. Si una organización no puede demostrar trazabilidad lote a parcela hoy, el EUDR la excluye del mercado mañana. Eso hace que el cumplimiento del EUDR sea la restricción binding en el corto plazo: el cuello de botella.</w:t>
      </w:r>
    </w:p>
    <w:p>
      <w:pPr>
        <w:spacing w:before="0" w:after="120" w:lineRule="auto" w:line="360"/>
        <w:ind w:firstLine="709"/>
        <w:jc w:val="both"/>
      </w:pPr>
      <w:r>
        <w:rPr>
          <w:rFonts w:ascii="Times New Roman" w:hAnsi="Times New Roman"/>
          <w:i w:val="0"/>
          <w:color w:val="000000"/>
          <w:sz w:val="24"/>
        </w:rPr>
        <w:t>Los otros cinco pilares (huella de carbono, diligencia debida, reporte, economía circular, fitosanitario) son igualmente reales y sus costos de no cumplir son significativos, pero su entrada en vigor es más gradual, su verificación menos automatizada, y su costo inmediato menos binario. Son condiciones de competitividad de mediano plazo: definen qué exportadores siguen siendo relevantes para los compradores europeos en 2028 y 2030, cuando el mercado se haya filtrado.</w:t>
      </w:r>
    </w:p>
    <w:p>
      <w:pPr>
        <w:spacing w:before="0" w:after="120" w:lineRule="auto" w:line="360"/>
        <w:ind w:firstLine="709"/>
        <w:jc w:val="both"/>
      </w:pPr>
      <w:r>
        <w:rPr>
          <w:rFonts w:ascii="Times New Roman" w:hAnsi="Times New Roman"/>
          <w:i w:val="0"/>
          <w:color w:val="000000"/>
          <w:sz w:val="24"/>
        </w:rPr>
        <w:t>Por eso la ponderación 70/30. El 70% al EUDR (ISA-EUDR) refleja que es la restricción actual, la más verificable y la más binaria en sus consecuencias. El 30% a los módulos del Pacto Verde (ISA-PactoVerde) refleja que son condiciones necesarias de competitividad, no opcionales. Una cooperativa que hoy cumple EUDR pero ignora su huella de carbono y su gestión fitosanitaria está jugando solo el partido de hoy. El 30% es la asignación correcta para el partido de mañana.</w:t>
      </w:r>
    </w:p>
    <w:p>
      <w:pPr>
        <w:keepNext/>
        <w:spacing w:before="240" w:after="80" w:lineRule="auto" w:line="360"/>
        <w:ind w:firstLine="0"/>
        <w:jc w:val="left"/>
      </w:pPr>
      <w:r>
        <w:rPr>
          <w:rFonts w:ascii="Times New Roman" w:hAnsi="Times New Roman"/>
          <w:b/>
          <w:color w:val="000000"/>
          <w:sz w:val="24"/>
        </w:rPr>
        <w:t>4.2  Fórmulas</w:t>
      </w:r>
    </w:p>
    <w:p>
      <w:pPr>
        <w:spacing w:before="100" w:after="100" w:line="240" w:lineRule="auto"/>
        <w:ind w:firstLine="0" w:left="567"/>
        <w:jc w:val="left"/>
        <w:shd w:val="clear" w:color="auto" w:fill="F2F2F2"/>
      </w:pPr>
      <w:r>
        <w:rPr>
          <w:rFonts w:ascii="Courier New" w:hAnsi="Courier New"/>
          <w:color w:val="000000"/>
          <w:sz w:val="20"/>
        </w:rPr>
        <w:t>ISA-EUDR  = 0.875 × (D1×D2×...×D7)^(1/7) + 0.125 × (D8+D9)/2        [70% del ISA-Completo]</w:t>
      </w:r>
    </w:p>
    <w:p>
      <w:pPr>
        <w:spacing w:before="100" w:after="100" w:line="240" w:lineRule="auto"/>
        <w:ind w:firstLine="0" w:left="567"/>
        <w:jc w:val="left"/>
        <w:shd w:val="clear" w:color="auto" w:fill="F2F2F2"/>
      </w:pPr>
      <w:r>
        <w:rPr>
          <w:rFonts w:ascii="Courier New" w:hAnsi="Courier New"/>
          <w:color w:val="000000"/>
          <w:sz w:val="20"/>
        </w:rPr>
        <w:t>ISA-PV    = (D12 + D13 + D14 + D15) / 4                                    [30% del ISA-Completo]</w:t>
      </w:r>
    </w:p>
    <w:p>
      <w:pPr>
        <w:spacing w:before="100" w:after="100" w:line="240" w:lineRule="auto"/>
        <w:ind w:firstLine="0" w:left="567"/>
        <w:jc w:val="left"/>
        <w:shd w:val="clear" w:color="auto" w:fill="F2F2F2"/>
      </w:pPr>
      <w:r>
        <w:rPr>
          <w:rFonts w:ascii="Courier New" w:hAnsi="Courier New"/>
          <w:color w:val="000000"/>
          <w:sz w:val="20"/>
        </w:rPr>
        <w:t>ISA-Completo = 0.70 × ISA-EUDR + 0.30 × ISA-PV                              [escala 0–100]</w:t>
      </w:r>
    </w:p>
    <w:p>
      <w:pPr>
        <w:spacing w:before="0" w:after="4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val="0"/>
          <w:color w:val="000000"/>
          <w:sz w:val="24"/>
        </w:rPr>
        <w:t>ISA-EUDR usa media geométrica para el núcleo D1–D7. La decisión no es técnica: es económica. Las siete dimensiones núcleo — clasificación regulatoria, trazabilidad, deforestación, manejo ambiental, diligencia debida, información y documentación, relación con compradores — no son sustituibles entre sí. Un cero en diligencia debida (D5) no se compensa con un puntaje máximo en trazabilidad (D2): si un lote fue obtenido con trabajo forzoso, la trazabilidad perfecta no lo hace aceptable para el mercado UE. La geométrica captura esa lógica: el mínimo común denominador prevalece. El bloque extendido (D8–D9: gobernanza y riesgo financiero) usa media aritmética porque sí son sustituibles razonablemente: una gobernanza débil puede compensarse con financiamiento robusto, y viceversa.</w:t>
      </w:r>
    </w:p>
    <w:p>
      <w:pPr>
        <w:keepNext/>
        <w:spacing w:before="240" w:after="80" w:lineRule="auto" w:line="360"/>
        <w:ind w:firstLine="0"/>
        <w:jc w:val="left"/>
      </w:pPr>
      <w:r>
        <w:rPr>
          <w:rFonts w:ascii="Times New Roman" w:hAnsi="Times New Roman"/>
          <w:b/>
          <w:color w:val="000000"/>
          <w:sz w:val="24"/>
        </w:rPr>
        <w:t>4.3  Los módulos del ISA-PactoVerde: estado actual</w:t>
      </w:r>
    </w:p>
    <w:tbl>
      <w:tblPr>
        <w:tblStyle w:val="TableGrid"/>
        <w:tblW w:type="auto" w:w="0"/>
        <w:jc w:val="center"/>
        <w:tblLook w:firstColumn="1" w:firstRow="1" w:lastColumn="0" w:lastRow="0" w:noHBand="0" w:noVBand="1" w:val="04A0"/>
      </w:tblPr>
      <w:tblGrid>
        <w:gridCol w:w="907"/>
        <w:gridCol w:w="2268"/>
        <w:gridCol w:w="2381"/>
        <w:gridCol w:w="3515"/>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Dim.</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Módulo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Herramienta de cálculo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 en la plantilla</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D12</w:t>
            </w:r>
          </w:p>
        </w:tc>
        <w:tc>
          <w:tcPr>
            <w:tcW w:type="dxa" w:w="2268"/>
            <w:vAlign w:val="center"/>
          </w:tcPr>
          <w:p>
            <w:pPr>
              <w:spacing w:before="40" w:after="40" w:line="240" w:lineRule="auto"/>
              <w:ind w:firstLine="0"/>
              <w:jc w:val="left"/>
            </w:pPr>
            <w:r/>
            <w:r>
              <w:rPr>
                <w:rFonts w:ascii="Times New Roman" w:hAnsi="Times New Roman"/>
                <w:b w:val="0"/>
                <w:color w:val="000000"/>
                <w:sz w:val="19"/>
              </w:rPr>
              <w:t>Huella de carbono y GEI</w:t>
            </w:r>
          </w:p>
        </w:tc>
        <w:tc>
          <w:tcPr>
            <w:tcW w:type="dxa" w:w="2381"/>
            <w:vAlign w:val="center"/>
          </w:tcPr>
          <w:p>
            <w:pPr>
              <w:spacing w:before="40" w:after="40" w:line="240" w:lineRule="auto"/>
              <w:ind w:firstLine="0"/>
              <w:jc w:val="left"/>
            </w:pPr>
            <w:r/>
            <w:r>
              <w:rPr>
                <w:rFonts w:ascii="Times New Roman" w:hAnsi="Times New Roman"/>
                <w:b w:val="0"/>
                <w:color w:val="000000"/>
                <w:sz w:val="19"/>
              </w:rPr>
              <w:t>CalCafé v2.1 (café) · ISO 14040/44 · PEFCR</w:t>
            </w:r>
          </w:p>
        </w:tc>
        <w:tc>
          <w:tcPr>
            <w:tcW w:type="dxa" w:w="3515"/>
            <w:vAlign w:val="center"/>
          </w:tcPr>
          <w:p>
            <w:pPr>
              <w:spacing w:before="40" w:after="40" w:line="240" w:lineRule="auto"/>
              <w:ind w:firstLine="0"/>
              <w:jc w:val="left"/>
            </w:pPr>
            <w:r/>
            <w:r>
              <w:rPr>
                <w:rFonts w:ascii="Times New Roman" w:hAnsi="Times New Roman"/>
                <w:b w:val="0"/>
                <w:color w:val="000000"/>
                <w:sz w:val="19"/>
              </w:rPr>
              <w:t>Proxy IPCC/FAO; dato real al aplicar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D13</w:t>
            </w:r>
          </w:p>
        </w:tc>
        <w:tc>
          <w:tcPr>
            <w:tcW w:type="dxa" w:w="2268"/>
            <w:vAlign w:val="center"/>
          </w:tcPr>
          <w:p>
            <w:pPr>
              <w:spacing w:before="40" w:after="40" w:line="240" w:lineRule="auto"/>
              <w:ind w:firstLine="0"/>
              <w:jc w:val="left"/>
            </w:pPr>
            <w:r/>
            <w:r>
              <w:rPr>
                <w:rFonts w:ascii="Times New Roman" w:hAnsi="Times New Roman"/>
                <w:b w:val="0"/>
                <w:color w:val="000000"/>
                <w:sz w:val="19"/>
              </w:rPr>
              <w:t>Reporte de sostenibilidad</w:t>
            </w:r>
          </w:p>
        </w:tc>
        <w:tc>
          <w:tcPr>
            <w:tcW w:type="dxa" w:w="2381"/>
            <w:vAlign w:val="center"/>
          </w:tcPr>
          <w:p>
            <w:pPr>
              <w:spacing w:before="40" w:after="40" w:line="240" w:lineRule="auto"/>
              <w:ind w:firstLine="0"/>
              <w:jc w:val="left"/>
            </w:pPr>
            <w:r/>
            <w:r>
              <w:rPr>
                <w:rFonts w:ascii="Times New Roman" w:hAnsi="Times New Roman"/>
                <w:b w:val="0"/>
                <w:color w:val="000000"/>
                <w:sz w:val="19"/>
              </w:rPr>
              <w:t>GRI · ESRS simplificado · Taxonomía UE · SFDR</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D14</w:t>
            </w:r>
          </w:p>
        </w:tc>
        <w:tc>
          <w:tcPr>
            <w:tcW w:type="dxa" w:w="2268"/>
            <w:vAlign w:val="center"/>
          </w:tcPr>
          <w:p>
            <w:pPr>
              <w:spacing w:before="40" w:after="40" w:line="240" w:lineRule="auto"/>
              <w:ind w:firstLine="0"/>
              <w:jc w:val="left"/>
            </w:pPr>
            <w:r/>
            <w:r>
              <w:rPr>
                <w:rFonts w:ascii="Times New Roman" w:hAnsi="Times New Roman"/>
                <w:b w:val="0"/>
                <w:color w:val="000000"/>
                <w:sz w:val="19"/>
              </w:rPr>
              <w:t>Economía circular y envases</w:t>
            </w:r>
          </w:p>
        </w:tc>
        <w:tc>
          <w:tcPr>
            <w:tcW w:type="dxa" w:w="2381"/>
            <w:vAlign w:val="center"/>
          </w:tcPr>
          <w:p>
            <w:pPr>
              <w:spacing w:before="40" w:after="40" w:line="240" w:lineRule="auto"/>
              <w:ind w:firstLine="0"/>
              <w:jc w:val="left"/>
            </w:pPr>
            <w:r/>
            <w:r>
              <w:rPr>
                <w:rFonts w:ascii="Times New Roman" w:hAnsi="Times New Roman"/>
                <w:b w:val="0"/>
                <w:color w:val="000000"/>
                <w:sz w:val="19"/>
              </w:rPr>
              <w:t>PPWR · Plan Acción Economía Circular UE 2020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w:t>
            </w:r>
          </w:p>
        </w:tc>
      </w:tr>
      <w:tr>
        <w:tc>
          <w:tcPr>
            <w:tcW w:type="dxa" w:w="907"/>
            <w:vAlign w:val="center"/>
          </w:tcPr>
          <w:p>
            <w:pPr>
              <w:spacing w:before="40" w:after="40" w:line="240" w:lineRule="auto"/>
              <w:ind w:firstLine="0"/>
              <w:jc w:val="center"/>
            </w:pPr>
            <w:r/>
            <w:r>
              <w:rPr>
                <w:rFonts w:ascii="Times New Roman" w:hAnsi="Times New Roman"/>
                <w:b w:val="0"/>
                <w:color w:val="000000"/>
                <w:sz w:val="19"/>
              </w:rPr>
              <w:t>D15</w:t>
            </w:r>
          </w:p>
        </w:tc>
        <w:tc>
          <w:tcPr>
            <w:tcW w:type="dxa" w:w="2268"/>
            <w:vAlign w:val="center"/>
          </w:tcPr>
          <w:p>
            <w:pPr>
              <w:spacing w:before="40" w:after="40" w:line="240" w:lineRule="auto"/>
              <w:ind w:firstLine="0"/>
              <w:jc w:val="left"/>
            </w:pPr>
            <w:r/>
            <w:r>
              <w:rPr>
                <w:rFonts w:ascii="Times New Roman" w:hAnsi="Times New Roman"/>
                <w:b w:val="0"/>
                <w:color w:val="000000"/>
                <w:sz w:val="19"/>
              </w:rPr>
              <w:t>Gestión fitosanitaria y LMR</w:t>
            </w:r>
          </w:p>
        </w:tc>
        <w:tc>
          <w:tcPr>
            <w:tcW w:type="dxa" w:w="2381"/>
            <w:vAlign w:val="center"/>
          </w:tcPr>
          <w:p>
            <w:pPr>
              <w:spacing w:before="40" w:after="40" w:line="240" w:lineRule="auto"/>
              <w:ind w:firstLine="0"/>
              <w:jc w:val="left"/>
            </w:pPr>
            <w:r/>
            <w:r>
              <w:rPr>
                <w:rFonts w:ascii="Times New Roman" w:hAnsi="Times New Roman"/>
                <w:b w:val="0"/>
                <w:color w:val="000000"/>
                <w:sz w:val="19"/>
              </w:rPr>
              <w:t>Directiva 2009/128/CE · RASFF · Farm to Fork -50%</w:t>
            </w:r>
          </w:p>
        </w:tc>
        <w:tc>
          <w:tcPr>
            <w:tcW w:type="dxa" w:w="3515"/>
            <w:vAlign w:val="center"/>
          </w:tcPr>
          <w:p>
            <w:pPr>
              <w:spacing w:before="40" w:after="40" w:line="240" w:lineRule="auto"/>
              <w:ind w:firstLine="0"/>
              <w:jc w:val="left"/>
            </w:pPr>
            <w:r/>
            <w:r>
              <w:rPr>
                <w:rFonts w:ascii="Times New Roman" w:hAnsi="Times New Roman"/>
                <w:b w:val="0"/>
                <w:color w:val="000000"/>
                <w:sz w:val="19"/>
              </w:rPr>
              <w:t>Pendiente Instrumento 2 — brecha cacao abierta</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 cobertura de D12 (huella de carbono) tiene una brecha específica para cacao: CalCafé v2.1 cubre café pero no cacao. El Instrumento 2 aplica preguntas genéricas de gestión fitosanitaria a ambas cadenas, pero la cuantificación de huella de carbono para cacao requiere una herramienta separada que aún no existe validada.</w:t>
      </w:r>
    </w:p>
    <w:p>
      <w:pPr>
        <w:keepNext/>
        <w:spacing w:before="360" w:after="120" w:lineRule="auto" w:line="360"/>
        <w:ind w:firstLine="0"/>
        <w:jc w:val="left"/>
      </w:pPr>
      <w:r>
        <w:rPr>
          <w:rFonts w:ascii="Times New Roman" w:hAnsi="Times New Roman"/>
          <w:b/>
          <w:color w:val="000000"/>
          <w:sz w:val="28"/>
        </w:rPr>
        <w:t>5. La matriz IP × IV → RE: priorización operativa con lógica de intervención</w:t>
      </w:r>
    </w:p>
    <w:p>
      <w:pPr>
        <w:spacing w:before="0" w:after="120" w:lineRule="auto" w:line="360"/>
        <w:ind w:firstLine="709"/>
        <w:jc w:val="both"/>
      </w:pPr>
      <w:r>
        <w:rPr>
          <w:rFonts w:ascii="Times New Roman" w:hAnsi="Times New Roman"/>
          <w:i w:val="0"/>
          <w:color w:val="000000"/>
          <w:sz w:val="24"/>
        </w:rPr>
        <w:t>El ISA-Completo mide alineamiento. La matriz IP × IV → RE mide otra cosa: dada la posición de una organización frente al Pacto Verde, ¿dónde hay que poner los recursos de cooperación técnica para que el mayor número de organizaciones sigan exportando a Europa?</w:t>
      </w:r>
    </w:p>
    <w:p>
      <w:pPr>
        <w:spacing w:before="0" w:after="120" w:lineRule="auto" w:line="360"/>
        <w:ind w:firstLine="709"/>
        <w:jc w:val="both"/>
      </w:pPr>
      <w:r>
        <w:rPr>
          <w:rFonts w:ascii="Times New Roman" w:hAnsi="Times New Roman"/>
          <w:i w:val="0"/>
          <w:color w:val="000000"/>
          <w:sz w:val="24"/>
        </w:rPr>
        <w:t>La lógica es directa. Una organización puede tener un ISA alto (conoce los requisitos, tiene buena trazabilidad) pero estar altamente expuesta: es grande, depende de un solo comprador europeo, opera en zona deforestada. Ahí el riesgo no es de preparación sino de vulnerabilidad estructural: un shock de mercado —el comprador cambia de proveedor— la deja fuera. Necesita financiamiento verde, no capacitación.</w:t>
      </w:r>
    </w:p>
    <w:p>
      <w:pPr>
        <w:spacing w:before="0" w:after="120" w:lineRule="auto" w:line="360"/>
        <w:ind w:firstLine="709"/>
        <w:jc w:val="both"/>
      </w:pPr>
      <w:r>
        <w:rPr>
          <w:rFonts w:ascii="Times New Roman" w:hAnsi="Times New Roman"/>
          <w:i w:val="0"/>
          <w:color w:val="000000"/>
          <w:sz w:val="24"/>
        </w:rPr>
        <w:t>Otra organización puede tener un ISA bajo y una vulnerabilidad baja: es pequeña, vende al mercado local, aún no siente la presión del Pacto Verde. Aquí el riesgo es el más peligroso de todos: el de la sorpresa. Cuando su exportador le diga que necesita geolocalización de parcela, puede ser demasiado tarde para reaccionar. Necesita intervención preventiva, no solo capacitación.</w:t>
      </w:r>
    </w:p>
    <w:p>
      <w:pPr>
        <w:keepNext/>
        <w:spacing w:before="240" w:after="80" w:lineRule="auto" w:line="360"/>
        <w:ind w:firstLine="0"/>
        <w:jc w:val="left"/>
      </w:pPr>
      <w:r>
        <w:rPr>
          <w:rFonts w:ascii="Times New Roman" w:hAnsi="Times New Roman"/>
          <w:b/>
          <w:color w:val="000000"/>
          <w:sz w:val="24"/>
        </w:rPr>
        <w:t>5.1  Fórmulas de IP, IV y RE</w:t>
      </w:r>
    </w:p>
    <w:p>
      <w:pPr>
        <w:spacing w:before="100" w:after="100" w:line="240" w:lineRule="auto"/>
        <w:ind w:firstLine="0" w:left="567"/>
        <w:jc w:val="left"/>
        <w:shd w:val="clear" w:color="auto" w:fill="F2F2F2"/>
      </w:pPr>
      <w:r>
        <w:rPr>
          <w:rFonts w:ascii="Courier New" w:hAnsi="Courier New"/>
          <w:color w:val="000000"/>
          <w:sz w:val="20"/>
        </w:rPr>
        <w:t>IP = REDONDEAR(PROMEDIO(IP1, IP2, IP3, IP4, IP5), 1)         [0–100]</w:t>
      </w:r>
    </w:p>
    <w:p>
      <w:pPr>
        <w:spacing w:before="100" w:after="100" w:line="240" w:lineRule="auto"/>
        <w:ind w:firstLine="0" w:left="567"/>
        <w:jc w:val="left"/>
        <w:shd w:val="clear" w:color="auto" w:fill="F2F2F2"/>
      </w:pPr>
      <w:r>
        <w:rPr>
          <w:rFonts w:ascii="Courier New" w:hAnsi="Courier New"/>
          <w:color w:val="000000"/>
          <w:sz w:val="20"/>
        </w:rPr>
        <w:t>IV = REDONDEAR(PROMEDIO(IV1, IV2, IV3, IV4, IV5), 1)         [0–100]</w:t>
      </w:r>
    </w:p>
    <w:p>
      <w:pPr>
        <w:spacing w:before="100" w:after="100" w:line="240" w:lineRule="auto"/>
        <w:ind w:firstLine="0" w:left="567"/>
        <w:jc w:val="left"/>
        <w:shd w:val="clear" w:color="auto" w:fill="F2F2F2"/>
      </w:pPr>
      <w:r>
        <w:rPr>
          <w:rFonts w:ascii="Courier New" w:hAnsi="Courier New"/>
          <w:color w:val="000000"/>
          <w:sz w:val="20"/>
        </w:rPr>
        <w:t>RE = REDONDEAR(IV × (1 − IP / 100), 1)                      [0–100]</w:t>
      </w:r>
    </w:p>
    <w:p>
      <w:pPr>
        <w:keepNext/>
        <w:spacing w:before="240" w:after="80" w:lineRule="auto" w:line="360"/>
        <w:ind w:firstLine="0"/>
        <w:jc w:val="left"/>
      </w:pPr>
      <w:r>
        <w:rPr>
          <w:rFonts w:ascii="Times New Roman" w:hAnsi="Times New Roman"/>
          <w:b/>
          <w:color w:val="000000"/>
          <w:sz w:val="24"/>
        </w:rPr>
        <w:t>5.2  Sub-dimensiones del IP: qué capacidades importan para cumplir</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capacidad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en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IP1 — Trazabilidad</w:t>
            </w:r>
          </w:p>
        </w:tc>
        <w:tc>
          <w:tcPr>
            <w:tcW w:type="dxa" w:w="2948"/>
            <w:vAlign w:val="center"/>
          </w:tcPr>
          <w:p>
            <w:pPr>
              <w:spacing w:before="40" w:after="40" w:line="240" w:lineRule="auto"/>
              <w:ind w:firstLine="0"/>
              <w:jc w:val="left"/>
            </w:pPr>
            <w:r/>
            <w:r>
              <w:rPr>
                <w:rFonts w:ascii="Times New Roman" w:hAnsi="Times New Roman"/>
                <w:b w:val="0"/>
                <w:color w:val="000000"/>
                <w:sz w:val="19"/>
              </w:rPr>
              <w:t>Capacidad de registrar productores, geolocalizar parcelas, segregar lotes</w:t>
            </w:r>
          </w:p>
        </w:tc>
        <w:tc>
          <w:tcPr>
            <w:tcW w:type="dxa" w:w="4649"/>
            <w:vAlign w:val="center"/>
          </w:tcPr>
          <w:p>
            <w:pPr>
              <w:spacing w:before="40" w:after="40" w:line="240" w:lineRule="auto"/>
              <w:ind w:firstLine="0"/>
              <w:jc w:val="left"/>
            </w:pPr>
            <w:r/>
            <w:r>
              <w:rPr>
                <w:rFonts w:ascii="Times New Roman" w:hAnsi="Times New Roman"/>
                <w:b w:val="0"/>
                <w:color w:val="000000"/>
                <w:sz w:val="19"/>
              </w:rPr>
              <w:t>D2 (Instrumento 2)</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IP2 — Cumplimiento ambiental</w:t>
            </w:r>
          </w:p>
        </w:tc>
        <w:tc>
          <w:tcPr>
            <w:tcW w:type="dxa" w:w="2948"/>
            <w:vAlign w:val="center"/>
          </w:tcPr>
          <w:p>
            <w:pPr>
              <w:spacing w:before="40" w:after="40" w:line="240" w:lineRule="auto"/>
              <w:ind w:firstLine="0"/>
              <w:jc w:val="left"/>
            </w:pPr>
            <w:r/>
            <w:r>
              <w:rPr>
                <w:rFonts w:ascii="Times New Roman" w:hAnsi="Times New Roman"/>
                <w:b w:val="0"/>
                <w:color w:val="000000"/>
                <w:sz w:val="19"/>
              </w:rPr>
              <w:t>Verificación de no deforestación, uso de suelo, manejo ambiental operativo</w:t>
            </w:r>
          </w:p>
        </w:tc>
        <w:tc>
          <w:tcPr>
            <w:tcW w:type="dxa" w:w="4649"/>
            <w:vAlign w:val="center"/>
          </w:tcPr>
          <w:p>
            <w:pPr>
              <w:spacing w:before="40" w:after="40" w:line="240" w:lineRule="auto"/>
              <w:ind w:firstLine="0"/>
              <w:jc w:val="left"/>
            </w:pPr>
            <w:r/>
            <w:r>
              <w:rPr>
                <w:rFonts w:ascii="Times New Roman" w:hAnsi="Times New Roman"/>
                <w:b w:val="0"/>
                <w:color w:val="000000"/>
                <w:sz w:val="19"/>
              </w:rPr>
              <w:t>D3 × D4 (media geométrica)</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IP3 — Gobernanza organizacional</w:t>
            </w:r>
          </w:p>
        </w:tc>
        <w:tc>
          <w:tcPr>
            <w:tcW w:type="dxa" w:w="2948"/>
            <w:vAlign w:val="center"/>
          </w:tcPr>
          <w:p>
            <w:pPr>
              <w:spacing w:before="40" w:after="40" w:line="240" w:lineRule="auto"/>
              <w:ind w:firstLine="0"/>
              <w:jc w:val="left"/>
            </w:pPr>
            <w:r/>
            <w:r>
              <w:rPr>
                <w:rFonts w:ascii="Times New Roman" w:hAnsi="Times New Roman"/>
                <w:b w:val="0"/>
                <w:color w:val="000000"/>
                <w:sz w:val="19"/>
              </w:rPr>
              <w:t>Control interno, sistemas de gestión, estructura de toma de decisiones</w:t>
            </w:r>
          </w:p>
        </w:tc>
        <w:tc>
          <w:tcPr>
            <w:tcW w:type="dxa" w:w="4649"/>
            <w:vAlign w:val="center"/>
          </w:tcPr>
          <w:p>
            <w:pPr>
              <w:spacing w:before="40" w:after="40" w:line="240" w:lineRule="auto"/>
              <w:ind w:firstLine="0"/>
              <w:jc w:val="left"/>
            </w:pPr>
            <w:r/>
            <w:r>
              <w:rPr>
                <w:rFonts w:ascii="Times New Roman" w:hAnsi="Times New Roman"/>
                <w:b w:val="0"/>
                <w:color w:val="000000"/>
                <w:sz w:val="19"/>
              </w:rPr>
              <w:t>D8 + D5 + D6 (parcial)</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IP4 — Información y documentación</w:t>
            </w:r>
          </w:p>
        </w:tc>
        <w:tc>
          <w:tcPr>
            <w:tcW w:type="dxa" w:w="2948"/>
            <w:vAlign w:val="center"/>
          </w:tcPr>
          <w:p>
            <w:pPr>
              <w:spacing w:before="40" w:after="40" w:line="240" w:lineRule="auto"/>
              <w:ind w:firstLine="0"/>
              <w:jc w:val="left"/>
            </w:pPr>
            <w:r/>
            <w:r>
              <w:rPr>
                <w:rFonts w:ascii="Times New Roman" w:hAnsi="Times New Roman"/>
                <w:b w:val="0"/>
                <w:color w:val="000000"/>
                <w:sz w:val="19"/>
              </w:rPr>
              <w:t>Bases de datos, evidencia documental, capacidad de monitoreo y reporte</w:t>
            </w:r>
          </w:p>
        </w:tc>
        <w:tc>
          <w:tcPr>
            <w:tcW w:type="dxa" w:w="4649"/>
            <w:vAlign w:val="center"/>
          </w:tcPr>
          <w:p>
            <w:pPr>
              <w:spacing w:before="40" w:after="40" w:line="240" w:lineRule="auto"/>
              <w:ind w:firstLine="0"/>
              <w:jc w:val="left"/>
            </w:pPr>
            <w:r/>
            <w:r>
              <w:rPr>
                <w:rFonts w:ascii="Times New Roman" w:hAnsi="Times New Roman"/>
                <w:b w:val="0"/>
                <w:color w:val="000000"/>
                <w:sz w:val="19"/>
              </w:rPr>
              <w:t>D6.23 + D2.9 (dimensión delgada — 2 ítems)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IP5 — Capacidad de adaptación</w:t>
            </w:r>
          </w:p>
        </w:tc>
        <w:tc>
          <w:tcPr>
            <w:tcW w:type="dxa" w:w="2948"/>
            <w:vAlign w:val="center"/>
          </w:tcPr>
          <w:p>
            <w:pPr>
              <w:spacing w:before="40" w:after="40" w:line="240" w:lineRule="auto"/>
              <w:ind w:firstLine="0"/>
              <w:jc w:val="left"/>
            </w:pPr>
            <w:r/>
            <w:r>
              <w:rPr>
                <w:rFonts w:ascii="Times New Roman" w:hAnsi="Times New Roman"/>
                <w:b w:val="0"/>
                <w:color w:val="000000"/>
                <w:sz w:val="19"/>
              </w:rPr>
              <w:t>Acceso a financiamiento, certificaciones, relación con compradores</w:t>
            </w:r>
          </w:p>
        </w:tc>
        <w:tc>
          <w:tcPr>
            <w:tcW w:type="dxa" w:w="4649"/>
            <w:vAlign w:val="center"/>
          </w:tcPr>
          <w:p>
            <w:pPr>
              <w:spacing w:before="40" w:after="40" w:line="240" w:lineRule="auto"/>
              <w:ind w:firstLine="0"/>
              <w:jc w:val="left"/>
            </w:pPr>
            <w:r/>
            <w:r>
              <w:rPr>
                <w:rFonts w:ascii="Times New Roman" w:hAnsi="Times New Roman"/>
                <w:b w:val="0"/>
                <w:color w:val="000000"/>
                <w:sz w:val="19"/>
              </w:rPr>
              <w:t>D7 + D9 + Certificación (conteo 0/33/66/100; sin D11, que es inventario)</w:t>
            </w:r>
          </w:p>
        </w:tc>
      </w:tr>
    </w:tbl>
    <w:p>
      <w:pPr>
        <w:keepNext/>
        <w:spacing w:before="240" w:after="80" w:lineRule="auto" w:line="360"/>
        <w:ind w:firstLine="0"/>
        <w:jc w:val="left"/>
      </w:pPr>
      <w:r>
        <w:rPr>
          <w:rFonts w:ascii="Times New Roman" w:hAnsi="Times New Roman"/>
          <w:b/>
          <w:color w:val="000000"/>
          <w:sz w:val="24"/>
        </w:rPr>
        <w:t>5.3  Sub-dimensiones del IV: dónde está la exposición</w:t>
      </w:r>
    </w:p>
    <w:tbl>
      <w:tblPr>
        <w:tblStyle w:val="TableGrid"/>
        <w:tblW w:type="auto" w:w="0"/>
        <w:tblLook w:firstColumn="1" w:firstRow="1" w:lastColumn="0" w:lastRow="0" w:noHBand="0" w:noVBand="1" w:val="04A0"/>
      </w:tblPr>
      <w:tblGrid>
        <w:gridCol w:w="1474"/>
        <w:gridCol w:w="2948"/>
        <w:gridCol w:w="464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vulnerabilidad mide</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Fuente de datos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IV1 — Presión de mercado EU</w:t>
            </w:r>
          </w:p>
        </w:tc>
        <w:tc>
          <w:tcPr>
            <w:tcW w:type="dxa" w:w="2948"/>
            <w:vAlign w:val="center"/>
          </w:tcPr>
          <w:p>
            <w:pPr>
              <w:spacing w:before="40" w:after="40" w:line="240" w:lineRule="auto"/>
              <w:ind w:firstLine="0"/>
              <w:jc w:val="left"/>
            </w:pPr>
            <w:r/>
            <w:r>
              <w:rPr>
                <w:rFonts w:ascii="Times New Roman" w:hAnsi="Times New Roman"/>
                <w:b w:val="0"/>
                <w:color w:val="000000"/>
                <w:sz w:val="19"/>
              </w:rPr>
              <w:t>Dependencia de compradores europeos, concentración en pocos clientes EU</w:t>
            </w:r>
          </w:p>
        </w:tc>
        <w:tc>
          <w:tcPr>
            <w:tcW w:type="dxa" w:w="4649"/>
            <w:vAlign w:val="center"/>
          </w:tcPr>
          <w:p>
            <w:pPr>
              <w:spacing w:before="40" w:after="40" w:line="240" w:lineRule="auto"/>
              <w:ind w:firstLine="0"/>
              <w:jc w:val="left"/>
            </w:pPr>
            <w:r/>
            <w:r>
              <w:rPr>
                <w:rFonts w:ascii="Times New Roman" w:hAnsi="Times New Roman"/>
                <w:b w:val="0"/>
                <w:color w:val="000000"/>
                <w:sz w:val="19"/>
              </w:rPr>
              <w:t>Bloque P (P1, P1b, P4)</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IV2 — Exposición regulatoria</w:t>
            </w:r>
          </w:p>
        </w:tc>
        <w:tc>
          <w:tcPr>
            <w:tcW w:type="dxa" w:w="2948"/>
            <w:vAlign w:val="center"/>
          </w:tcPr>
          <w:p>
            <w:pPr>
              <w:spacing w:before="40" w:after="40" w:line="240" w:lineRule="auto"/>
              <w:ind w:firstLine="0"/>
              <w:jc w:val="left"/>
            </w:pPr>
            <w:r/>
            <w:r>
              <w:rPr>
                <w:rFonts w:ascii="Times New Roman" w:hAnsi="Times New Roman"/>
                <w:b w:val="0"/>
                <w:color w:val="000000"/>
                <w:sz w:val="19"/>
              </w:rPr>
              <w:t>Tipo de operador, nivel de responsabilidad declarativa frente al EUDR</w:t>
            </w:r>
          </w:p>
        </w:tc>
        <w:tc>
          <w:tcPr>
            <w:tcW w:type="dxa" w:w="4649"/>
            <w:vAlign w:val="center"/>
          </w:tcPr>
          <w:p>
            <w:pPr>
              <w:spacing w:before="40" w:after="40" w:line="240" w:lineRule="auto"/>
              <w:ind w:firstLine="0"/>
              <w:jc w:val="left"/>
            </w:pPr>
            <w:r/>
            <w:r>
              <w:rPr>
                <w:rFonts w:ascii="Times New Roman" w:hAnsi="Times New Roman"/>
                <w:b w:val="0"/>
                <w:color w:val="000000"/>
                <w:sz w:val="19"/>
              </w:rPr>
              <w:t>D1 (clasificación regulatoria,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IV3 — Fragilidad territorial</w:t>
            </w:r>
          </w:p>
        </w:tc>
        <w:tc>
          <w:tcPr>
            <w:tcW w:type="dxa" w:w="2948"/>
            <w:vAlign w:val="center"/>
          </w:tcPr>
          <w:p>
            <w:pPr>
              <w:spacing w:before="40" w:after="40" w:line="240" w:lineRule="auto"/>
              <w:ind w:firstLine="0"/>
              <w:jc w:val="left"/>
            </w:pPr>
            <w:r/>
            <w:r>
              <w:rPr>
                <w:rFonts w:ascii="Times New Roman" w:hAnsi="Times New Roman"/>
                <w:b w:val="0"/>
                <w:color w:val="000000"/>
                <w:sz w:val="19"/>
              </w:rPr>
              <w:t>Dispersión geográfica, tamaño de parcela, zona de riesgo de conversión</w:t>
            </w:r>
          </w:p>
        </w:tc>
        <w:tc>
          <w:tcPr>
            <w:tcW w:type="dxa" w:w="4649"/>
            <w:vAlign w:val="center"/>
          </w:tcPr>
          <w:p>
            <w:pPr>
              <w:spacing w:before="40" w:after="40" w:line="240" w:lineRule="auto"/>
              <w:ind w:firstLine="0"/>
              <w:jc w:val="left"/>
            </w:pPr>
            <w:r/>
            <w:r>
              <w:rPr>
                <w:rFonts w:ascii="Times New Roman" w:hAnsi="Times New Roman"/>
                <w:b w:val="0"/>
                <w:color w:val="000000"/>
                <w:sz w:val="19"/>
              </w:rPr>
              <w:t>D3.14 + Bloque 0 (preguntas de campo)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IV4 — Brecha tecnológica</w:t>
            </w:r>
          </w:p>
        </w:tc>
        <w:tc>
          <w:tcPr>
            <w:tcW w:type="dxa" w:w="2948"/>
            <w:vAlign w:val="center"/>
          </w:tcPr>
          <w:p>
            <w:pPr>
              <w:spacing w:before="40" w:after="40" w:line="240" w:lineRule="auto"/>
              <w:ind w:firstLine="0"/>
              <w:jc w:val="left"/>
            </w:pPr>
            <w:r/>
            <w:r>
              <w:rPr>
                <w:rFonts w:ascii="Times New Roman" w:hAnsi="Times New Roman"/>
                <w:b w:val="0"/>
                <w:color w:val="000000"/>
                <w:sz w:val="19"/>
              </w:rPr>
              <w:t>Conectividad, acceso a herramientas digitales, capacidad de gestión de datos</w:t>
            </w:r>
          </w:p>
        </w:tc>
        <w:tc>
          <w:tcPr>
            <w:tcW w:type="dxa" w:w="4649"/>
            <w:vAlign w:val="center"/>
          </w:tcPr>
          <w:p>
            <w:pPr>
              <w:spacing w:before="40" w:after="40" w:line="240" w:lineRule="auto"/>
              <w:ind w:firstLine="0"/>
              <w:jc w:val="left"/>
            </w:pPr>
            <w:r/>
            <w:r>
              <w:rPr>
                <w:rFonts w:ascii="Times New Roman" w:hAnsi="Times New Roman"/>
                <w:b w:val="0"/>
                <w:color w:val="000000"/>
                <w:sz w:val="19"/>
              </w:rPr>
              <w:t>D6.24 + D9 (reúso invertido)</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IV5 — Riesgo social</w:t>
            </w:r>
          </w:p>
        </w:tc>
        <w:tc>
          <w:tcPr>
            <w:tcW w:type="dxa" w:w="2948"/>
            <w:vAlign w:val="center"/>
          </w:tcPr>
          <w:p>
            <w:pPr>
              <w:spacing w:before="40" w:after="40" w:line="240" w:lineRule="auto"/>
              <w:ind w:firstLine="0"/>
              <w:jc w:val="left"/>
            </w:pPr>
            <w:r/>
            <w:r>
              <w:rPr>
                <w:rFonts w:ascii="Times New Roman" w:hAnsi="Times New Roman"/>
                <w:b w:val="0"/>
                <w:color w:val="000000"/>
                <w:sz w:val="19"/>
              </w:rPr>
              <w:t>Concentración en un comprador, fricción interna, brecha de género en la directiva</w:t>
            </w:r>
          </w:p>
        </w:tc>
        <w:tc>
          <w:tcPr>
            <w:tcW w:type="dxa" w:w="4649"/>
            <w:vAlign w:val="center"/>
          </w:tcPr>
          <w:p>
            <w:pPr>
              <w:spacing w:before="40" w:after="40" w:line="240" w:lineRule="auto"/>
              <w:ind w:firstLine="0"/>
              <w:jc w:val="left"/>
            </w:pPr>
            <w:r/>
            <w:r>
              <w:rPr>
                <w:rFonts w:ascii="Times New Roman" w:hAnsi="Times New Roman"/>
                <w:b w:val="0"/>
                <w:color w:val="000000"/>
                <w:sz w:val="19"/>
              </w:rPr>
              <w:t>D7 + D8 + %mujeres en órgano directivo</w:t>
            </w:r>
          </w:p>
        </w:tc>
      </w:tr>
    </w:tbl>
    <w:p>
      <w:pPr>
        <w:keepNext/>
        <w:spacing w:before="240" w:after="80" w:lineRule="auto" w:line="360"/>
        <w:ind w:firstLine="0"/>
        <w:jc w:val="left"/>
      </w:pPr>
      <w:r>
        <w:rPr>
          <w:rFonts w:ascii="Times New Roman" w:hAnsi="Times New Roman"/>
          <w:b/>
          <w:color w:val="000000"/>
          <w:sz w:val="24"/>
        </w:rPr>
        <w:t>5.4  Tipología 2×2: los cuatro cuadrantes operativos</w:t>
      </w:r>
    </w:p>
    <w:p>
      <w:pPr>
        <w:spacing w:before="0" w:after="120" w:lineRule="auto" w:line="360"/>
        <w:ind w:firstLine="709"/>
        <w:jc w:val="both"/>
      </w:pPr>
      <w:r>
        <w:rPr>
          <w:rFonts w:ascii="Times New Roman" w:hAnsi="Times New Roman"/>
          <w:i w:val="0"/>
          <w:color w:val="000000"/>
          <w:sz w:val="24"/>
        </w:rPr>
        <w:t>Con IP e IV calculados, cada organización cae en uno de cuatro cuadrantes. El corte en 50 (escala 0–100) es una proxy de mediana muestral, pendiente de validar con datos reales del Instrumento 2.</w:t>
      </w:r>
    </w:p>
    <w:tbl>
      <w:tblPr>
        <w:tblStyle w:val="TableGrid"/>
        <w:tblW w:type="auto" w:w="0"/>
        <w:tblLook w:firstColumn="1" w:firstRow="1" w:lastColumn="0" w:lastRow="0" w:noHBand="0" w:noVBand="1" w:val="04A0"/>
      </w:tblPr>
      <w:tblGrid>
        <w:gridCol w:w="1474"/>
        <w:gridCol w:w="1361"/>
        <w:gridCol w:w="6236"/>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Condición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Tipo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Implicación y acción</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Resilientes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vulnerabilidad baja. Cumplen EUDR y módulos PV sin apoyo intensivo. Acción: monitoreo pasivo, conexión con compradores premium, acceso a financiamiento verde, posicionamiento en nichos de prima de carbono o certificación de biodiversidad.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Expuestas-Adaptables</w:t>
            </w:r>
          </w:p>
        </w:tc>
        <w:tc>
          <w:tcPr>
            <w:tcW w:type="dxa" w:w="6236"/>
            <w:vAlign w:val="center"/>
          </w:tcPr>
          <w:p>
            <w:pPr>
              <w:spacing w:before="40" w:after="40" w:line="240" w:lineRule="auto"/>
              <w:ind w:firstLine="0"/>
              <w:jc w:val="left"/>
            </w:pPr>
            <w:r/>
            <w:r>
              <w:rPr>
                <w:rFonts w:ascii="Times New Roman" w:hAnsi="Times New Roman"/>
                <w:b w:val="0"/>
                <w:color w:val="000000"/>
                <w:sz w:val="19"/>
              </w:rPr>
              <w:t>Preparación alta pero exposición estructural. Conocen los requisitos pero dependen de un comprador o operan en zona vulnerable. Acción: financiamiento verde para diversificación, gestión fitosanitaria, apoyo en huella de carbono para cumplir CSRD de sus compradores.</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&lt;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Latente</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baja vulnerabilidad aparente. Aún no sienten la presión del Pacto Verde. Son el grupo más peligroso: cuando sus compradores exijan trazabilidad, pueden quedar fuera sin aviso. Acción: intervención preventiva inmediata — la más rentable en términos de costo de oportunidad.</w:t>
            </w:r>
          </w:p>
        </w:tc>
      </w:tr>
      <w:tr>
        <w:tc>
          <w:tcPr>
            <w:tcW w:type="dxa" w:w="1474"/>
            <w:vAlign w:val="center"/>
          </w:tcPr>
          <w:p>
            <w:pPr>
              <w:spacing w:before="40" w:after="40" w:line="240" w:lineRule="auto"/>
              <w:ind w:firstLine="0"/>
              <w:jc w:val="left"/>
            </w:pPr>
            <w:r/>
            <w:r>
              <w:rPr>
                <w:rFonts w:ascii="Times New Roman" w:hAnsi="Times New Roman"/>
                <w:b w:val="0"/>
                <w:color w:val="000000"/>
                <w:sz w:val="19"/>
              </w:rPr>
              <w:t>IP &lt; 50 · IV ≥ 50</w:t>
            </w:r>
          </w:p>
        </w:tc>
        <w:tc>
          <w:tcPr>
            <w:tcW w:type="dxa" w:w="1361"/>
            <w:vAlign w:val="center"/>
          </w:tcPr>
          <w:p>
            <w:pPr>
              <w:spacing w:before="40" w:after="40" w:line="240" w:lineRule="auto"/>
              <w:ind w:firstLine="0"/>
              <w:jc w:val="center"/>
            </w:pPr>
            <w:r/>
            <w:r>
              <w:rPr>
                <w:rFonts w:ascii="Times New Roman" w:hAnsi="Times New Roman"/>
                <w:b w:val="0"/>
                <w:color w:val="000000"/>
                <w:sz w:val="19"/>
              </w:rPr>
              <w:t>Riesgo Crítico</w:t>
            </w:r>
          </w:p>
        </w:tc>
        <w:tc>
          <w:tcPr>
            <w:tcW w:type="dxa" w:w="6236"/>
            <w:vAlign w:val="center"/>
          </w:tcPr>
          <w:p>
            <w:pPr>
              <w:spacing w:before="40" w:after="40" w:line="240" w:lineRule="auto"/>
              <w:ind w:firstLine="0"/>
              <w:jc w:val="left"/>
            </w:pPr>
            <w:r/>
            <w:r>
              <w:rPr>
                <w:rFonts w:ascii="Times New Roman" w:hAnsi="Times New Roman"/>
                <w:b w:val="0"/>
                <w:color w:val="000000"/>
                <w:sz w:val="19"/>
              </w:rPr>
              <w:t>Baja preparación y alta vulnerabilidad. Riesgo inminente de exclusión del mercado EU. Acción: apoyo técnico intensivo priorizado, financiamiento de adecuación, acompañamiento en trazabilidad, gestión fitosanitaria y huella de carbono.</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2"/>
        </w:rPr>
        <w:t>Las banderas duras — inh. vigente OSCE, trabajo forzoso confirmado, mezcla deliberada de lotes de origen no verificado — se reportan en la columna AD de ISCAM_Score y tienen precedencia sobre cualquier score. Son señales de exclusión directa del mercado.</w:t>
      </w:r>
    </w:p>
    <w:p>
      <w:pPr>
        <w:keepNext/>
        <w:spacing w:before="360" w:after="120" w:lineRule="auto" w:line="360"/>
        <w:ind w:firstLine="0"/>
        <w:jc w:val="left"/>
      </w:pPr>
      <w:r>
        <w:rPr>
          <w:rFonts w:ascii="Times New Roman" w:hAnsi="Times New Roman"/>
          <w:b/>
          <w:color w:val="000000"/>
          <w:sz w:val="28"/>
        </w:rPr>
        <w:t>6. Estado de la plantilla PLANTILLA_INDICE_PVE_ISCAM.xlsx</w:t>
      </w:r>
    </w:p>
    <w:p>
      <w:pPr>
        <w:keepNext/>
        <w:spacing w:before="240" w:after="80" w:lineRule="auto" w:line="360"/>
        <w:ind w:firstLine="0"/>
        <w:jc w:val="left"/>
      </w:pPr>
      <w:r>
        <w:rPr>
          <w:rFonts w:ascii="Times New Roman" w:hAnsi="Times New Roman"/>
          <w:b/>
          <w:color w:val="000000"/>
          <w:sz w:val="24"/>
        </w:rPr>
        <w:t>6.1  Arquitectura implementada</w:t>
      </w:r>
    </w:p>
    <w:tbl>
      <w:tblPr>
        <w:tblStyle w:val="TableGrid"/>
        <w:tblW w:type="auto" w:w="0"/>
        <w:tblLook w:firstColumn="1" w:firstRow="1" w:lastColumn="0" w:lastRow="0" w:noHBand="0" w:noVBand="1" w:val="04A0"/>
      </w:tblPr>
      <w:tblGrid>
        <w:gridCol w:w="1587"/>
        <w:gridCol w:w="3118"/>
        <w:gridCol w:w="2381"/>
        <w:gridCol w:w="1984"/>
      </w:tblGrid>
      <w:tr>
        <w:tc>
          <w:tcPr>
            <w:tcW w:type="dxa" w:w="2340"/>
            <w:vAlign w:val="center"/>
            <w:shd w:val="clear" w:color="auto" w:fill="000000"/>
          </w:tcPr>
          <w:p>
            <w:pPr>
              <w:spacing w:before="60" w:after="60" w:line="240" w:lineRule="auto"/>
              <w:jc w:val="center"/>
            </w:pPr>
            <w:r/>
            <w:r>
              <w:rPr>
                <w:rFonts w:ascii="Times New Roman" w:hAnsi="Times New Roman"/>
                <w:b/>
                <w:color w:val="FFFFFF"/>
                <w:sz w:val="19"/>
              </w:rPr>
              <w:t>Hoja</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Contenido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Estado</w:t>
            </w:r>
          </w:p>
        </w:tc>
        <w:tc>
          <w:tcPr>
            <w:tcW w:type="dxa" w:w="2340"/>
            <w:vAlign w:val="center"/>
            <w:shd w:val="clear" w:color="auto" w:fill="000000"/>
          </w:tcPr>
          <w:p>
            <w:pPr>
              <w:spacing w:before="60" w:after="60" w:line="240" w:lineRule="auto"/>
              <w:jc w:val="center"/>
            </w:pPr>
            <w:r/>
            <w:r>
              <w:rPr>
                <w:rFonts w:ascii="Times New Roman" w:hAnsi="Times New Roman"/>
                <w:b/>
                <w:color w:val="FFFFFF"/>
                <w:sz w:val="19"/>
              </w:rPr>
              <w:t>Score principal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ISCAM_Score</w:t>
            </w:r>
          </w:p>
        </w:tc>
        <w:tc>
          <w:tcPr>
            <w:tcW w:type="dxa" w:w="3118"/>
            <w:vAlign w:val="center"/>
          </w:tcPr>
          <w:p>
            <w:pPr>
              <w:spacing w:before="40" w:after="40" w:line="240" w:lineRule="auto"/>
              <w:ind w:firstLine="0"/>
              <w:jc w:val="left"/>
            </w:pPr>
            <w:r/>
            <w:r>
              <w:rPr>
                <w:rFonts w:ascii="Times New Roman" w:hAnsi="Times New Roman"/>
                <w:b w:val="0"/>
                <w:color w:val="000000"/>
                <w:sz w:val="18"/>
              </w:rPr>
              <w:t>174 orgs × 38 cols — D1–D15, ISA-EUDR, ISA-Completo, IP, IV, RE, banderas duras</w:t>
            </w:r>
          </w:p>
        </w:tc>
        <w:tc>
          <w:tcPr>
            <w:tcW w:type="dxa" w:w="2381"/>
            <w:vAlign w:val="center"/>
          </w:tcPr>
          <w:p>
            <w:pPr>
              <w:spacing w:before="40" w:after="40" w:line="240" w:lineRule="auto"/>
              <w:ind w:firstLine="0"/>
              <w:jc w:val="left"/>
            </w:pPr>
            <w:r/>
            <w:r>
              <w:rPr>
                <w:rFonts w:ascii="Times New Roman" w:hAnsi="Times New Roman"/>
                <w:b w:val="0"/>
                <w:color w:val="000000"/>
                <w:sz w:val="18"/>
              </w:rPr>
              <w:t>Fórmula viva</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AL</w:t>
            </w:r>
          </w:p>
        </w:tc>
      </w:tr>
      <w:tr>
        <w:tc>
          <w:tcPr>
            <w:tcW w:type="dxa" w:w="1587"/>
            <w:vAlign w:val="center"/>
          </w:tcPr>
          <w:p>
            <w:pPr>
              <w:spacing w:before="40" w:after="40" w:line="240" w:lineRule="auto"/>
              <w:ind w:firstLine="0"/>
              <w:jc w:val="left"/>
            </w:pPr>
            <w:r/>
            <w:r>
              <w:rPr>
                <w:rFonts w:ascii="Times New Roman" w:hAnsi="Times New Roman"/>
                <w:b w:val="0"/>
                <w:color w:val="000000"/>
                <w:sz w:val="18"/>
              </w:rPr>
              <w:t>SCORECARDS</w:t>
            </w:r>
          </w:p>
        </w:tc>
        <w:tc>
          <w:tcPr>
            <w:tcW w:type="dxa" w:w="3118"/>
            <w:vAlign w:val="center"/>
          </w:tcPr>
          <w:p>
            <w:pPr>
              <w:spacing w:before="40" w:after="40" w:line="240" w:lineRule="auto"/>
              <w:ind w:firstLine="0"/>
              <w:jc w:val="left"/>
            </w:pPr>
            <w:r/>
            <w:r>
              <w:rPr>
                <w:rFonts w:ascii="Times New Roman" w:hAnsi="Times New Roman"/>
                <w:b w:val="0"/>
                <w:color w:val="000000"/>
                <w:sz w:val="18"/>
              </w:rPr>
              <w:t>Dashboard IP/ISA — semáforo, tipología 2×2, ranking</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ISA-Completo col C</w:t>
            </w:r>
          </w:p>
        </w:tc>
      </w:tr>
      <w:tr>
        <w:tc>
          <w:tcPr>
            <w:tcW w:type="dxa" w:w="1587"/>
            <w:vAlign w:val="center"/>
          </w:tcPr>
          <w:p>
            <w:pPr>
              <w:spacing w:before="40" w:after="40" w:line="240" w:lineRule="auto"/>
              <w:ind w:firstLine="0"/>
              <w:jc w:val="left"/>
            </w:pPr>
            <w:r/>
            <w:r>
              <w:rPr>
                <w:rFonts w:ascii="Times New Roman" w:hAnsi="Times New Roman"/>
                <w:b w:val="0"/>
                <w:color w:val="000000"/>
                <w:sz w:val="18"/>
              </w:rPr>
              <w:t>MATRIZ_174</w:t>
            </w:r>
          </w:p>
        </w:tc>
        <w:tc>
          <w:tcPr>
            <w:tcW w:type="dxa" w:w="3118"/>
            <w:vAlign w:val="center"/>
          </w:tcPr>
          <w:p>
            <w:pPr>
              <w:spacing w:before="40" w:after="40" w:line="240" w:lineRule="auto"/>
              <w:ind w:firstLine="0"/>
              <w:jc w:val="left"/>
            </w:pPr>
            <w:r/>
            <w:r>
              <w:rPr>
                <w:rFonts w:ascii="Times New Roman" w:hAnsi="Times New Roman"/>
                <w:b w:val="0"/>
                <w:color w:val="000000"/>
                <w:sz w:val="18"/>
              </w:rPr>
              <w:t>Datos maestros — RUC, FOB, D3 Neon, D12–D15 proxy, Bloque P</w:t>
            </w:r>
          </w:p>
        </w:tc>
        <w:tc>
          <w:tcPr>
            <w:tcW w:type="dxa" w:w="2381"/>
            <w:vAlign w:val="center"/>
          </w:tcPr>
          <w:p>
            <w:pPr>
              <w:spacing w:before="40" w:after="40" w:line="240" w:lineRule="auto"/>
              <w:ind w:firstLine="0"/>
              <w:jc w:val="left"/>
            </w:pPr>
            <w:r/>
            <w:r>
              <w:rPr>
                <w:rFonts w:ascii="Times New Roman" w:hAnsi="Times New Roman"/>
                <w:b w:val="0"/>
                <w:color w:val="000000"/>
                <w:sz w:val="18"/>
              </w:rPr>
              <w:t>Intacta</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PONDERADORES</w:t>
            </w:r>
          </w:p>
        </w:tc>
        <w:tc>
          <w:tcPr>
            <w:tcW w:type="dxa" w:w="3118"/>
            <w:vAlign w:val="center"/>
          </w:tcPr>
          <w:p>
            <w:pPr>
              <w:spacing w:before="40" w:after="40" w:line="240" w:lineRule="auto"/>
              <w:ind w:firstLine="0"/>
              <w:jc w:val="left"/>
            </w:pPr>
            <w:r/>
            <w:r>
              <w:rPr>
                <w:rFonts w:ascii="Times New Roman" w:hAnsi="Times New Roman"/>
                <w:b w:val="0"/>
                <w:color w:val="000000"/>
                <w:sz w:val="18"/>
              </w:rPr>
              <w:t>Pesos ISA-EUDR, ISA-PV, ISA-Completo, IP, IV, RE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RADAR_BRECHAS</w:t>
            </w:r>
          </w:p>
        </w:tc>
        <w:tc>
          <w:tcPr>
            <w:tcW w:type="dxa" w:w="3118"/>
            <w:vAlign w:val="center"/>
          </w:tcPr>
          <w:p>
            <w:pPr>
              <w:spacing w:before="40" w:after="40" w:line="240" w:lineRule="auto"/>
              <w:ind w:firstLine="0"/>
              <w:jc w:val="left"/>
            </w:pPr>
            <w:r/>
            <w:r>
              <w:rPr>
                <w:rFonts w:ascii="Times New Roman" w:hAnsi="Times New Roman"/>
                <w:b w:val="0"/>
                <w:color w:val="000000"/>
                <w:sz w:val="18"/>
              </w:rPr>
              <w:t>D3 referenciando MATRIZ_174!U (scores Neon/OSCE)</w:t>
            </w:r>
          </w:p>
        </w:tc>
        <w:tc>
          <w:tcPr>
            <w:tcW w:type="dxa" w:w="2381"/>
            <w:vAlign w:val="center"/>
          </w:tcPr>
          <w:p>
            <w:pPr>
              <w:spacing w:before="40" w:after="40" w:line="240" w:lineRule="auto"/>
              <w:ind w:firstLine="0"/>
              <w:jc w:val="left"/>
            </w:pPr>
            <w:r/>
            <w:r>
              <w:rPr>
                <w:rFonts w:ascii="Times New Roman" w:hAnsi="Times New Roman"/>
                <w:b w:val="0"/>
                <w:color w:val="000000"/>
                <w:sz w:val="18"/>
              </w:rPr>
              <w:t>Actualizado</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r>
        <w:tc>
          <w:tcPr>
            <w:tcW w:type="dxa" w:w="1587"/>
            <w:vAlign w:val="center"/>
          </w:tcPr>
          <w:p>
            <w:pPr>
              <w:spacing w:before="40" w:after="40" w:line="240" w:lineRule="auto"/>
              <w:ind w:firstLine="0"/>
              <w:jc w:val="left"/>
            </w:pPr>
            <w:r/>
            <w:r>
              <w:rPr>
                <w:rFonts w:ascii="Times New Roman" w:hAnsi="Times New Roman"/>
                <w:b w:val="0"/>
                <w:color w:val="000000"/>
                <w:sz w:val="18"/>
              </w:rPr>
              <w:t>INSTRUCCIONES</w:t>
            </w:r>
          </w:p>
        </w:tc>
        <w:tc>
          <w:tcPr>
            <w:tcW w:type="dxa" w:w="3118"/>
            <w:vAlign w:val="center"/>
          </w:tcPr>
          <w:p>
            <w:pPr>
              <w:spacing w:before="40" w:after="40" w:line="240" w:lineRule="auto"/>
              <w:ind w:firstLine="0"/>
              <w:jc w:val="left"/>
            </w:pPr>
            <w:r/>
            <w:r>
              <w:rPr>
                <w:rFonts w:ascii="Times New Roman" w:hAnsi="Times New Roman"/>
                <w:b w:val="0"/>
                <w:color w:val="000000"/>
                <w:sz w:val="18"/>
              </w:rPr>
              <w:t>Guía de uso de la plantilla</w:t>
            </w:r>
          </w:p>
        </w:tc>
        <w:tc>
          <w:tcPr>
            <w:tcW w:type="dxa" w:w="2381"/>
            <w:vAlign w:val="center"/>
          </w:tcPr>
          <w:p>
            <w:pPr>
              <w:spacing w:before="40" w:after="40" w:line="240" w:lineRule="auto"/>
              <w:ind w:firstLine="0"/>
              <w:jc w:val="left"/>
            </w:pPr>
            <w:r/>
            <w:r>
              <w:rPr>
                <w:rFonts w:ascii="Times New Roman" w:hAnsi="Times New Roman"/>
                <w:b w:val="0"/>
                <w:color w:val="000000"/>
                <w:sz w:val="18"/>
              </w:rPr>
              <w:t>Original</w:t>
            </w:r>
          </w:p>
        </w:tc>
        <w:tc>
          <w:tcPr>
            <w:tcW w:type="dxa" w:w="1984"/>
            <w:vAlign w:val="center"/>
          </w:tcPr>
          <w:p>
            <w:pPr>
              <w:spacing w:before="40" w:after="40" w:line="240" w:lineRule="auto"/>
              <w:ind w:firstLine="0"/>
              <w:jc w:val="left"/>
            </w:pPr>
            <w:r/>
            <w:r>
              <w:rPr>
                <w:rFonts w:ascii="Times New Roman" w:hAnsi="Times New Roman"/>
                <w:b w:val="0"/>
                <w:color w:val="000000"/>
                <w:sz w:val="18"/>
              </w:rPr>
              <w:t>—</w:t>
            </w:r>
          </w:p>
        </w:tc>
      </w:tr>
    </w:tbl>
    <w:p>
      <w:pPr>
        <w:keepNext/>
        <w:spacing w:before="240" w:after="80" w:lineRule="auto" w:line="360"/>
        <w:ind w:firstLine="0"/>
        <w:jc w:val="left"/>
      </w:pPr>
      <w:r>
        <w:rPr>
          <w:rFonts w:ascii="Times New Roman" w:hAnsi="Times New Roman"/>
          <w:b/>
          <w:color w:val="000000"/>
          <w:sz w:val="24"/>
        </w:rPr>
        <w:t>6.2  Columnas clave del ISA-Completo</w:t>
      </w:r>
    </w:p>
    <w:tbl>
      <w:tblPr>
        <w:tblStyle w:val="TableGrid"/>
        <w:tblW w:type="auto" w:w="0"/>
        <w:tblLook w:firstColumn="1" w:firstRow="1" w:lastColumn="0" w:lastRow="0" w:noHBand="0" w:noVBand="1" w:val="04A0"/>
      </w:tblPr>
      <w:tblGrid>
        <w:gridCol w:w="1247"/>
        <w:gridCol w:w="3685"/>
        <w:gridCol w:w="4139"/>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Columna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Qué representa</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AK (col 37)</w:t>
            </w:r>
          </w:p>
        </w:tc>
        <w:tc>
          <w:tcPr>
            <w:tcW w:type="dxa" w:w="3685"/>
            <w:vAlign w:val="center"/>
          </w:tcPr>
          <w:p>
            <w:pPr>
              <w:spacing w:before="40" w:after="40" w:line="240" w:lineRule="auto"/>
              <w:ind w:firstLine="0"/>
              <w:jc w:val="left"/>
            </w:pPr>
            <w:r/>
            <w:r>
              <w:rPr>
                <w:rFonts w:ascii="Times New Roman" w:hAnsi="Times New Roman"/>
                <w:b w:val="0"/>
                <w:color w:val="000000"/>
                <w:sz w:val="18"/>
              </w:rPr>
              <w:t>=SI.ERROR(REDONDEAR(RAIZ((D1*D2*...*D7)^(1/7)*0,875+((D8+D9)/2)*0,125),1),"N/A")</w:t>
            </w:r>
          </w:p>
        </w:tc>
        <w:tc>
          <w:tcPr>
            <w:tcW w:type="dxa" w:w="4139"/>
            <w:vAlign w:val="center"/>
          </w:tcPr>
          <w:p>
            <w:pPr>
              <w:spacing w:before="40" w:after="40" w:line="240" w:lineRule="auto"/>
              <w:ind w:firstLine="0"/>
              <w:jc w:val="left"/>
            </w:pPr>
            <w:r/>
            <w:r>
              <w:rPr>
                <w:rFonts w:ascii="Times New Roman" w:hAnsi="Times New Roman"/>
                <w:b w:val="0"/>
                <w:color w:val="000000"/>
                <w:sz w:val="18"/>
              </w:rPr>
              <w:t>ISA-EUDR: cumplimiento EUDR — 70% del score total</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AL (col 38)</w:t>
            </w:r>
          </w:p>
        </w:tc>
        <w:tc>
          <w:tcPr>
            <w:tcW w:type="dxa" w:w="3685"/>
            <w:vAlign w:val="center"/>
          </w:tcPr>
          <w:p>
            <w:pPr>
              <w:spacing w:before="40" w:after="40" w:line="240" w:lineRule="auto"/>
              <w:ind w:firstLine="0"/>
              <w:jc w:val="left"/>
            </w:pPr>
            <w:r/>
            <w:r>
              <w:rPr>
                <w:rFonts w:ascii="Times New Roman" w:hAnsi="Times New Roman"/>
                <w:b w:val="0"/>
                <w:color w:val="000000"/>
                <w:sz w:val="18"/>
              </w:rPr>
              <w:t>=SI.ERROR(SI(AK="N/A","N/A",REDONDEAR(0,70*AK+0,30*AI,1)),"N/A")</w:t>
            </w:r>
          </w:p>
        </w:tc>
        <w:tc>
          <w:tcPr>
            <w:tcW w:type="dxa" w:w="4139"/>
            <w:vAlign w:val="center"/>
          </w:tcPr>
          <w:p>
            <w:pPr>
              <w:spacing w:before="40" w:after="40" w:line="240" w:lineRule="auto"/>
              <w:ind w:firstLine="0"/>
              <w:jc w:val="left"/>
            </w:pPr>
            <w:r/>
            <w:r>
              <w:rPr>
                <w:rFonts w:ascii="Times New Roman" w:hAnsi="Times New Roman"/>
                <w:b w:val="0"/>
                <w:color w:val="000000"/>
                <w:sz w:val="18"/>
              </w:rPr>
              <w:t>ISA-Completo: score unificado 0–100 — ISA-EUDR 70% + ISA-PV 30%</w:t>
            </w:r>
          </w:p>
        </w:tc>
      </w:tr>
      <w:tr>
        <w:tc>
          <w:tcPr>
            <w:tcW w:type="dxa" w:w="1247"/>
            <w:vAlign w:val="center"/>
          </w:tcPr>
          <w:p>
            <w:pPr>
              <w:spacing w:before="40" w:after="40" w:line="240" w:lineRule="auto"/>
              <w:ind w:firstLine="0"/>
              <w:jc w:val="left"/>
            </w:pPr>
            <w:r/>
            <w:r>
              <w:rPr>
                <w:rFonts w:ascii="Times New Roman" w:hAnsi="Times New Roman"/>
                <w:b w:val="0"/>
                <w:color w:val="000000"/>
                <w:sz w:val="18"/>
              </w:rPr>
              <w:t>SCORECARDS!C</w:t>
            </w:r>
          </w:p>
        </w:tc>
        <w:tc>
          <w:tcPr>
            <w:tcW w:type="dxa" w:w="3685"/>
            <w:vAlign w:val="center"/>
          </w:tcPr>
          <w:p>
            <w:pPr>
              <w:spacing w:before="40" w:after="40" w:line="240" w:lineRule="auto"/>
              <w:ind w:firstLine="0"/>
              <w:jc w:val="left"/>
            </w:pPr>
            <w:r/>
            <w:r>
              <w:rPr>
                <w:rFonts w:ascii="Times New Roman" w:hAnsi="Times New Roman"/>
                <w:b w:val="0"/>
                <w:color w:val="000000"/>
                <w:sz w:val="18"/>
              </w:rPr>
              <w:t>=SI.ERROR(ISCAM_Score!AL4,"—")</w:t>
            </w:r>
          </w:p>
        </w:tc>
        <w:tc>
          <w:tcPr>
            <w:tcW w:type="dxa" w:w="4139"/>
            <w:vAlign w:val="center"/>
          </w:tcPr>
          <w:p>
            <w:pPr>
              <w:spacing w:before="40" w:after="40" w:line="240" w:lineRule="auto"/>
              <w:ind w:firstLine="0"/>
              <w:jc w:val="left"/>
            </w:pPr>
            <w:r/>
            <w:r>
              <w:rPr>
                <w:rFonts w:ascii="Times New Roman" w:hAnsi="Times New Roman"/>
                <w:b w:val="0"/>
                <w:color w:val="000000"/>
                <w:sz w:val="18"/>
              </w:rPr>
              <w:t>Referencia viva al ISA-Completo en el dashboard</w:t>
            </w:r>
          </w:p>
        </w:tc>
      </w:tr>
      <w:tr>
        <w:tc>
          <w:tcPr>
            <w:tcW w:type="dxa" w:w="1247"/>
            <w:vAlign w:val="center"/>
          </w:tcPr>
          <w:p>
            <w:pPr>
              <w:spacing w:before="40" w:after="40" w:line="240" w:lineRule="auto"/>
              <w:ind w:firstLine="0"/>
              <w:jc w:val="left"/>
            </w:pPr>
            <w:r/>
            <w:r>
              <w:rPr>
                <w:rFonts w:ascii="Times New Roman" w:hAnsi="Times New Roman"/>
                <w:b w:val="0"/>
                <w:color w:val="000000"/>
                <w:sz w:val="18"/>
              </w:rPr>
              <w:t>AI (col 35)</w:t>
            </w:r>
          </w:p>
        </w:tc>
        <w:tc>
          <w:tcPr>
            <w:tcW w:type="dxa" w:w="3685"/>
            <w:vAlign w:val="center"/>
          </w:tcPr>
          <w:p>
            <w:pPr>
              <w:spacing w:before="40" w:after="40" w:line="240" w:lineRule="auto"/>
              <w:ind w:firstLine="0"/>
              <w:jc w:val="left"/>
            </w:pPr>
            <w:r/>
            <w:r>
              <w:rPr>
                <w:rFonts w:ascii="Times New Roman" w:hAnsi="Times New Roman"/>
                <w:b w:val="0"/>
                <w:color w:val="000000"/>
                <w:sz w:val="18"/>
              </w:rPr>
              <w:t>=MATRIZ_174!AP (ISA-PV = promedio D12:D15)</w:t>
            </w:r>
          </w:p>
        </w:tc>
        <w:tc>
          <w:tcPr>
            <w:tcW w:type="dxa" w:w="4139"/>
            <w:vAlign w:val="center"/>
          </w:tcPr>
          <w:p>
            <w:pPr>
              <w:spacing w:before="40" w:after="40" w:line="240" w:lineRule="auto"/>
              <w:ind w:firstLine="0"/>
              <w:jc w:val="left"/>
            </w:pPr>
            <w:r/>
            <w:r>
              <w:rPr>
                <w:rFonts w:ascii="Times New Roman" w:hAnsi="Times New Roman"/>
                <w:b w:val="0"/>
                <w:color w:val="000000"/>
                <w:sz w:val="18"/>
              </w:rPr>
              <w:t>ISA-PactoVerde: módulos ambientales y de desempeño — 30% del score total</w:t>
            </w:r>
          </w:p>
        </w:tc>
      </w:tr>
    </w:tbl>
    <w:p>
      <w:pPr>
        <w:keepNext/>
        <w:spacing w:before="240" w:after="80" w:lineRule="auto" w:line="360"/>
        <w:ind w:firstLine="0"/>
        <w:jc w:val="left"/>
      </w:pPr>
      <w:r>
        <w:rPr>
          <w:rFonts w:ascii="Times New Roman" w:hAnsi="Times New Roman"/>
          <w:b/>
          <w:color w:val="000000"/>
          <w:sz w:val="24"/>
        </w:rPr>
        <w:t>6.3  Qué está vivo y qué falta</w:t>
      </w:r>
    </w:p>
    <w:p>
      <w:pPr>
        <w:spacing w:before="0" w:after="120" w:lineRule="auto" w:line="360"/>
        <w:ind w:firstLine="709"/>
        <w:jc w:val="both"/>
      </w:pPr>
      <w:r>
        <w:rPr>
          <w:rFonts w:ascii="Times New Roman" w:hAnsi="Times New Roman"/>
          <w:i w:val="0"/>
          <w:color w:val="000000"/>
          <w:sz w:val="24"/>
        </w:rPr>
        <w:t>Ya activo en la plantilla:</w:t>
      </w:r>
    </w:p>
    <w:p>
      <w:pPr>
        <w:pStyle w:val="ListBullet"/>
        <w:spacing w:before="0" w:after="60" w:lineRule="auto" w:line="360"/>
        <w:ind w:firstLine="0" w:left="567"/>
      </w:pPr>
      <w:r>
        <w:rPr>
          <w:rFonts w:ascii="Times New Roman" w:hAnsi="Times New Roman"/>
          <w:color w:val="000000"/>
          <w:sz w:val="24"/>
        </w:rPr>
        <w:t>D2, D5, D6: datos de trazabilidad referencing SCORECARDS.</w:t>
      </w:r>
    </w:p>
    <w:p>
      <w:pPr>
        <w:pStyle w:val="ListBullet"/>
        <w:spacing w:before="0" w:after="60" w:lineRule="auto" w:line="360"/>
        <w:ind w:firstLine="0" w:left="567"/>
      </w:pPr>
      <w:r>
        <w:rPr>
          <w:rFonts w:ascii="Times New Roman" w:hAnsi="Times New Roman"/>
          <w:color w:val="000000"/>
          <w:sz w:val="24"/>
        </w:rPr>
        <w:t>D3: scores Neon/OSCE poblad en MATRIZ_174!U (36 organizaciones con inh. vigente).</w:t>
      </w:r>
    </w:p>
    <w:p>
      <w:pPr>
        <w:pStyle w:val="ListBullet"/>
        <w:spacing w:before="0" w:after="60" w:lineRule="auto" w:line="360"/>
        <w:ind w:firstLine="0" w:left="567"/>
      </w:pPr>
      <w:r>
        <w:rPr>
          <w:rFonts w:ascii="Times New Roman" w:hAnsi="Times New Roman"/>
          <w:color w:val="000000"/>
          <w:sz w:val="24"/>
        </w:rPr>
        <w:t>D12–D15: proxy compuesto direccional — no es dato medido.</w:t>
      </w:r>
    </w:p>
    <w:p>
      <w:pPr>
        <w:pStyle w:val="ListBullet"/>
        <w:spacing w:before="0" w:after="60" w:lineRule="auto" w:line="360"/>
        <w:ind w:firstLine="0" w:left="567"/>
      </w:pPr>
      <w:r>
        <w:rPr>
          <w:rFonts w:ascii="Times New Roman" w:hAnsi="Times New Roman"/>
          <w:color w:val="000000"/>
          <w:sz w:val="24"/>
        </w:rPr>
        <w:t>ISA-EUDR (col AK): fórmula geométrica viva, recalcula al llenar D1–D9.</w:t>
      </w:r>
    </w:p>
    <w:p>
      <w:pPr>
        <w:pStyle w:val="ListBullet"/>
        <w:spacing w:before="0" w:after="60" w:lineRule="auto" w:line="360"/>
        <w:ind w:firstLine="0" w:left="567"/>
      </w:pPr>
      <w:r>
        <w:rPr>
          <w:rFonts w:ascii="Times New Roman" w:hAnsi="Times New Roman"/>
          <w:color w:val="000000"/>
          <w:sz w:val="24"/>
        </w:rPr>
        <w:t>ISA-Completo (col AL): = 0.70×ISA-EUDR + 0.30×ISA-PV.</w:t>
      </w:r>
    </w:p>
    <w:p>
      <w:pPr>
        <w:pStyle w:val="ListBullet"/>
        <w:spacing w:before="0" w:after="60" w:lineRule="auto" w:line="360"/>
        <w:ind w:firstLine="0" w:left="567"/>
      </w:pPr>
      <w:r>
        <w:rPr>
          <w:rFonts w:ascii="Times New Roman" w:hAnsi="Times New Roman"/>
          <w:color w:val="000000"/>
          <w:sz w:val="24"/>
        </w:rPr>
        <w:t>IP, IV, RE: fórmulas vivas, recalculan al aplicar Instrumento 2.</w:t>
      </w:r>
    </w:p>
    <w:p>
      <w:pPr>
        <w:spacing w:before="0" w:after="120" w:lineRule="auto" w:line="360"/>
        <w:ind w:firstLine="709"/>
        <w:jc w:val="both"/>
      </w:pPr>
      <w:r>
        <w:rPr>
          <w:rFonts w:ascii="Times New Roman" w:hAnsi="Times New Roman"/>
          <w:i w:val="0"/>
          <w:color w:val="000000"/>
          <w:sz w:val="24"/>
        </w:rPr>
        <w:t>Pendiente de aplicar en campo (Instrumento 2):</w:t>
      </w:r>
    </w:p>
    <w:p>
      <w:pPr>
        <w:pStyle w:val="ListBullet"/>
        <w:spacing w:before="0" w:after="60" w:lineRule="auto" w:line="360"/>
        <w:ind w:firstLine="0" w:left="567"/>
      </w:pPr>
      <w:r>
        <w:rPr>
          <w:rFonts w:ascii="Times New Roman" w:hAnsi="Times New Roman"/>
          <w:color w:val="000000"/>
          <w:sz w:val="24"/>
        </w:rPr>
        <w:t>D1 — Clasificación regulatoria: afecta ISA-EUDR e IV2.</w:t>
      </w:r>
    </w:p>
    <w:p>
      <w:pPr>
        <w:pStyle w:val="ListBullet"/>
        <w:spacing w:before="0" w:after="60" w:lineRule="auto" w:line="360"/>
        <w:ind w:firstLine="0" w:left="567"/>
      </w:pPr>
      <w:r>
        <w:rPr>
          <w:rFonts w:ascii="Times New Roman" w:hAnsi="Times New Roman"/>
          <w:color w:val="000000"/>
          <w:sz w:val="24"/>
        </w:rPr>
        <w:t>D4 — Deforestación cero: afecta IP2 e ISA-EUDR.</w:t>
      </w:r>
    </w:p>
    <w:p>
      <w:pPr>
        <w:pStyle w:val="ListBullet"/>
        <w:spacing w:before="0" w:after="60" w:lineRule="auto" w:line="360"/>
        <w:ind w:firstLine="0" w:left="567"/>
      </w:pPr>
      <w:r>
        <w:rPr>
          <w:rFonts w:ascii="Times New Roman" w:hAnsi="Times New Roman"/>
          <w:color w:val="000000"/>
          <w:sz w:val="24"/>
        </w:rPr>
        <w:t>D7, D8, D9 — Presión comprador, gobernanza, riesgo financiero.</w:t>
      </w:r>
    </w:p>
    <w:p>
      <w:pPr>
        <w:pStyle w:val="ListBullet"/>
        <w:spacing w:before="0" w:after="60" w:lineRule="auto" w:line="360"/>
        <w:ind w:firstLine="0" w:left="567"/>
      </w:pPr>
      <w:r>
        <w:rPr>
          <w:rFonts w:ascii="Times New Roman" w:hAnsi="Times New Roman"/>
          <w:color w:val="000000"/>
          <w:sz w:val="24"/>
        </w:rPr>
        <w:t>D10, D11 — ítems pendientes de captura; se reportan aparte (bandera e inventario), no alimentan índices.</w:t>
      </w:r>
    </w:p>
    <w:p>
      <w:pPr>
        <w:pStyle w:val="ListBullet"/>
        <w:spacing w:before="0" w:after="60" w:lineRule="auto" w:line="360"/>
        <w:ind w:firstLine="0" w:left="567"/>
      </w:pPr>
      <w:r>
        <w:rPr>
          <w:rFonts w:ascii="Times New Roman" w:hAnsi="Times New Roman"/>
          <w:color w:val="000000"/>
          <w:sz w:val="24"/>
        </w:rPr>
        <w:t>D13, D14, D15 — Reporte sostenibilidad, economía circular, fitosanitario.</w:t>
      </w:r>
    </w:p>
    <w:p>
      <w:pPr>
        <w:keepNext/>
        <w:spacing w:before="360" w:after="120" w:lineRule="auto" w:line="360"/>
        <w:ind w:firstLine="0"/>
        <w:jc w:val="left"/>
      </w:pPr>
      <w:r>
        <w:rPr>
          <w:rFonts w:ascii="Times New Roman" w:hAnsi="Times New Roman"/>
          <w:b/>
          <w:color w:val="000000"/>
          <w:sz w:val="28"/>
        </w:rPr>
        <w:t>7. Limitaciones metodológicas</w:t>
      </w:r>
    </w:p>
    <w:p>
      <w:pPr>
        <w:spacing w:before="0" w:after="120" w:lineRule="auto" w:line="360"/>
        <w:ind w:firstLine="709"/>
        <w:jc w:val="both"/>
      </w:pPr>
      <w:r>
        <w:rPr>
          <w:rFonts w:ascii="Times New Roman" w:hAnsi="Times New Roman"/>
          <w:i w:val="0"/>
          <w:color w:val="000000"/>
          <w:sz w:val="24"/>
        </w:rPr>
        <w:t>El índice ISCAM es una herramienta de trabajo construida sobre datos disponibles a octubre de 2026. Las siguientes limitaciones condicionan su uso y deben comunicarse a cualquier actor que tome decisiones basadas en los scores.</w:t>
      </w:r>
    </w:p>
    <w:p>
      <w:pPr>
        <w:spacing w:before="80" w:after="80" w:lineRule="auto" w:line="360"/>
        <w:ind w:firstLine="0"/>
        <w:jc w:val="both"/>
      </w:pPr>
      <w:r>
        <w:rPr>
          <w:rFonts w:ascii="Times New Roman" w:hAnsi="Times New Roman"/>
          <w:b/>
          <w:color w:val="000000"/>
          <w:sz w:val="24"/>
        </w:rPr>
        <w:t xml:space="preserve">Proxy de D12 (huella de carbono): señal direccional, no dato medido. </w:t>
      </w:r>
      <w:r>
        <w:rPr>
          <w:rFonts w:ascii="Times New Roman" w:hAnsi="Times New Roman"/>
          <w:color w:val="000000"/>
          <w:sz w:val="24"/>
        </w:rPr>
        <w:t>Las 45 organizaciones con D12=1 se determinaron por certificación orgánica/fairtrade o FOB UE &gt; $500.000 sin certificación. No es la huella real. CalCafé v2.1 cubre café pero no cacao.</w:t>
      </w:r>
    </w:p>
    <w:p>
      <w:pPr>
        <w:spacing w:before="80" w:after="80" w:lineRule="auto" w:line="360"/>
        <w:ind w:firstLine="0"/>
        <w:jc w:val="both"/>
      </w:pPr>
      <w:r>
        <w:rPr>
          <w:rFonts w:ascii="Times New Roman" w:hAnsi="Times New Roman"/>
          <w:b/>
          <w:color w:val="000000"/>
          <w:sz w:val="24"/>
        </w:rPr>
        <w:t xml:space="preserve">IP4 (Información y documentación) es una dimensión delgada. </w:t>
      </w:r>
      <w:r>
        <w:rPr>
          <w:rFonts w:ascii="Times New Roman" w:hAnsi="Times New Roman"/>
          <w:color w:val="000000"/>
          <w:sz w:val="24"/>
        </w:rPr>
        <w:t>Se sustenta en solo 2 ítems (D6.23 y D2.9), por debajo de las 4 sub-dimensiones que describe el diseño ISCAM. Se recomienda agregar 1–2 preguntas al Instrumento 2.</w:t>
      </w:r>
    </w:p>
    <w:p>
      <w:pPr>
        <w:spacing w:before="80" w:after="80" w:lineRule="auto" w:line="360"/>
        <w:ind w:firstLine="0"/>
        <w:jc w:val="both"/>
      </w:pPr>
      <w:r>
        <w:rPr>
          <w:rFonts w:ascii="Times New Roman" w:hAnsi="Times New Roman"/>
          <w:b/>
          <w:color w:val="000000"/>
          <w:sz w:val="24"/>
        </w:rPr>
        <w:t xml:space="preserve">ISA-EUDR requiere D1–D9 completos para funcionar correctamente. </w:t>
      </w:r>
      <w:r>
        <w:rPr>
          <w:rFonts w:ascii="Times New Roman" w:hAnsi="Times New Roman"/>
          <w:color w:val="000000"/>
          <w:sz w:val="24"/>
        </w:rPr>
        <w:t>Si alguna dimensión D1–D7 falta, la geométrica produce 0 y el score se distorsiona. La lógica de re-ponderación por datos faltantes (excluir dimensión + redistribuir peso proporcionalmente) aún no está implementada en la fórmula Excel.</w:t>
      </w:r>
    </w:p>
    <w:p>
      <w:pPr>
        <w:spacing w:before="80" w:after="80" w:lineRule="auto" w:line="360"/>
        <w:ind w:firstLine="0"/>
        <w:jc w:val="both"/>
      </w:pPr>
      <w:r>
        <w:rPr>
          <w:rFonts w:ascii="Times New Roman" w:hAnsi="Times New Roman"/>
          <w:b/>
          <w:color w:val="000000"/>
          <w:sz w:val="24"/>
        </w:rPr>
        <w:t xml:space="preserve">D15 (gestión fitosanitaria): brecha cacao sin herramienta validada. </w:t>
      </w:r>
      <w:r>
        <w:rPr>
          <w:rFonts w:ascii="Times New Roman" w:hAnsi="Times New Roman"/>
          <w:color w:val="000000"/>
          <w:sz w:val="24"/>
        </w:rPr>
        <w:t>Las preguntas aplican a ambas cadenas pero el umbral LMR del mercado UE puede diferir para cacao. La cuantificación requiere desarrollo adicional.</w:t>
      </w:r>
    </w:p>
    <w:p>
      <w:pPr>
        <w:spacing w:before="80" w:after="80" w:lineRule="auto" w:line="360"/>
        <w:ind w:firstLine="0"/>
        <w:jc w:val="both"/>
      </w:pPr>
      <w:r>
        <w:rPr>
          <w:rFonts w:ascii="Times New Roman" w:hAnsi="Times New Roman"/>
          <w:b/>
          <w:color w:val="000000"/>
          <w:sz w:val="24"/>
        </w:rPr>
        <w:t xml:space="preserve">Corte tipológico (50) es una proxy de validación pendiente. </w:t>
      </w:r>
      <w:r>
        <w:rPr>
          <w:rFonts w:ascii="Times New Roman" w:hAnsi="Times New Roman"/>
          <w:color w:val="000000"/>
          <w:sz w:val="24"/>
        </w:rPr>
        <w:t>Se validará con datos reales una vez completado el Instrumento 2 en campo.</w:t>
      </w:r>
    </w:p>
    <w:p>
      <w:pPr>
        <w:spacing w:before="80" w:after="80" w:lineRule="auto" w:line="360"/>
        <w:ind w:firstLine="0"/>
        <w:jc w:val="both"/>
      </w:pPr>
      <w:r>
        <w:rPr>
          <w:rFonts w:ascii="Times New Roman" w:hAnsi="Times New Roman"/>
          <w:b/>
          <w:color w:val="000000"/>
          <w:sz w:val="24"/>
        </w:rPr>
        <w:t xml:space="preserve">Pesos sin panel AHP: los ponderadores son puntos de partida justificados. </w:t>
      </w:r>
      <w:r>
        <w:rPr>
          <w:rFonts w:ascii="Times New Roman" w:hAnsi="Times New Roman"/>
          <w:color w:val="000000"/>
          <w:sz w:val="24"/>
        </w:rPr>
        <w:t>La estructura 87,5%/12,5% y 70%/30% se sustenta en bibliografía de OECD y JRC. El panel AHP con 8–10 expertos está pendiente de convocatoria.</w:t>
      </w:r>
    </w:p>
    <w:p>
      <w:pPr>
        <w:spacing w:before="80" w:after="80" w:lineRule="auto" w:line="360"/>
        <w:ind w:firstLine="0"/>
        <w:jc w:val="both"/>
      </w:pPr>
      <w:r>
        <w:rPr>
          <w:rFonts w:ascii="Times New Roman" w:hAnsi="Times New Roman"/>
          <w:b/>
          <w:color w:val="000000"/>
          <w:sz w:val="24"/>
        </w:rPr>
        <w:t xml:space="preserve">CBAM no aplica a café ni cacao hoy. </w:t>
      </w:r>
      <w:r>
        <w:rPr>
          <w:rFonts w:ascii="Times New Roman" w:hAnsi="Times New Roman"/>
          <w:color w:val="000000"/>
          <w:sz w:val="24"/>
        </w:rPr>
        <w:t>El Mecanismo de Ajuste en Frontera por Carbono cubre acero, cemento, electricidad, fertilizantes, aluminio e hidrógeno. Expansión futura a productos agrícolas es un riesgo a monitorear.</w:t>
      </w:r>
    </w:p>
    <w:p>
      <w:pPr>
        <w:spacing w:before="80" w:after="80" w:lineRule="auto" w:line="360"/>
        <w:ind w:firstLine="0"/>
        <w:jc w:val="both"/>
      </w:pPr>
      <w:r>
        <w:rPr>
          <w:rFonts w:ascii="Times New Roman" w:hAnsi="Times New Roman"/>
          <w:b/>
          <w:color w:val="000000"/>
          <w:sz w:val="24"/>
        </w:rPr>
        <w:t xml:space="preserve">Biodiversidad sin peso en el ISA-Completo. </w:t>
      </w:r>
      <w:r>
        <w:rPr>
          <w:rFonts w:ascii="Times New Roman" w:hAnsi="Times New Roman"/>
          <w:color w:val="000000"/>
          <w:sz w:val="24"/>
        </w:rPr>
        <w:t>Cubierta en la encuesta de productores (Instrumento 2) pero fuera del scope del índice por decisión metodológica documentada.</w:t>
      </w:r>
    </w:p>
    <w:p>
      <w:pPr>
        <w:keepNext/>
        <w:spacing w:before="360" w:after="120" w:lineRule="auto" w:line="360"/>
        <w:ind w:firstLine="0"/>
        <w:jc w:val="left"/>
      </w:pPr>
      <w:r>
        <w:rPr>
          <w:rFonts w:ascii="Times New Roman" w:hAnsi="Times New Roman"/>
          <w:b/>
          <w:color w:val="000000"/>
          <w:sz w:val="28"/>
        </w:rPr>
        <w:t>8. Hoja de ruta: cómo usar el índice para proteger el acceso al mercado</w:t>
      </w:r>
    </w:p>
    <w:p>
      <w:pPr>
        <w:spacing w:before="0" w:after="120" w:lineRule="auto" w:line="360"/>
        <w:ind w:firstLine="709"/>
        <w:jc w:val="both"/>
      </w:pPr>
      <w:r>
        <w:rPr>
          <w:rFonts w:ascii="Times New Roman" w:hAnsi="Times New Roman"/>
          <w:i w:val="0"/>
          <w:color w:val="000000"/>
          <w:sz w:val="24"/>
        </w:rPr>
        <w:t>La pregunta que responde esta sección no es "qué falta hacer" en abstracto. Es: dado que el EUDR está vigente y el mercado europeo se está filtrando, ¿en qué orden hacemos las cosas para que el mayor número de organizaciones sigan pudiendo exportar a Europa?</w:t>
      </w:r>
    </w:p>
    <w:p>
      <w:pPr>
        <w:keepNext/>
        <w:spacing w:before="240" w:after="80" w:lineRule="auto" w:line="360"/>
        <w:ind w:firstLine="0"/>
        <w:jc w:val="left"/>
      </w:pPr>
      <w:r>
        <w:rPr>
          <w:rFonts w:ascii="Times New Roman" w:hAnsi="Times New Roman"/>
          <w:b/>
          <w:color w:val="000000"/>
          <w:sz w:val="24"/>
        </w:rPr>
        <w:t>Fase 1 — Inmediato (0–30 días): proteger el acceso</w:t>
      </w:r>
    </w:p>
    <w:p>
      <w:pPr>
        <w:pStyle w:val="ListBullet"/>
        <w:spacing w:before="0" w:after="60" w:lineRule="auto" w:line="360"/>
        <w:ind w:firstLine="0" w:left="567"/>
      </w:pPr>
      <w:r>
        <w:rPr>
          <w:rFonts w:ascii="Times New Roman" w:hAnsi="Times New Roman"/>
          <w:color w:val="000000"/>
          <w:sz w:val="24"/>
        </w:rPr>
        <w:t>Aplicar Instrumento 2 v0.2 (89 preguntas) en campo, comenzar con 5–8 organizaciones piloto para calibrar comprensión de preguntas y tiempo de aplicación.</w:t>
      </w:r>
    </w:p>
    <w:p>
      <w:pPr>
        <w:pStyle w:val="ListBullet"/>
        <w:spacing w:before="0" w:after="60" w:lineRule="auto" w:line="360"/>
        <w:ind w:firstLine="0" w:left="567"/>
      </w:pPr>
      <w:r>
        <w:rPr>
          <w:rFonts w:ascii="Times New Roman" w:hAnsi="Times New Roman"/>
          <w:color w:val="000000"/>
          <w:sz w:val="24"/>
        </w:rPr>
        <w:t>Poblar el registro de certificaciones vigentes (B0.9 → MATRIZ_174!AU/AV) con certificaciones conocidas (Rainforest, UTZ, Orgánico, Fairtrade, 4C) — dato accesible sin visita de campo; alimenta IP5 por conteo. D10 mismo es bandera: sus ítems se reportan aparte.</w:t>
      </w:r>
    </w:p>
    <w:p>
      <w:pPr>
        <w:pStyle w:val="ListBullet"/>
        <w:spacing w:before="0" w:after="60" w:lineRule="auto" w:line="360"/>
        <w:ind w:firstLine="0" w:left="567"/>
      </w:pPr>
      <w:r>
        <w:rPr>
          <w:rFonts w:ascii="Times New Roman" w:hAnsi="Times New Roman"/>
          <w:color w:val="000000"/>
          <w:sz w:val="24"/>
        </w:rPr>
        <w:t>Calibrar D3 con consulta directa a OSCE para organizaciones sin score en Neon.</w:t>
      </w:r>
    </w:p>
    <w:p>
      <w:pPr>
        <w:pStyle w:val="ListBullet"/>
        <w:spacing w:before="0" w:after="60" w:lineRule="auto" w:line="360"/>
        <w:ind w:firstLine="0" w:left="567"/>
      </w:pPr>
      <w:r>
        <w:rPr>
          <w:rFonts w:ascii="Times New Roman" w:hAnsi="Times New Roman"/>
          <w:color w:val="000000"/>
          <w:sz w:val="24"/>
        </w:rPr>
        <w:t>Evaluar comprensibilidad de D15.Q56–Q60 (gestión fitosanitaria) con técnicos de campo antes de escalar.</w:t>
      </w:r>
    </w:p>
    <w:p>
      <w:pPr>
        <w:keepNext/>
        <w:spacing w:before="240" w:after="80" w:lineRule="auto" w:line="360"/>
        <w:ind w:firstLine="0"/>
        <w:jc w:val="left"/>
      </w:pPr>
      <w:r>
        <w:rPr>
          <w:rFonts w:ascii="Times New Roman" w:hAnsi="Times New Roman"/>
          <w:b/>
          <w:color w:val="000000"/>
          <w:sz w:val="24"/>
        </w:rPr>
        <w:t>Fase 2 — Corto plazo (1–3 meses): completar el mapa</w:t>
      </w:r>
    </w:p>
    <w:p>
      <w:pPr>
        <w:pStyle w:val="ListBullet"/>
        <w:spacing w:before="0" w:after="60" w:lineRule="auto" w:line="360"/>
        <w:ind w:firstLine="0" w:left="567"/>
      </w:pPr>
      <w:r>
        <w:rPr>
          <w:rFonts w:ascii="Times New Roman" w:hAnsi="Times New Roman"/>
          <w:color w:val="000000"/>
          <w:sz w:val="24"/>
        </w:rPr>
        <w:t>Completar Instrumento 2 para las 174 organizaciones.</w:t>
      </w:r>
    </w:p>
    <w:p>
      <w:pPr>
        <w:pStyle w:val="ListBullet"/>
        <w:spacing w:before="0" w:after="60" w:lineRule="auto" w:line="360"/>
        <w:ind w:firstLine="0" w:left="567"/>
      </w:pPr>
      <w:r>
        <w:rPr>
          <w:rFonts w:ascii="Times New Roman" w:hAnsi="Times New Roman"/>
          <w:color w:val="000000"/>
          <w:sz w:val="24"/>
        </w:rPr>
        <w:t>Ejecutar panel AHP para validar pesos de IP, IV y la proporción 70/30 del ISA-Completo.</w:t>
      </w:r>
    </w:p>
    <w:p>
      <w:pPr>
        <w:pStyle w:val="ListBullet"/>
        <w:spacing w:before="0" w:after="60" w:lineRule="auto" w:line="360"/>
        <w:ind w:firstLine="0" w:left="567"/>
      </w:pPr>
      <w:r>
        <w:rPr>
          <w:rFonts w:ascii="Times New Roman" w:hAnsi="Times New Roman"/>
          <w:color w:val="000000"/>
          <w:sz w:val="24"/>
        </w:rPr>
        <w:t>Incorporar dato real de hectáreas deforestadas si disponible vía MIDAGRI o Gobierno Regional.</w:t>
      </w:r>
    </w:p>
    <w:p>
      <w:pPr>
        <w:pStyle w:val="ListBullet"/>
        <w:spacing w:before="0" w:after="60" w:lineRule="auto" w:line="360"/>
        <w:ind w:firstLine="0" w:left="567"/>
      </w:pPr>
      <w:r>
        <w:rPr>
          <w:rFonts w:ascii="Times New Roman" w:hAnsi="Times New Roman"/>
          <w:color w:val="000000"/>
          <w:sz w:val="24"/>
        </w:rPr>
        <w:t>Validar el corte tipológico (50) con datos completos y ajustar si la distribución lo amerita.</w:t>
      </w:r>
    </w:p>
    <w:p>
      <w:pPr>
        <w:pStyle w:val="ListBullet"/>
        <w:spacing w:before="0" w:after="60" w:lineRule="auto" w:line="360"/>
        <w:ind w:firstLine="0" w:left="567"/>
      </w:pPr>
      <w:r>
        <w:rPr>
          <w:rFonts w:ascii="Times New Roman" w:hAnsi="Times New Roman"/>
          <w:color w:val="000000"/>
          <w:sz w:val="24"/>
        </w:rPr>
        <w:t>Desarrollar o adaptar herramienta de huella de carbono para cacao (colaboración con CIFF, CATIE, CIPCA o aliado similar).</w:t>
      </w:r>
    </w:p>
    <w:p>
      <w:pPr>
        <w:keepNext/>
        <w:spacing w:before="240" w:after="80" w:lineRule="auto" w:line="360"/>
        <w:ind w:firstLine="0"/>
        <w:jc w:val="left"/>
      </w:pPr>
      <w:r>
        <w:rPr>
          <w:rFonts w:ascii="Times New Roman" w:hAnsi="Times New Roman"/>
          <w:b/>
          <w:color w:val="000000"/>
          <w:sz w:val="24"/>
        </w:rPr>
        <w:t>Fase 3 — Mediano plazo (3–6 meses): convertir scores en acciones</w:t>
      </w:r>
    </w:p>
    <w:p>
      <w:pPr>
        <w:pStyle w:val="ListBullet"/>
        <w:spacing w:before="0" w:after="60" w:lineRule="auto" w:line="360"/>
        <w:ind w:firstLine="0" w:left="567"/>
      </w:pPr>
      <w:r>
        <w:rPr>
          <w:rFonts w:ascii="Times New Roman" w:hAnsi="Times New Roman"/>
          <w:color w:val="000000"/>
          <w:sz w:val="24"/>
        </w:rPr>
        <w:t>Generar el primer ISA-Completo validado con datos de Instrumento 2.</w:t>
      </w:r>
    </w:p>
    <w:p>
      <w:pPr>
        <w:pStyle w:val="ListBullet"/>
        <w:spacing w:before="0" w:after="60" w:lineRule="auto" w:line="360"/>
        <w:ind w:firstLine="0" w:left="567"/>
      </w:pPr>
      <w:r>
        <w:rPr>
          <w:rFonts w:ascii="Times New Roman" w:hAnsi="Times New Roman"/>
          <w:color w:val="000000"/>
          <w:sz w:val="24"/>
        </w:rPr>
        <w:t>Clasificar las 174 organizaciones en los cuatro cuadrantes IP×IV.</w:t>
      </w:r>
    </w:p>
    <w:p>
      <w:pPr>
        <w:pStyle w:val="ListBullet"/>
        <w:spacing w:before="0" w:after="60" w:lineRule="auto" w:line="360"/>
        <w:ind w:firstLine="0" w:left="567"/>
      </w:pPr>
      <w:r>
        <w:rPr>
          <w:rFonts w:ascii="Times New Roman" w:hAnsi="Times New Roman"/>
          <w:color w:val="000000"/>
          <w:sz w:val="24"/>
        </w:rPr>
        <w:t>Diseñar plan de intervención por cuadrante: preventivo para Riesgo Latente, intensivo para Riesgo Crítico, estratégico para Expuestas-Adaptables.</w:t>
      </w:r>
    </w:p>
    <w:p>
      <w:pPr>
        <w:pStyle w:val="ListBullet"/>
        <w:spacing w:before="0" w:after="60" w:lineRule="auto" w:line="360"/>
        <w:ind w:firstLine="0" w:left="567"/>
      </w:pPr>
      <w:r>
        <w:rPr>
          <w:rFonts w:ascii="Times New Roman" w:hAnsi="Times New Roman"/>
          <w:color w:val="000000"/>
          <w:sz w:val="24"/>
        </w:rPr>
        <w:t>Preparar a organizaciones para requisitos CSRD de sus compradores europeos — los tostadores europeos grandes ya están en plena implementación.</w:t>
      </w:r>
    </w:p>
    <w:p>
      <w:pPr>
        <w:pStyle w:val="ListBullet"/>
        <w:spacing w:before="0" w:after="60" w:lineRule="auto" w:line="360"/>
        <w:ind w:firstLine="0" w:left="567"/>
      </w:pPr>
      <w:r>
        <w:rPr>
          <w:rFonts w:ascii="Times New Roman" w:hAnsi="Times New Roman"/>
          <w:color w:val="000000"/>
          <w:sz w:val="24"/>
        </w:rPr>
        <w:t>Evaluar necesidad de integrar datos SEACE para trazabilidad de contratos de compraventa.</w:t>
      </w:r>
    </w:p>
    <w:p>
      <w:pPr>
        <w:pStyle w:val="ListBullet"/>
        <w:spacing w:before="0" w:after="60" w:lineRule="auto" w:line="360"/>
        <w:ind w:firstLine="0" w:left="567"/>
      </w:pPr>
      <w:r>
        <w:rPr>
          <w:rFonts w:ascii="Times New Roman" w:hAnsi="Times New Roman"/>
          <w:color w:val="000000"/>
          <w:sz w:val="24"/>
        </w:rPr>
        <w:t>Publicar primera versión validada del índice en la plataforma EUDR Perú.</w:t>
      </w:r>
    </w:p>
    <w:p>
      <w:r>
        <w:br w:type="page"/>
      </w:r>
    </w:p>
    <w:p>
      <w:pPr>
        <w:keepNext/>
        <w:spacing w:before="360" w:after="120" w:lineRule="auto" w:line="360"/>
        <w:ind w:firstLine="0"/>
        <w:jc w:val="left"/>
      </w:pPr>
      <w:r>
        <w:rPr>
          <w:rFonts w:ascii="Times New Roman" w:hAnsi="Times New Roman"/>
          <w:b/>
          <w:color w:val="000000"/>
          <w:sz w:val="28"/>
        </w:rPr>
        <w:t>Anexo. Tabla de ponderadores ISCAM — Versión de trabajo</w:t>
      </w:r>
    </w:p>
    <w:p>
      <w:pPr>
        <w:spacing w:before="0" w:after="120" w:lineRule="auto" w:line="360"/>
        <w:ind w:firstLine="709"/>
        <w:jc w:val="both"/>
      </w:pPr>
      <w:r>
        <w:rPr>
          <w:rFonts w:ascii="Times New Roman" w:hAnsi="Times New Roman"/>
          <w:i w:val="0"/>
          <w:color w:val="000000"/>
          <w:sz w:val="22"/>
        </w:rPr>
        <w:t>Los ponderadores de IP e IV (pesos iguales al 20% por sub-dimensión) son puntos de partida validados por bibliografía de OECD y JRC. El panel AHP con 8–10 expertos de cadena de valor café/cacao validará los pesos antes de la versión final. Se pueden modificar en la hoja PONDERADORES de la plantilla para análisis de sensibilidad.</w:t>
      </w:r>
    </w:p>
    <w:tbl>
      <w:tblPr>
        <w:tblStyle w:val="TableGrid"/>
        <w:tblW w:type="auto" w:w="0"/>
        <w:tblLook w:firstColumn="1" w:firstRow="1" w:lastColumn="0" w:lastRow="0" w:noHBand="0" w:noVBand="1" w:val="04A0"/>
      </w:tblPr>
      <w:tblGrid>
        <w:gridCol w:w="1928"/>
        <w:gridCol w:w="3515"/>
        <w:gridCol w:w="1928"/>
      </w:tblGrid>
      <w:tr>
        <w:tc>
          <w:tcPr>
            <w:tcW w:type="dxa" w:w="3120"/>
            <w:vAlign w:val="center"/>
            <w:shd w:val="clear" w:color="auto" w:fill="000000"/>
          </w:tcPr>
          <w:p>
            <w:pPr>
              <w:spacing w:before="60" w:after="60" w:line="240" w:lineRule="auto"/>
              <w:jc w:val="center"/>
            </w:pPr>
            <w:r/>
            <w:r>
              <w:rPr>
                <w:rFonts w:ascii="Times New Roman" w:hAnsi="Times New Roman"/>
                <w:b/>
                <w:color w:val="FFFFFF"/>
                <w:sz w:val="19"/>
              </w:rPr>
              <w:t>Sub-dimensión</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Fórmula de cálculo</w:t>
            </w:r>
          </w:p>
        </w:tc>
        <w:tc>
          <w:tcPr>
            <w:tcW w:type="dxa" w:w="3120"/>
            <w:vAlign w:val="center"/>
            <w:shd w:val="clear" w:color="auto" w:fill="000000"/>
          </w:tcPr>
          <w:p>
            <w:pPr>
              <w:spacing w:before="60" w:after="60" w:line="240" w:lineRule="auto"/>
              <w:jc w:val="center"/>
            </w:pPr>
            <w:r/>
            <w:r>
              <w:rPr>
                <w:rFonts w:ascii="Times New Roman" w:hAnsi="Times New Roman"/>
                <w:b/>
                <w:color w:val="FFFFFF"/>
                <w:sz w:val="19"/>
              </w:rPr>
              <w:t>Peso</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ISA-EUDR</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0,875×∛(D1×D2×...×D7) + 0,125×(D8+D9)/2</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ISA-PactoVerde</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PROMEDIO(D12:D15)</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ISA-Completo</w:t>
            </w:r>
          </w:p>
        </w:tc>
        <w:tc>
          <w:tcPr>
            <w:tcW w:type="dxa" w:w="3515"/>
            <w:vAlign w:val="center"/>
            <w:shd w:val="clear" w:color="auto" w:fill="D9D9D9"/>
          </w:tcPr>
          <w:p>
            <w:pPr>
              <w:spacing w:before="40" w:after="40" w:line="240" w:lineRule="auto"/>
              <w:ind w:firstLine="0"/>
              <w:jc w:val="left"/>
            </w:pPr>
            <w:r/>
            <w:r>
              <w:rPr>
                <w:rFonts w:ascii="Times New Roman" w:hAnsi="Times New Roman"/>
                <w:b/>
                <w:color w:val="000000"/>
                <w:sz w:val="18"/>
              </w:rPr>
              <w:t>= 0,70×ISA-EUDR + 0,30×ISA-PV</w:t>
            </w:r>
          </w:p>
        </w:tc>
        <w:tc>
          <w:tcPr>
            <w:tcW w:type="dxa" w:w="1928"/>
            <w:vAlign w:val="center"/>
            <w:shd w:val="clear" w:color="auto" w:fill="D9D9D9"/>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IP1</w:t>
            </w:r>
          </w:p>
        </w:tc>
        <w:tc>
          <w:tcPr>
            <w:tcW w:type="dxa" w:w="3515"/>
            <w:vAlign w:val="center"/>
          </w:tcPr>
          <w:p>
            <w:pPr>
              <w:spacing w:before="40" w:after="40" w:line="240" w:lineRule="auto"/>
              <w:ind w:firstLine="0"/>
              <w:jc w:val="left"/>
            </w:pPr>
            <w:r/>
            <w:r>
              <w:rPr>
                <w:rFonts w:ascii="Times New Roman" w:hAnsi="Times New Roman"/>
                <w:b w:val="0"/>
                <w:color w:val="000000"/>
                <w:sz w:val="18"/>
              </w:rPr>
              <w:t>= D2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IP2</w:t>
            </w:r>
          </w:p>
        </w:tc>
        <w:tc>
          <w:tcPr>
            <w:tcW w:type="dxa" w:w="3515"/>
            <w:vAlign w:val="center"/>
          </w:tcPr>
          <w:p>
            <w:pPr>
              <w:spacing w:before="40" w:after="40" w:line="240" w:lineRule="auto"/>
              <w:ind w:firstLine="0"/>
              <w:jc w:val="left"/>
            </w:pPr>
            <w:r/>
            <w:r>
              <w:rPr>
                <w:rFonts w:ascii="Times New Roman" w:hAnsi="Times New Roman"/>
                <w:b w:val="0"/>
                <w:color w:val="000000"/>
                <w:sz w:val="18"/>
              </w:rPr>
              <w:t>= √(D3 × D4)</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IP3</w:t>
            </w:r>
          </w:p>
        </w:tc>
        <w:tc>
          <w:tcPr>
            <w:tcW w:type="dxa" w:w="3515"/>
            <w:vAlign w:val="center"/>
          </w:tcPr>
          <w:p>
            <w:pPr>
              <w:spacing w:before="40" w:after="40" w:line="240" w:lineRule="auto"/>
              <w:ind w:firstLine="0"/>
              <w:jc w:val="left"/>
            </w:pPr>
            <w:r/>
            <w:r>
              <w:rPr>
                <w:rFonts w:ascii="Times New Roman" w:hAnsi="Times New Roman"/>
                <w:b w:val="0"/>
                <w:color w:val="000000"/>
                <w:sz w:val="18"/>
              </w:rPr>
              <w:t>= (D5 + D6 + D8) / 3</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IP4</w:t>
            </w:r>
          </w:p>
        </w:tc>
        <w:tc>
          <w:tcPr>
            <w:tcW w:type="dxa" w:w="3515"/>
            <w:vAlign w:val="center"/>
          </w:tcPr>
          <w:p>
            <w:pPr>
              <w:spacing w:before="40" w:after="40" w:line="240" w:lineRule="auto"/>
              <w:ind w:firstLine="0"/>
              <w:jc w:val="left"/>
            </w:pPr>
            <w:r/>
            <w:r>
              <w:rPr>
                <w:rFonts w:ascii="Times New Roman" w:hAnsi="Times New Roman"/>
                <w:b w:val="0"/>
                <w:color w:val="000000"/>
                <w:sz w:val="18"/>
              </w:rPr>
              <w:t>= (D6.23 + D2.9) / 2</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IP5</w:t>
            </w:r>
          </w:p>
        </w:tc>
        <w:tc>
          <w:tcPr>
            <w:tcW w:type="dxa" w:w="3515"/>
            <w:vAlign w:val="center"/>
          </w:tcPr>
          <w:p>
            <w:pPr>
              <w:spacing w:before="40" w:after="40" w:line="240" w:lineRule="auto"/>
              <w:ind w:firstLine="0"/>
              <w:jc w:val="left"/>
            </w:pPr>
            <w:r/>
            <w:r>
              <w:rPr>
                <w:rFonts w:ascii="Times New Roman" w:hAnsi="Times New Roman"/>
                <w:b w:val="0"/>
                <w:color w:val="000000"/>
                <w:sz w:val="18"/>
              </w:rPr>
              <w:t>= (D7 + D9 + Cert) / 3 · Cert = conteo 0/33/66/100 · Cert = conteo 0/33/66/100</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IP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PROMEDIO(IP1:IP5)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tcPr>
          <w:p>
            <w:pPr>
              <w:spacing w:before="40" w:after="40" w:line="240" w:lineRule="auto"/>
              <w:ind w:firstLine="0"/>
              <w:jc w:val="left"/>
            </w:pPr>
            <w:r/>
            <w:r>
              <w:rPr>
                <w:rFonts w:ascii="Times New Roman" w:hAnsi="Times New Roman"/>
                <w:b w:val="0"/>
                <w:color w:val="000000"/>
                <w:sz w:val="18"/>
              </w:rPr>
              <w:t>IV1</w:t>
            </w:r>
          </w:p>
        </w:tc>
        <w:tc>
          <w:tcPr>
            <w:tcW w:type="dxa" w:w="3515"/>
            <w:vAlign w:val="center"/>
          </w:tcPr>
          <w:p>
            <w:pPr>
              <w:spacing w:before="40" w:after="40" w:line="240" w:lineRule="auto"/>
              <w:ind w:firstLine="0"/>
              <w:jc w:val="left"/>
            </w:pPr>
            <w:r/>
            <w:r>
              <w:rPr>
                <w:rFonts w:ascii="Times New Roman" w:hAnsi="Times New Roman"/>
                <w:b w:val="0"/>
                <w:color w:val="000000"/>
                <w:sz w:val="18"/>
              </w:rPr>
              <w:t>= presión EU × ISA-PV (Bloque P)</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IV2</w:t>
            </w:r>
          </w:p>
        </w:tc>
        <w:tc>
          <w:tcPr>
            <w:tcW w:type="dxa" w:w="3515"/>
            <w:vAlign w:val="center"/>
          </w:tcPr>
          <w:p>
            <w:pPr>
              <w:spacing w:before="40" w:after="40" w:line="240" w:lineRule="auto"/>
              <w:ind w:firstLine="0"/>
              <w:jc w:val="left"/>
            </w:pPr>
            <w:r/>
            <w:r>
              <w:rPr>
                <w:rFonts w:ascii="Times New Roman" w:hAnsi="Times New Roman"/>
                <w:b w:val="0"/>
                <w:color w:val="000000"/>
                <w:sz w:val="18"/>
              </w:rPr>
              <w:t>= D1 (clasificación, base 50 si pendiente)</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IV3</w:t>
            </w:r>
          </w:p>
        </w:tc>
        <w:tc>
          <w:tcPr>
            <w:tcW w:type="dxa" w:w="3515"/>
            <w:vAlign w:val="center"/>
          </w:tcPr>
          <w:p>
            <w:pPr>
              <w:spacing w:before="40" w:after="40" w:line="240" w:lineRule="auto"/>
              <w:ind w:firstLine="0"/>
              <w:jc w:val="left"/>
            </w:pPr>
            <w:r/>
            <w:r>
              <w:rPr>
                <w:rFonts w:ascii="Times New Roman" w:hAnsi="Times New Roman"/>
                <w:b w:val="0"/>
                <w:color w:val="000000"/>
                <w:sz w:val="18"/>
              </w:rPr>
              <w:t>= ha&gt;0? → 65 : 35 (fragilidad territorial)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IV4</w:t>
            </w:r>
          </w:p>
        </w:tc>
        <w:tc>
          <w:tcPr>
            <w:tcW w:type="dxa" w:w="3515"/>
            <w:vAlign w:val="center"/>
          </w:tcPr>
          <w:p>
            <w:pPr>
              <w:spacing w:before="40" w:after="40" w:line="240" w:lineRule="auto"/>
              <w:ind w:firstLine="0"/>
              <w:jc w:val="left"/>
            </w:pPr>
            <w:r/>
            <w:r>
              <w:rPr>
                <w:rFonts w:ascii="Times New Roman" w:hAnsi="Times New Roman"/>
                <w:b w:val="0"/>
                <w:color w:val="000000"/>
                <w:sz w:val="18"/>
              </w:rPr>
              <w:t>= cert=0? → 70 : 30 (brecha tecnológica)</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tcPr>
          <w:p>
            <w:pPr>
              <w:spacing w:before="40" w:after="40" w:line="240" w:lineRule="auto"/>
              <w:ind w:firstLine="0"/>
              <w:jc w:val="left"/>
            </w:pPr>
            <w:r/>
            <w:r>
              <w:rPr>
                <w:rFonts w:ascii="Times New Roman" w:hAnsi="Times New Roman"/>
                <w:b w:val="0"/>
                <w:color w:val="000000"/>
                <w:sz w:val="18"/>
              </w:rPr>
              <w:t>IV5</w:t>
            </w:r>
          </w:p>
        </w:tc>
        <w:tc>
          <w:tcPr>
            <w:tcW w:type="dxa" w:w="3515"/>
            <w:vAlign w:val="center"/>
          </w:tcPr>
          <w:p>
            <w:pPr>
              <w:spacing w:before="40" w:after="40" w:line="240" w:lineRule="auto"/>
              <w:ind w:firstLine="0"/>
              <w:jc w:val="left"/>
            </w:pPr>
            <w:r/>
            <w:r>
              <w:rPr>
                <w:rFonts w:ascii="Times New Roman" w:hAnsi="Times New Roman"/>
                <w:b w:val="0"/>
                <w:color w:val="000000"/>
                <w:sz w:val="18"/>
              </w:rPr>
              <w:t>= tipo Asoc? → 65 : 40 (riesgo social)</w:t>
            </w:r>
          </w:p>
        </w:tc>
        <w:tc>
          <w:tcPr>
            <w:tcW w:type="dxa" w:w="1928"/>
            <w:vAlign w:val="center"/>
          </w:tcPr>
          <w:p>
            <w:pPr>
              <w:spacing w:before="40" w:after="40" w:line="240" w:lineRule="auto"/>
              <w:ind w:firstLine="0"/>
              <w:jc w:val="left"/>
            </w:pPr>
            <w:r/>
            <w:r>
              <w:rPr>
                <w:rFonts w:ascii="Times New Roman" w:hAnsi="Times New Roman"/>
                <w:b w:val="0"/>
                <w:color w:val="000000"/>
                <w:sz w:val="18"/>
              </w:rPr>
              <w:t>20%</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IV (total)</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PROMEDIO(IV1:IV5)</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100%</w:t>
            </w:r>
          </w:p>
        </w:tc>
      </w:tr>
      <w:tr>
        <w:tc>
          <w:tcPr>
            <w:tcW w:type="dxa" w:w="1928"/>
            <w:vAlign w:val="center"/>
          </w:tcPr>
          <w:p>
            <w:pPr>
              <w:spacing w:before="40" w:after="40" w:line="240" w:lineRule="auto"/>
              <w:ind w:firstLine="0"/>
              <w:jc w:val="left"/>
            </w:pPr>
            <w:r/>
            <w:r>
              <w:rPr>
                <w:rFonts w:ascii="Times New Roman" w:hAnsi="Times New Roman"/>
                <w:b w:val="0"/>
                <w:color w:val="000000"/>
                <w:sz w:val="18"/>
              </w:rPr>
            </w:r>
          </w:p>
        </w:tc>
        <w:tc>
          <w:tcPr>
            <w:tcW w:type="dxa" w:w="3515"/>
            <w:vAlign w:val="center"/>
          </w:tcPr>
          <w:p>
            <w:pPr>
              <w:spacing w:before="40" w:after="40" w:line="240" w:lineRule="auto"/>
              <w:ind w:firstLine="0"/>
              <w:jc w:val="left"/>
            </w:pPr>
            <w:r/>
            <w:r>
              <w:rPr>
                <w:rFonts w:ascii="Times New Roman" w:hAnsi="Times New Roman"/>
                <w:b w:val="0"/>
                <w:color w:val="000000"/>
                <w:sz w:val="18"/>
              </w:rPr>
            </w:r>
          </w:p>
        </w:tc>
        <w:tc>
          <w:tcPr>
            <w:tcW w:type="dxa" w:w="1928"/>
            <w:vAlign w:val="center"/>
          </w:tcPr>
          <w:p>
            <w:pPr>
              <w:spacing w:before="40" w:after="40" w:line="240" w:lineRule="auto"/>
              <w:ind w:firstLine="0"/>
              <w:jc w:val="left"/>
            </w:pPr>
            <w:r/>
            <w:r>
              <w:rPr>
                <w:rFonts w:ascii="Times New Roman" w:hAnsi="Times New Roman"/>
                <w:b w:val="0"/>
                <w:color w:val="000000"/>
                <w:sz w:val="18"/>
              </w:rPr>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RE</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 IV × (1 − IP/100)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w:t>
            </w:r>
          </w:p>
        </w:tc>
      </w:tr>
      <w:tr>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Cuadrante 2×2</w:t>
            </w:r>
          </w:p>
        </w:tc>
        <w:tc>
          <w:tcPr>
            <w:tcW w:type="dxa" w:w="3515"/>
            <w:vAlign w:val="center"/>
            <w:shd w:val="clear" w:color="auto" w:fill="E8E8E8"/>
          </w:tcPr>
          <w:p>
            <w:pPr>
              <w:spacing w:before="40" w:after="40" w:line="240" w:lineRule="auto"/>
              <w:ind w:firstLine="0"/>
              <w:jc w:val="left"/>
            </w:pPr>
            <w:r/>
            <w:r>
              <w:rPr>
                <w:rFonts w:ascii="Times New Roman" w:hAnsi="Times New Roman"/>
                <w:b/>
                <w:color w:val="000000"/>
                <w:sz w:val="18"/>
              </w:rPr>
              <w:t>IP≥50 vs &lt;50  ×  IV≥50 vs &lt;50</w:t>
            </w:r>
          </w:p>
        </w:tc>
        <w:tc>
          <w:tcPr>
            <w:tcW w:type="dxa" w:w="1928"/>
            <w:vAlign w:val="center"/>
            <w:shd w:val="clear" w:color="auto" w:fill="E8E8E8"/>
          </w:tcPr>
          <w:p>
            <w:pPr>
              <w:spacing w:before="40" w:after="40" w:line="240" w:lineRule="auto"/>
              <w:ind w:firstLine="0"/>
              <w:jc w:val="left"/>
            </w:pPr>
            <w:r/>
            <w:r>
              <w:rPr>
                <w:rFonts w:ascii="Times New Roman" w:hAnsi="Times New Roman"/>
                <w:b/>
                <w:color w:val="000000"/>
                <w:sz w:val="18"/>
              </w:rPr>
              <w:t>Corte=50</w:t>
            </w:r>
          </w:p>
        </w:tc>
      </w:tr>
    </w:tbl>
    <w:p>
      <w:pPr>
        <w:spacing w:before="0" w:after="80" w:lineRule="auto" w:line="360"/>
        <w:ind w:firstLine="709"/>
        <w:jc w:val="both"/>
      </w:pPr>
      <w:r>
        <w:rPr>
          <w:rFonts w:ascii="Times New Roman" w:hAnsi="Times New Roman"/>
          <w:i w:val="0"/>
          <w:color w:val="000000"/>
          <w:sz w:val="24"/>
        </w:rPr>
      </w:r>
    </w:p>
    <w:p>
      <w:pPr>
        <w:spacing w:before="0" w:after="120" w:lineRule="auto" w:line="360"/>
        <w:ind w:firstLine="709"/>
        <w:jc w:val="both"/>
      </w:pPr>
      <w:r>
        <w:rPr>
          <w:rFonts w:ascii="Times New Roman" w:hAnsi="Times New Roman"/>
          <w:i/>
          <w:color w:val="000000"/>
          <w:sz w:val="20"/>
        </w:rPr>
        <w:t>ISA-EUDR e ISA-PV usan pesos FIJOS (87,5%/12,5% y 70%/30%). IP e IV usan pesos IGUALES (20% por sub-dimensión). Los scores se recalculan automáticamente al modificar cualquier valor en la hoja ISCAM_Score de la plantilla.</w:t>
      </w:r>
    </w:p>
    <w:p>
      <w:r>
        <w:br w:type="page"/>
      </w:r>
    </w:p>
    <w:p>
      <w:pPr>
        <w:keepNext/>
        <w:spacing w:before="360" w:after="120" w:lineRule="auto" w:line="360"/>
        <w:ind w:firstLine="0"/>
        <w:jc w:val="left"/>
      </w:pPr>
      <w:r>
        <w:rPr>
          <w:rFonts w:ascii="Times New Roman" w:hAnsi="Times New Roman"/>
          <w:b/>
          <w:color w:val="000000"/>
          <w:sz w:val="28"/>
        </w:rPr>
        <w:t>REFERENCIAS</w:t>
      </w:r>
    </w:p>
    <w:p>
      <w:pPr>
        <w:spacing w:before="0" w:after="80" w:lineRule="auto" w:line="360"/>
        <w:ind w:hanging="709" w:left="709"/>
        <w:jc w:val="both"/>
      </w:pPr>
      <w:r>
        <w:rPr>
          <w:rFonts w:ascii="Times New Roman" w:hAnsi="Times New Roman"/>
          <w:color w:val="000000"/>
          <w:sz w:val="22"/>
        </w:rPr>
        <w:t>European Commission. (2023). Regulation (EU) 2023/1115 on the making available on the Union market and the export from the Union of certain commodities and products associated with deforestation and forest degradation. Official Journal of the European Union, L 150/206.</w:t>
      </w:r>
    </w:p>
    <w:p>
      <w:pPr>
        <w:spacing w:before="0" w:after="80" w:lineRule="auto" w:line="360"/>
        <w:ind w:hanging="709" w:left="709"/>
        <w:jc w:val="both"/>
      </w:pPr>
      <w:r>
        <w:rPr>
          <w:rFonts w:ascii="Times New Roman" w:hAnsi="Times New Roman"/>
          <w:color w:val="000000"/>
          <w:sz w:val="22"/>
        </w:rPr>
        <w:t>European Commission. (2024). Directive (EU) 2024/1760 on corporate sustainability due diligence and on the amendment of Directive (EU) 2019/1937 and Regulation (EU) 2023/2859. Official Journal of the European Union.</w:t>
      </w:r>
    </w:p>
    <w:p>
      <w:pPr>
        <w:spacing w:before="0" w:after="80" w:lineRule="auto" w:line="360"/>
        <w:ind w:hanging="709" w:left="709"/>
        <w:jc w:val="both"/>
      </w:pPr>
      <w:r>
        <w:rPr>
          <w:rFonts w:ascii="Times New Roman" w:hAnsi="Times New Roman"/>
          <w:color w:val="000000"/>
          <w:sz w:val="22"/>
        </w:rPr>
        <w:t>European Commission. (2019). The European Green Deal. COM(2019) 640 final. Brussels.</w:t>
      </w:r>
    </w:p>
    <w:p>
      <w:pPr>
        <w:spacing w:before="0" w:after="80" w:lineRule="auto" w:line="360"/>
        <w:ind w:hanging="709" w:left="709"/>
        <w:jc w:val="both"/>
      </w:pPr>
      <w:r>
        <w:rPr>
          <w:rFonts w:ascii="Times New Roman" w:hAnsi="Times New Roman"/>
          <w:color w:val="000000"/>
          <w:sz w:val="22"/>
        </w:rPr>
        <w:t>European Commission. (2020). Farm to Fork Strategy. COM(2020) 381 final. Brussels.</w:t>
      </w:r>
    </w:p>
    <w:p>
      <w:pPr>
        <w:spacing w:before="0" w:after="80" w:lineRule="auto" w:line="360"/>
        <w:ind w:hanging="709" w:left="709"/>
        <w:jc w:val="both"/>
      </w:pPr>
      <w:r>
        <w:rPr>
          <w:rFonts w:ascii="Times New Roman" w:hAnsi="Times New Roman"/>
          <w:color w:val="000000"/>
          <w:sz w:val="22"/>
        </w:rPr>
        <w:t>Ministerio de Economía y Finanzas. (2026). Ejecución presupuestal 2026. Sistema Integrado de Administración Financiera. Lima.</w:t>
      </w:r>
    </w:p>
    <w:p>
      <w:pPr>
        <w:spacing w:before="0" w:after="80" w:lineRule="auto" w:line="360"/>
        <w:ind w:hanging="709" w:left="709"/>
        <w:jc w:val="both"/>
      </w:pPr>
      <w:r>
        <w:rPr>
          <w:rFonts w:ascii="Times New Roman" w:hAnsi="Times New Roman"/>
          <w:color w:val="000000"/>
          <w:sz w:val="22"/>
        </w:rPr>
        <w:t>Organismo de Evaluación y Fiscalización Ambiental. (2025). Registro de infracciones ambientales 2024. OEFA. Lima.</w:t>
      </w:r>
    </w:p>
    <w:p>
      <w:pPr>
        <w:spacing w:before="0" w:after="80" w:lineRule="auto" w:line="360"/>
        <w:ind w:hanging="709" w:left="709"/>
        <w:jc w:val="both"/>
      </w:pPr>
      <w:r>
        <w:rPr>
          <w:rFonts w:ascii="Times New Roman" w:hAnsi="Times New Roman"/>
          <w:color w:val="000000"/>
          <w:sz w:val="22"/>
        </w:rPr>
        <w:t>Organismo Supervisor de las Contrataciones del Estado. (2025). Registro de proveedores sancionados. OSCE. Lima.</w:t>
      </w:r>
    </w:p>
    <w:p>
      <w:pPr>
        <w:spacing w:before="0" w:after="80" w:lineRule="auto" w:line="360"/>
        <w:ind w:hanging="709" w:left="709"/>
        <w:jc w:val="both"/>
      </w:pPr>
      <w:r>
        <w:rPr>
          <w:rFonts w:ascii="Times New Roman" w:hAnsi="Times New Roman"/>
          <w:color w:val="000000"/>
          <w:sz w:val="22"/>
        </w:rPr>
        <w:t>PromPerú. (2024). CalCafé v2.1: Metodología de cálculo de huella de carbono para la cadena de valor del café. Lima.</w:t>
      </w:r>
    </w:p>
    <w:p>
      <w:pPr>
        <w:spacing w:before="0" w:after="80" w:lineRule="auto" w:line="360"/>
        <w:ind w:hanging="709" w:left="709"/>
        <w:jc w:val="both"/>
      </w:pPr>
      <w:r>
        <w:rPr>
          <w:rFonts w:ascii="Times New Roman" w:hAnsi="Times New Roman"/>
          <w:color w:val="000000"/>
          <w:sz w:val="22"/>
        </w:rPr>
        <w:t>Sunat. (2025). Exportaciones de café y cacao 2024. Departamento de Estadísticas. Lima.</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Times New Roman" w:hAnsi="Times New Roman"/>
        <w:color w:val="000000"/>
        <w:sz w:val="18"/>
      </w:rPr>
      <w:t xml:space="preserve">DT-ISCAM-001 · Índice ISCAM · Universidad del Pacífico 2026       pág. </w:t>
    </w:r>
    <w:r>
      <w:fldChar w:fldCharType="begin"/>
    </w:r>
    <w:r>
      <w:instrText xml:space="preserve"> PAGE </w:instrText>
    </w:r>
    <w:r>
      <w:rPr>
        <w:rFonts w:ascii="Times New Roman" w:hAnsi="Times New Roman"/>
        <w:color w:val="000000"/>
        <w:sz w:val="18"/>
      </w:rPr>
      <w:t>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