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2ACB" w14:textId="77777777" w:rsidR="003B002E" w:rsidRDefault="003B002E">
      <w:pPr>
        <w:spacing w:after="0" w:line="240" w:lineRule="auto"/>
      </w:pPr>
    </w:p>
    <w:p w14:paraId="4E7C84A5" w14:textId="77777777" w:rsidR="003B002E" w:rsidRDefault="003B002E">
      <w:pPr>
        <w:spacing w:after="0" w:line="240" w:lineRule="auto"/>
      </w:pPr>
    </w:p>
    <w:p w14:paraId="19F98443" w14:textId="77777777" w:rsidR="003B002E" w:rsidRDefault="003B002E">
      <w:pPr>
        <w:spacing w:after="0" w:line="240" w:lineRule="auto"/>
      </w:pPr>
    </w:p>
    <w:p w14:paraId="1453BB69" w14:textId="77777777" w:rsidR="003B002E" w:rsidRDefault="003B002E">
      <w:pPr>
        <w:spacing w:after="0" w:line="240" w:lineRule="auto"/>
      </w:pPr>
    </w:p>
    <w:p w14:paraId="6B49600B" w14:textId="77777777" w:rsidR="003B002E" w:rsidRDefault="00000000">
      <w:pPr>
        <w:spacing w:before="480" w:after="80"/>
        <w:jc w:val="center"/>
      </w:pPr>
      <w:r>
        <w:rPr>
          <w:b/>
          <w:sz w:val="28"/>
        </w:rPr>
        <w:t>UNIVERSIDAD DEL PACÍFICO</w:t>
      </w:r>
    </w:p>
    <w:p w14:paraId="78F668F9" w14:textId="77777777" w:rsidR="003B002E" w:rsidRDefault="00000000">
      <w:pPr>
        <w:spacing w:after="80"/>
        <w:jc w:val="center"/>
      </w:pPr>
      <w:r>
        <w:rPr>
          <w:sz w:val="22"/>
        </w:rPr>
        <w:t>Grupo de Investigación ISCAM — Cadenas de Valor Agrarias</w:t>
      </w:r>
    </w:p>
    <w:p w14:paraId="202616B7" w14:textId="77777777" w:rsidR="003B002E" w:rsidRDefault="00000000">
      <w:pPr>
        <w:spacing w:after="80"/>
        <w:jc w:val="center"/>
      </w:pPr>
      <w:r>
        <w:rPr>
          <w:sz w:val="22"/>
        </w:rPr>
        <w:t>Centro de Investigación de la Universidad del Pacífico (CIUP)</w:t>
      </w:r>
    </w:p>
    <w:p w14:paraId="70422080" w14:textId="77777777" w:rsidR="003B002E" w:rsidRDefault="00000000">
      <w:pPr>
        <w:spacing w:before="240" w:after="240"/>
        <w:jc w:val="center"/>
      </w:pPr>
      <w:r>
        <w:rPr>
          <w:sz w:val="20"/>
        </w:rPr>
        <w:t>────────────────────────────────────────────────────────────────────────</w:t>
      </w:r>
    </w:p>
    <w:p w14:paraId="33E5CD48" w14:textId="77777777" w:rsidR="003B002E" w:rsidRDefault="00000000">
      <w:pPr>
        <w:spacing w:after="80"/>
        <w:jc w:val="center"/>
      </w:pPr>
      <w:r>
        <w:rPr>
          <w:b/>
        </w:rPr>
        <w:t>DOCUMENTO DE TRABAJO</w:t>
      </w:r>
    </w:p>
    <w:p w14:paraId="12010386" w14:textId="77777777" w:rsidR="003B002E" w:rsidRDefault="00000000">
      <w:pPr>
        <w:spacing w:after="480"/>
        <w:jc w:val="center"/>
      </w:pPr>
      <w:r>
        <w:rPr>
          <w:color w:val="404040"/>
          <w:sz w:val="20"/>
        </w:rPr>
        <w:t>Serie: Documentos de Trabajo — Economía y Gestión de Cadenas de Valor / N.º DT-ISCAM-2026-001</w:t>
      </w:r>
    </w:p>
    <w:p w14:paraId="4BF0E047" w14:textId="77777777" w:rsidR="003B002E" w:rsidRDefault="00000000">
      <w:pPr>
        <w:spacing w:before="160" w:line="360" w:lineRule="auto"/>
        <w:jc w:val="center"/>
      </w:pPr>
      <w:r>
        <w:rPr>
          <w:b/>
          <w:sz w:val="28"/>
        </w:rPr>
        <w:t>Cooperativas Peruanas y el Reglamento de la Unión Europea contra la Deforestación (EUDR)</w:t>
      </w:r>
    </w:p>
    <w:p w14:paraId="72D8F143" w14:textId="77777777" w:rsidR="003B002E" w:rsidRDefault="00000000">
      <w:pPr>
        <w:spacing w:after="480" w:line="360" w:lineRule="auto"/>
        <w:jc w:val="center"/>
      </w:pPr>
      <w:r>
        <w:rPr>
          <w:b/>
        </w:rPr>
        <w:t>Diagnóstico de la Cadena de Valor, Gaps de Trazabilidad y Agenda de Preparación</w:t>
      </w:r>
    </w:p>
    <w:p w14:paraId="07AC7FA5" w14:textId="77777777" w:rsidR="003B002E" w:rsidRDefault="00000000">
      <w:pPr>
        <w:spacing w:before="240" w:after="480"/>
        <w:jc w:val="center"/>
      </w:pPr>
      <w:r>
        <w:rPr>
          <w:sz w:val="20"/>
        </w:rPr>
        <w:t>────────────────────────────────────────────────────────────────────────</w:t>
      </w:r>
    </w:p>
    <w:p w14:paraId="7FA98A6B" w14:textId="7805AA2B" w:rsidR="003B002E" w:rsidRDefault="00000000">
      <w:pPr>
        <w:spacing w:after="60" w:line="360" w:lineRule="auto"/>
        <w:jc w:val="center"/>
      </w:pPr>
      <w:r>
        <w:rPr>
          <w:b/>
          <w:sz w:val="22"/>
        </w:rPr>
        <w:t xml:space="preserve">Autor: </w:t>
      </w:r>
      <w:r>
        <w:rPr>
          <w:sz w:val="22"/>
        </w:rPr>
        <w:t>Investigador</w:t>
      </w:r>
      <w:r w:rsidR="003710B6">
        <w:rPr>
          <w:sz w:val="22"/>
        </w:rPr>
        <w:t>es,</w:t>
      </w:r>
      <w:r>
        <w:rPr>
          <w:sz w:val="22"/>
        </w:rPr>
        <w:t xml:space="preserve"> Grupo ISCAM</w:t>
      </w:r>
    </w:p>
    <w:p w14:paraId="263034E4" w14:textId="77777777" w:rsidR="003B002E" w:rsidRDefault="00000000">
      <w:pPr>
        <w:spacing w:after="60" w:line="360" w:lineRule="auto"/>
        <w:jc w:val="center"/>
      </w:pPr>
      <w:r>
        <w:rPr>
          <w:b/>
          <w:sz w:val="22"/>
        </w:rPr>
        <w:t xml:space="preserve">Institución: </w:t>
      </w:r>
      <w:r>
        <w:rPr>
          <w:sz w:val="22"/>
        </w:rPr>
        <w:t>Universidad del Pacífico — Lima, Perú</w:t>
      </w:r>
    </w:p>
    <w:p w14:paraId="2269D8C9" w14:textId="77777777" w:rsidR="003B002E" w:rsidRDefault="00000000">
      <w:pPr>
        <w:spacing w:after="60" w:line="360" w:lineRule="auto"/>
        <w:jc w:val="center"/>
      </w:pPr>
      <w:r>
        <w:rPr>
          <w:b/>
          <w:sz w:val="22"/>
        </w:rPr>
        <w:t xml:space="preserve">Fecha: </w:t>
      </w:r>
      <w:r>
        <w:rPr>
          <w:sz w:val="22"/>
        </w:rPr>
        <w:t>Octubre 2026</w:t>
      </w:r>
    </w:p>
    <w:p w14:paraId="51AE5536" w14:textId="77777777" w:rsidR="003B002E" w:rsidRDefault="00000000">
      <w:pPr>
        <w:spacing w:after="60" w:line="360" w:lineRule="auto"/>
        <w:jc w:val="center"/>
      </w:pPr>
      <w:r>
        <w:rPr>
          <w:b/>
          <w:sz w:val="22"/>
        </w:rPr>
        <w:t xml:space="preserve">Clasificación de riesgo país: </w:t>
      </w:r>
      <w:r>
        <w:rPr>
          <w:sz w:val="22"/>
        </w:rPr>
        <w:t>Riesgo estándar — Reglamento de Ejecución (UE) 2025/1093</w:t>
      </w:r>
    </w:p>
    <w:p w14:paraId="2807C951" w14:textId="77777777" w:rsidR="003B002E" w:rsidRDefault="00000000">
      <w:pPr>
        <w:spacing w:after="60" w:line="360" w:lineRule="auto"/>
        <w:jc w:val="center"/>
      </w:pPr>
      <w:r>
        <w:rPr>
          <w:b/>
          <w:sz w:val="22"/>
        </w:rPr>
        <w:t xml:space="preserve">Cadenas priorizadas: </w:t>
      </w:r>
      <w:r>
        <w:rPr>
          <w:sz w:val="22"/>
        </w:rPr>
        <w:t>Café · Cacao · Palma aceitera</w:t>
      </w:r>
    </w:p>
    <w:p w14:paraId="4DC2F3F4" w14:textId="77777777" w:rsidR="003B002E" w:rsidRDefault="00000000">
      <w:pPr>
        <w:spacing w:before="640" w:after="0"/>
        <w:jc w:val="center"/>
      </w:pPr>
      <w:r>
        <w:rPr>
          <w:i/>
          <w:color w:val="404040"/>
          <w:sz w:val="18"/>
        </w:rPr>
        <w:t>Documento de trabajo para uso interno del grupo de investigación ISCAM.</w:t>
      </w:r>
    </w:p>
    <w:p w14:paraId="4B15B513" w14:textId="77777777" w:rsidR="003B002E" w:rsidRDefault="00000000">
      <w:r>
        <w:br w:type="page"/>
      </w:r>
    </w:p>
    <w:p w14:paraId="1AD08726" w14:textId="77777777" w:rsidR="003B002E" w:rsidRDefault="00000000">
      <w:pPr>
        <w:keepNext/>
        <w:spacing w:before="320" w:after="80"/>
      </w:pPr>
      <w:r>
        <w:rPr>
          <w:b/>
          <w:sz w:val="26"/>
        </w:rPr>
        <w:lastRenderedPageBreak/>
        <w:t>Resumen</w:t>
      </w:r>
    </w:p>
    <w:p w14:paraId="4CDD9033" w14:textId="77777777" w:rsidR="003B002E" w:rsidRDefault="00000000" w:rsidP="003710B6">
      <w:pPr>
        <w:ind w:firstLine="720"/>
        <w:jc w:val="both"/>
      </w:pPr>
      <w:r>
        <w:t>El presente documento de trabajo analiza los desafíos y oportunidades que enfrentan las cooperativas agrarias peruanas ante la entrada en vigor del Reglamento (UE) 2023/1115 contra la deforestación (EUDR). Se examina el marco normativo, la clasificación de riesgo país asignada a Perú —riesgo estándar según el Reglamento de Ejecución (UE) 2025/1093—, y la arquitectura institucional desplegada por el Estado peruano para la preparación de exportadores. El documento identifica las cooperativas líderes en las cadenas de café, cacao y palma aceitera que han alcanzado niveles avanzados de trazabilidad, así como aquellas que permanecen en fase de preparación. Se documentan los principales gaps en materia de geolocalización, tenencia de tierra, trazabilidad de acopio y capacidad de generación de evidencia de debida diligencia. El análisis concluye que las cooperativas organizadas con infraestructura digital existente constituyen el segmento con mayor probabilidad de cumplimiento oportuno, y se identifican cinco ejes prioritarios para la agenda de preparación: formalización de la propiedad, escalamiento de la geolocalización, interoperabilidad de plataformas, acceso a financiamiento para certificaciones, y fortalecimiento de la articulación con compradores europeos.</w:t>
      </w:r>
    </w:p>
    <w:p w14:paraId="6AF1D4BC" w14:textId="77777777" w:rsidR="003B002E" w:rsidRDefault="00000000">
      <w:pPr>
        <w:keepNext/>
        <w:spacing w:before="320" w:after="80"/>
      </w:pPr>
      <w:r>
        <w:rPr>
          <w:b/>
          <w:sz w:val="26"/>
        </w:rPr>
        <w:t>Abstract</w:t>
      </w:r>
    </w:p>
    <w:p w14:paraId="5A7B12D4" w14:textId="77777777" w:rsidR="003B002E" w:rsidRDefault="00000000" w:rsidP="003710B6">
      <w:pPr>
        <w:ind w:firstLine="720"/>
        <w:jc w:val="both"/>
      </w:pPr>
      <w:r>
        <w:t xml:space="preserve">This working paper examines the challenges and opportunities faced by Peruvian agricultural cooperatives in the context of the EU Deforestation Regulation (EUDR). It analyses the regulatory framework, Peru's country-risk classification as standard-risk under Commission Implementing Regulation (EU) 2025/1093, and the institutional infrastructure deployed by the Peruvian state to prepare exporters. The document identifies leading cooperatives in the coffee, cocoa, and palm oil value chains that have achieved advanced traceability levels, as well as those still in preparation stages. Key gaps in geolocation, land </w:t>
      </w:r>
      <w:r>
        <w:lastRenderedPageBreak/>
        <w:t>tenure, aggregation traceability, and due diligence evidence generation are documented. The analysis concludes that organized cooperatives with existing digital infrastructure constitute the segment most likely to achieve timely compliance, and five priority axes are identified for the preparation agenda: property formalization, geolocation upscaling, platform interoperability, access to certification financing, and strengthened articulation with European buyers.</w:t>
      </w:r>
    </w:p>
    <w:p w14:paraId="3E8E2376" w14:textId="77777777" w:rsidR="003B002E" w:rsidRDefault="00000000" w:rsidP="003710B6">
      <w:pPr>
        <w:keepNext/>
        <w:spacing w:before="320" w:after="80"/>
        <w:jc w:val="both"/>
      </w:pPr>
      <w:r>
        <w:rPr>
          <w:b/>
          <w:sz w:val="26"/>
        </w:rPr>
        <w:t>Palabras clave</w:t>
      </w:r>
    </w:p>
    <w:p w14:paraId="6DF3348A" w14:textId="77777777" w:rsidR="003B002E" w:rsidRDefault="00000000" w:rsidP="003710B6">
      <w:pPr>
        <w:spacing w:after="240"/>
        <w:ind w:firstLine="720"/>
        <w:jc w:val="both"/>
      </w:pPr>
      <w:r>
        <w:t>EUDR · deforestación · trazabilidad · debida diligencia · cooperativas agrarias · café · cacao · palma aceitera · Perú · Unión Europea</w:t>
      </w:r>
    </w:p>
    <w:p w14:paraId="263387B2" w14:textId="77777777" w:rsidR="003B002E" w:rsidRDefault="00000000" w:rsidP="003710B6">
      <w:pPr>
        <w:keepNext/>
        <w:spacing w:before="320" w:after="80"/>
        <w:jc w:val="both"/>
      </w:pPr>
      <w:r>
        <w:rPr>
          <w:b/>
          <w:sz w:val="26"/>
        </w:rPr>
        <w:t>1. Introducción</w:t>
      </w:r>
    </w:p>
    <w:p w14:paraId="21E9915B" w14:textId="77777777" w:rsidR="003B002E" w:rsidRDefault="00000000" w:rsidP="003710B6">
      <w:pPr>
        <w:ind w:firstLine="720"/>
        <w:jc w:val="both"/>
      </w:pPr>
      <w:r>
        <w:t>El comercio internacional de commodities agrarios enfrenta desde finales de 2024 un cambio regulatorio estructural de alcance global. El Reglamento (UE) 2023/1115 relativo a los productos asociados a la deforestación y la degradación forestal (EUDR, por sus siglas en inglés), adoptado el 31 de mayo de 2023, prohíbe la comercialización, exportación e importación en el mercado de la Unión Europea de ganado bovino, cacao, café, palma aceitera, caucho, soja y madera que hayan sido producidos en tierras deforestadas con posterioridad al 31 de diciembre de 2020, o cuya producción haya vulnerado la legislación aplicable del país de origen en materia de tenencia de tierra, uso de suelo, derechos laborales o derechos de pueblos indígenas (Parlamento Europeo y Consejo de la Unión Europea, 2023).</w:t>
      </w:r>
    </w:p>
    <w:p w14:paraId="187A13CC" w14:textId="77777777" w:rsidR="003B002E" w:rsidRDefault="00000000" w:rsidP="003710B6">
      <w:pPr>
        <w:ind w:firstLine="720"/>
        <w:jc w:val="both"/>
      </w:pPr>
      <w:r>
        <w:t xml:space="preserve">La norma exige que todo lote exportado a la Unión Europea esté respaldado por una Declaración de Debida Diligencia (DDS) presentada por el importador europeo ante el sistema TRACES/NTIS de la Comisión Europea. La DDS se fundamenta en información proporcionada por el exportador no comunitario: geolocalización de parcelas productoras en </w:t>
      </w:r>
      <w:r>
        <w:lastRenderedPageBreak/>
        <w:t>formato WGS-84, código arancelario, volumen, datos del proveedor y documentación de tenencia de tierra, entre otros requisitos. El importador debe además demostrar que evaluó y, en su caso, mitigó los riesgos identificados antes del envío (European Commission, 2024).</w:t>
      </w:r>
    </w:p>
    <w:p w14:paraId="1E563461" w14:textId="77777777" w:rsidR="003B002E" w:rsidRDefault="00000000" w:rsidP="003710B6">
      <w:pPr>
        <w:ind w:firstLine="720"/>
        <w:jc w:val="both"/>
      </w:pPr>
      <w:r>
        <w:t>Perú ha sido clasificado como país de riesgo estándar en el Anexo del Reglamento de Ejecución (UE) 2025/1093 de la Comisión Europea, publicado el 22 de mayo de 2025. Esta clasificación implica que el importador europeo debe cumplir la debida diligencia completa en sus tres etapas —recopilación de información, evaluación de riesgo y medidas de mitigación— para cada lote de café, cacao o palma aceitera de origen peruano. La debida diligencia simplificada, prevista en el Artículo 13 del EUDR para países de bajo riesgo, no resulta aplicable (European Commission, 2025).</w:t>
      </w:r>
    </w:p>
    <w:p w14:paraId="6C243AB6" w14:textId="77777777" w:rsidR="003B002E" w:rsidRDefault="00000000" w:rsidP="003710B6">
      <w:pPr>
        <w:ind w:firstLine="720"/>
        <w:jc w:val="both"/>
      </w:pPr>
      <w:r>
        <w:t>El presente documento de trabajo tiene como objetivo proporcionar un diagnóstico integral del estado de preparación de las cooperativas agrarias peruanas ante el EUDR. El documento se organiza en seis secciones: tras esta introducción, la segunda sección desarrolla el marco normativo y las obligaciones que la norma impone a exportadores y compradores. La tercera sección presenta la respuesta institucional del Estado peruano. La cuarta sección identifica y caracteriza a las cooperativas líderes en las cadenas de café, cacao y palma aceitera. La quinta sección documenta los compradores europeos activos en Perú y las plataformas tecnológicas en uso. La sexta sección presenta las conclusiones y la agenda de investigación.</w:t>
      </w:r>
    </w:p>
    <w:p w14:paraId="44ED5147" w14:textId="77777777" w:rsidR="003B002E" w:rsidRDefault="00000000" w:rsidP="003710B6">
      <w:pPr>
        <w:keepNext/>
        <w:spacing w:before="320" w:after="80"/>
        <w:jc w:val="both"/>
      </w:pPr>
      <w:r>
        <w:rPr>
          <w:b/>
          <w:sz w:val="26"/>
        </w:rPr>
        <w:t>2. Marco Normativo del EUDR y Obligaciones para Exportadores</w:t>
      </w:r>
    </w:p>
    <w:p w14:paraId="5F53DFB1" w14:textId="77777777" w:rsidR="003B002E" w:rsidRDefault="00000000" w:rsidP="003710B6">
      <w:pPr>
        <w:keepNext/>
        <w:spacing w:before="240" w:after="80"/>
        <w:jc w:val="both"/>
      </w:pPr>
      <w:r>
        <w:rPr>
          <w:b/>
        </w:rPr>
        <w:t>2.1 Las tres condiciones de cumplimiento para todo lote exportado a la UE</w:t>
      </w:r>
    </w:p>
    <w:p w14:paraId="2FB96D68" w14:textId="77777777" w:rsidR="003B002E" w:rsidRDefault="00000000" w:rsidP="003710B6">
      <w:pPr>
        <w:ind w:firstLine="720"/>
        <w:jc w:val="both"/>
      </w:pPr>
      <w:r>
        <w:t xml:space="preserve">El EUDR establece tres condiciones simultáneas que deben cumplirse para cada lote exportado a la Unión Europea (Parlamento Europeo y Consejo de la Unión Europea, 2023). En primer lugar, la condición de no deforestación exige que la parcela donde se produjo el </w:t>
      </w:r>
      <w:r>
        <w:lastRenderedPageBreak/>
        <w:t>commodity no haya sido objeto de deforestación con posterioridad al 31 de diciembre de 2020. En segundo lugar, la condición de producción legal requiere que la producción haya respetado la legislación aplicable del país de origen en materia de tenencia de tierra, uso de suelo, ambiental, laboral y derechos de pueblos indígenas. En tercer lugar, la condición de debida diligencia exige que el importador europeo haya completado el procedimiento de DDS antes de la comercialización del lote en la UE.</w:t>
      </w:r>
    </w:p>
    <w:p w14:paraId="77A6FC07" w14:textId="77777777" w:rsidR="003B002E" w:rsidRDefault="00000000" w:rsidP="003710B6">
      <w:pPr>
        <w:keepNext/>
        <w:spacing w:before="240" w:after="80"/>
        <w:jc w:val="both"/>
      </w:pPr>
      <w:r>
        <w:rPr>
          <w:b/>
        </w:rPr>
        <w:t>2.2 Las tres etapas de la debida diligencia completa</w:t>
      </w:r>
    </w:p>
    <w:p w14:paraId="5C1FA329" w14:textId="77777777" w:rsidR="003B002E" w:rsidRDefault="00000000" w:rsidP="003710B6">
      <w:pPr>
        <w:ind w:firstLine="720"/>
        <w:jc w:val="both"/>
      </w:pPr>
      <w:r>
        <w:t>La debida diligencia completa —aplicable a Perú como país de riesgo estándar— se despliega en tres etapas secuenciales (European Commission, 2024). La primera etapa consiste en la recopilación de información sobre el lote, que debe incluir: coordenadas de geolocalización de las parcelas productoras en formato WGS-84 (EPSG:4326), con polígono obligatorio para parcelas iguales o mayores a 4 hectáreas y punto GPS para parcelas menores; país, departamento y provincia de producción; código arancelario HS; nombre, RUC y dirección del proveedor; nombre y dirección del comprador; fecha de cosecha; documentos de tenencia de tierra; historial de cobertura forestal, y registros de acopio (guías de remisión, actas de entrega, registros de pesaje) que vinculen la parcela con el lote exportado (CBI, 2025). La segunda etapa corresponde a la evaluación de riesgo, mediante la cual el importador europeo determina si existen indicios de que el lote incumpla las condiciones 1 o 2. La tercera etapa, aplicable cuando se identifican riesgos, exige la adopción de medidas de mitigación antes del envío del lote.</w:t>
      </w:r>
    </w:p>
    <w:p w14:paraId="44C3373B" w14:textId="77777777" w:rsidR="003B002E" w:rsidRDefault="00000000" w:rsidP="003710B6">
      <w:pPr>
        <w:keepNext/>
        <w:spacing w:before="240" w:after="80"/>
        <w:jc w:val="both"/>
      </w:pPr>
      <w:r>
        <w:rPr>
          <w:b/>
        </w:rPr>
        <w:t>2.3 Fecha de entrada en vigencia y obligaciones del exportador peruano</w:t>
      </w:r>
    </w:p>
    <w:p w14:paraId="102ABC63" w14:textId="77777777" w:rsidR="003B002E" w:rsidRDefault="00000000" w:rsidP="003710B6">
      <w:pPr>
        <w:ind w:firstLine="720"/>
        <w:jc w:val="both"/>
      </w:pPr>
      <w:r>
        <w:t xml:space="preserve">El Reglamento de Postergación, acordado en diciembre de 2025, fijó la fecha de entrada en vigor del EUDR para grandes y medianas empresas en el 30 de diciembre de 2026, y para microempresas y pequeñas empresas europeas en el 30 de junio de 2027 (Parlamento </w:t>
      </w:r>
      <w:r>
        <w:lastRenderedPageBreak/>
        <w:t>Europeo y Consejo de la Unión Europea, 2025). Sin embargo, desde 2025 los compradores europeos vienen exigiendo evidencias de cumplimiento a sus proveedores como práctica comercial anticipatoria, independientemente de la fecha de aplicabilidad formal (PROMPERÚ, 2025; AYP Digital, 2025).</w:t>
      </w:r>
    </w:p>
    <w:p w14:paraId="5289CF4C" w14:textId="77777777" w:rsidR="003B002E" w:rsidRDefault="00000000" w:rsidP="003710B6">
      <w:pPr>
        <w:ind w:firstLine="720"/>
        <w:jc w:val="both"/>
      </w:pPr>
      <w:r>
        <w:t>Del lado del exportador peruano, la obligación central consiste en entregar al importador europeo, por cada lote, la información descrita en la primera etapa de la debida diligencia. Esta obligación se traduce en requisitos operativos concretos: sistemas de geolocalización a nivel de parcela, trazabilidad durante las etapas de acopio primario y secundario, y documentación legal de la cadena de custodia. Según fuentes del sector, aproximadamente el 80% de los pequeños productores carece de un título de propiedad formal que respalde la documentación de tenencia de tierra requerida. Esta brecha constituye uno de los obstáculos más significativos para el cumplimiento oportuno (AYP Digital, 2025; CamcaféPeru, 2025).</w:t>
      </w:r>
    </w:p>
    <w:p w14:paraId="0BE26C55" w14:textId="77777777" w:rsidR="003B002E" w:rsidRDefault="00000000" w:rsidP="003710B6">
      <w:pPr>
        <w:keepNext/>
        <w:spacing w:before="240" w:after="80"/>
        <w:jc w:val="both"/>
      </w:pPr>
      <w:r>
        <w:rPr>
          <w:b/>
        </w:rPr>
        <w:t>2.4 Clasificación de riesgo país y niveles de control</w:t>
      </w:r>
    </w:p>
    <w:p w14:paraId="0862A491" w14:textId="77777777" w:rsidR="003B002E" w:rsidRDefault="00000000" w:rsidP="003710B6">
      <w:pPr>
        <w:ind w:firstLine="720"/>
        <w:jc w:val="both"/>
      </w:pPr>
      <w:r>
        <w:t xml:space="preserve">La primera clasificación oficial de países según nivel de riesgo fue publicada mediante el Reglamento de Ejecución (UE) 2025/1093 de la Comisión Europea, con fecha 22 de mayo de 2025. El Anexo del Reglamento clasifica 140 países como de bajo riesgo —entre los que se encuentran todos los países de la UE, Chile, Costa Rica, Kenia, Laos, Papúa Nueva Guinea, Ruanda, Vietnam, Estados Unidos, China y Japón—, cuatro países como de alto riesgo (Bielorrusia, Rusia, Myanmar y Corea del Norte), y el resto, incluyendo Perú, como riesgo estándar. Los países de bajo riesgo gozan de la posibilidad de aplicar la debida diligencia simplificada; los países de alto riesgo están sujetos a controles sobre el 9% de los operadores y el 9% del volumen de importación. Perú, como riesgo estándar, enfrenta </w:t>
      </w:r>
      <w:r>
        <w:lastRenderedPageBreak/>
        <w:t>controles sobre el 3% de los operadores que declaren productos covered (European Commission, 2025).</w:t>
      </w:r>
    </w:p>
    <w:tbl>
      <w:tblPr>
        <w:tblStyle w:val="Tablaconcuadrcula"/>
        <w:tblW w:w="0" w:type="auto"/>
        <w:tblLook w:val="04A0" w:firstRow="1" w:lastRow="0" w:firstColumn="1" w:lastColumn="0" w:noHBand="0" w:noVBand="1"/>
      </w:tblPr>
      <w:tblGrid>
        <w:gridCol w:w="1890"/>
        <w:gridCol w:w="1689"/>
        <w:gridCol w:w="2166"/>
        <w:gridCol w:w="3274"/>
      </w:tblGrid>
      <w:tr w:rsidR="003B002E" w14:paraId="6E972AFA" w14:textId="77777777">
        <w:tc>
          <w:tcPr>
            <w:tcW w:w="2016" w:type="dxa"/>
            <w:shd w:val="clear" w:color="auto" w:fill="D9D9D9"/>
          </w:tcPr>
          <w:p w14:paraId="4B4FFE2E" w14:textId="77777777" w:rsidR="003B002E" w:rsidRDefault="00000000" w:rsidP="003710B6">
            <w:pPr>
              <w:spacing w:before="40" w:after="40" w:line="240" w:lineRule="auto"/>
              <w:jc w:val="both"/>
            </w:pPr>
            <w:r>
              <w:rPr>
                <w:b/>
                <w:sz w:val="20"/>
              </w:rPr>
              <w:t>Categoría de riesgo</w:t>
            </w:r>
          </w:p>
        </w:tc>
        <w:tc>
          <w:tcPr>
            <w:tcW w:w="1728" w:type="dxa"/>
            <w:shd w:val="clear" w:color="auto" w:fill="D9D9D9"/>
          </w:tcPr>
          <w:p w14:paraId="56D70AB1" w14:textId="77777777" w:rsidR="003B002E" w:rsidRDefault="00000000" w:rsidP="003710B6">
            <w:pPr>
              <w:spacing w:before="40" w:after="40" w:line="240" w:lineRule="auto"/>
              <w:jc w:val="both"/>
            </w:pPr>
            <w:r>
              <w:rPr>
                <w:b/>
                <w:sz w:val="20"/>
              </w:rPr>
              <w:t>Control autoridades UE</w:t>
            </w:r>
          </w:p>
        </w:tc>
        <w:tc>
          <w:tcPr>
            <w:tcW w:w="2304" w:type="dxa"/>
            <w:shd w:val="clear" w:color="auto" w:fill="D9D9D9"/>
          </w:tcPr>
          <w:p w14:paraId="12C21C4B" w14:textId="77777777" w:rsidR="003B002E" w:rsidRDefault="00000000" w:rsidP="003710B6">
            <w:pPr>
              <w:spacing w:before="40" w:after="40" w:line="240" w:lineRule="auto"/>
              <w:jc w:val="both"/>
            </w:pPr>
            <w:r>
              <w:rPr>
                <w:b/>
                <w:sz w:val="20"/>
              </w:rPr>
              <w:t>DD requerida</w:t>
            </w:r>
          </w:p>
        </w:tc>
        <w:tc>
          <w:tcPr>
            <w:tcW w:w="3600" w:type="dxa"/>
            <w:shd w:val="clear" w:color="auto" w:fill="D9D9D9"/>
          </w:tcPr>
          <w:p w14:paraId="3BC4239E" w14:textId="77777777" w:rsidR="003B002E" w:rsidRDefault="00000000" w:rsidP="003710B6">
            <w:pPr>
              <w:spacing w:before="40" w:after="40" w:line="240" w:lineRule="auto"/>
              <w:jc w:val="both"/>
            </w:pPr>
            <w:r>
              <w:rPr>
                <w:b/>
                <w:sz w:val="20"/>
              </w:rPr>
              <w:t>Países ejemplo</w:t>
            </w:r>
          </w:p>
        </w:tc>
      </w:tr>
      <w:tr w:rsidR="003B002E" w14:paraId="702E84B9" w14:textId="77777777">
        <w:tc>
          <w:tcPr>
            <w:tcW w:w="2016" w:type="dxa"/>
          </w:tcPr>
          <w:p w14:paraId="3858BD12" w14:textId="77777777" w:rsidR="003B002E" w:rsidRDefault="00000000" w:rsidP="003710B6">
            <w:pPr>
              <w:spacing w:before="40" w:after="40" w:line="240" w:lineRule="auto"/>
              <w:jc w:val="both"/>
            </w:pPr>
            <w:r>
              <w:rPr>
                <w:sz w:val="20"/>
              </w:rPr>
              <w:t>Bajo riesgo</w:t>
            </w:r>
          </w:p>
        </w:tc>
        <w:tc>
          <w:tcPr>
            <w:tcW w:w="1728" w:type="dxa"/>
          </w:tcPr>
          <w:p w14:paraId="3F5A25F1" w14:textId="77777777" w:rsidR="003B002E" w:rsidRDefault="00000000" w:rsidP="003710B6">
            <w:pPr>
              <w:spacing w:before="40" w:after="40" w:line="240" w:lineRule="auto"/>
              <w:jc w:val="both"/>
            </w:pPr>
            <w:r>
              <w:rPr>
                <w:sz w:val="20"/>
              </w:rPr>
              <w:t>1% operadores/año</w:t>
            </w:r>
          </w:p>
        </w:tc>
        <w:tc>
          <w:tcPr>
            <w:tcW w:w="2304" w:type="dxa"/>
          </w:tcPr>
          <w:p w14:paraId="006E768E" w14:textId="77777777" w:rsidR="003B002E" w:rsidRDefault="00000000" w:rsidP="003710B6">
            <w:pPr>
              <w:spacing w:before="40" w:after="40" w:line="240" w:lineRule="auto"/>
              <w:jc w:val="both"/>
            </w:pPr>
            <w:r>
              <w:rPr>
                <w:sz w:val="20"/>
              </w:rPr>
              <w:t>Simplificada (solo recopilación)</w:t>
            </w:r>
          </w:p>
        </w:tc>
        <w:tc>
          <w:tcPr>
            <w:tcW w:w="3600" w:type="dxa"/>
          </w:tcPr>
          <w:p w14:paraId="28C6DD8F" w14:textId="77777777" w:rsidR="003B002E" w:rsidRDefault="00000000" w:rsidP="003710B6">
            <w:pPr>
              <w:spacing w:before="40" w:after="40" w:line="240" w:lineRule="auto"/>
              <w:jc w:val="both"/>
            </w:pPr>
            <w:r>
              <w:rPr>
                <w:sz w:val="20"/>
              </w:rPr>
              <w:t>UE, Chile, Costa Rica, Kenia, Laos, PNG, Ruanda, Vietnam, EE.UU., China, Japón</w:t>
            </w:r>
          </w:p>
        </w:tc>
      </w:tr>
      <w:tr w:rsidR="003B002E" w14:paraId="542BDF85" w14:textId="77777777">
        <w:tc>
          <w:tcPr>
            <w:tcW w:w="2016" w:type="dxa"/>
          </w:tcPr>
          <w:p w14:paraId="43A6A761" w14:textId="77777777" w:rsidR="003B002E" w:rsidRDefault="00000000" w:rsidP="003710B6">
            <w:pPr>
              <w:spacing w:before="40" w:after="40" w:line="240" w:lineRule="auto"/>
              <w:jc w:val="both"/>
            </w:pPr>
            <w:r>
              <w:rPr>
                <w:sz w:val="20"/>
              </w:rPr>
              <w:t>Riesgo estándar (Perú)</w:t>
            </w:r>
          </w:p>
        </w:tc>
        <w:tc>
          <w:tcPr>
            <w:tcW w:w="1728" w:type="dxa"/>
          </w:tcPr>
          <w:p w14:paraId="6B700156" w14:textId="77777777" w:rsidR="003B002E" w:rsidRDefault="00000000" w:rsidP="003710B6">
            <w:pPr>
              <w:spacing w:before="40" w:after="40" w:line="240" w:lineRule="auto"/>
              <w:jc w:val="both"/>
            </w:pPr>
            <w:r>
              <w:rPr>
                <w:sz w:val="20"/>
              </w:rPr>
              <w:t>3% operadores/año</w:t>
            </w:r>
          </w:p>
        </w:tc>
        <w:tc>
          <w:tcPr>
            <w:tcW w:w="2304" w:type="dxa"/>
          </w:tcPr>
          <w:p w14:paraId="42F03CEC" w14:textId="77777777" w:rsidR="003B002E" w:rsidRDefault="00000000" w:rsidP="003710B6">
            <w:pPr>
              <w:spacing w:before="40" w:after="40" w:line="240" w:lineRule="auto"/>
              <w:jc w:val="both"/>
            </w:pPr>
            <w:r>
              <w:rPr>
                <w:sz w:val="20"/>
              </w:rPr>
              <w:t>Completa en 3 etapas</w:t>
            </w:r>
          </w:p>
        </w:tc>
        <w:tc>
          <w:tcPr>
            <w:tcW w:w="3600" w:type="dxa"/>
          </w:tcPr>
          <w:p w14:paraId="155E0D2B" w14:textId="77777777" w:rsidR="003B002E" w:rsidRDefault="00000000" w:rsidP="003710B6">
            <w:pPr>
              <w:spacing w:before="40" w:after="40" w:line="240" w:lineRule="auto"/>
              <w:jc w:val="both"/>
            </w:pPr>
            <w:r>
              <w:rPr>
                <w:sz w:val="20"/>
              </w:rPr>
              <w:t>Perú, Brasil, Colombia, Indonesia, Bolivia, Paraguay, México, Argentina</w:t>
            </w:r>
          </w:p>
        </w:tc>
      </w:tr>
      <w:tr w:rsidR="003B002E" w14:paraId="2EA7E55F" w14:textId="77777777">
        <w:tc>
          <w:tcPr>
            <w:tcW w:w="2016" w:type="dxa"/>
          </w:tcPr>
          <w:p w14:paraId="322AD44C" w14:textId="77777777" w:rsidR="003B002E" w:rsidRDefault="00000000" w:rsidP="003710B6">
            <w:pPr>
              <w:spacing w:before="40" w:after="40" w:line="240" w:lineRule="auto"/>
              <w:jc w:val="both"/>
            </w:pPr>
            <w:r>
              <w:rPr>
                <w:sz w:val="20"/>
              </w:rPr>
              <w:t>Alto riesgo</w:t>
            </w:r>
          </w:p>
        </w:tc>
        <w:tc>
          <w:tcPr>
            <w:tcW w:w="1728" w:type="dxa"/>
          </w:tcPr>
          <w:p w14:paraId="301F3F6D" w14:textId="77777777" w:rsidR="003B002E" w:rsidRDefault="00000000" w:rsidP="003710B6">
            <w:pPr>
              <w:spacing w:before="40" w:after="40" w:line="240" w:lineRule="auto"/>
              <w:jc w:val="both"/>
            </w:pPr>
            <w:r>
              <w:rPr>
                <w:sz w:val="20"/>
              </w:rPr>
              <w:t>9% operadores + 9% volumen</w:t>
            </w:r>
          </w:p>
        </w:tc>
        <w:tc>
          <w:tcPr>
            <w:tcW w:w="2304" w:type="dxa"/>
          </w:tcPr>
          <w:p w14:paraId="39D10DF1" w14:textId="77777777" w:rsidR="003B002E" w:rsidRDefault="00000000" w:rsidP="003710B6">
            <w:pPr>
              <w:spacing w:before="40" w:after="40" w:line="240" w:lineRule="auto"/>
              <w:jc w:val="both"/>
            </w:pPr>
            <w:r>
              <w:rPr>
                <w:sz w:val="20"/>
              </w:rPr>
              <w:t>Completa reforzada</w:t>
            </w:r>
          </w:p>
        </w:tc>
        <w:tc>
          <w:tcPr>
            <w:tcW w:w="3600" w:type="dxa"/>
          </w:tcPr>
          <w:p w14:paraId="2410AC1F" w14:textId="77777777" w:rsidR="003B002E" w:rsidRDefault="00000000" w:rsidP="003710B6">
            <w:pPr>
              <w:spacing w:before="40" w:after="40" w:line="240" w:lineRule="auto"/>
              <w:jc w:val="both"/>
            </w:pPr>
            <w:r>
              <w:rPr>
                <w:sz w:val="20"/>
              </w:rPr>
              <w:t>Bielorrusia, Rusia, Myanmar, Corea del Norte</w:t>
            </w:r>
          </w:p>
        </w:tc>
      </w:tr>
    </w:tbl>
    <w:p w14:paraId="113402A7" w14:textId="77777777" w:rsidR="003710B6" w:rsidRDefault="003710B6" w:rsidP="003710B6">
      <w:pPr>
        <w:keepNext/>
        <w:spacing w:before="320" w:after="80"/>
        <w:jc w:val="both"/>
        <w:rPr>
          <w:b/>
          <w:sz w:val="26"/>
        </w:rPr>
      </w:pPr>
    </w:p>
    <w:p w14:paraId="6ABCF1FE" w14:textId="0C5E1ABA" w:rsidR="003B002E" w:rsidRDefault="00000000" w:rsidP="003710B6">
      <w:pPr>
        <w:keepNext/>
        <w:spacing w:before="320" w:after="80"/>
        <w:jc w:val="both"/>
      </w:pPr>
      <w:r>
        <w:rPr>
          <w:b/>
          <w:sz w:val="26"/>
        </w:rPr>
        <w:t>3. La Respuesta Institucional del Estado Peruano</w:t>
      </w:r>
    </w:p>
    <w:p w14:paraId="6D9C9861" w14:textId="77777777" w:rsidR="003B002E" w:rsidRDefault="00000000" w:rsidP="003710B6">
      <w:pPr>
        <w:keepNext/>
        <w:spacing w:before="240" w:after="80"/>
        <w:jc w:val="both"/>
      </w:pPr>
      <w:r>
        <w:rPr>
          <w:b/>
        </w:rPr>
        <w:t>3.1 Panorama cuantitativo de la preparación nacional</w:t>
      </w:r>
    </w:p>
    <w:p w14:paraId="2B8EABCA" w14:textId="77777777" w:rsidR="003B002E" w:rsidRDefault="00000000" w:rsidP="003710B6">
      <w:pPr>
        <w:ind w:firstLine="720"/>
        <w:jc w:val="both"/>
      </w:pPr>
      <w:r>
        <w:t>El Ministerio de Desarrollo Agrario y Riego (MIDAGRI) ha reportado avances significativos en la preparación del sector agrario peruano. A través de la plataforma AGRODIGITAL y el Padrón de Productores Agrarios (PPA), se han geolocalizado más de 150,000 polígonos de parcelas productoras de café, cacao y palma aceitera, cubriendo 13 regiones del país. El PPA registra 2.03 millones de productores inscritos, de los cuales aproximadamente 410,000 corresponde a productores de café, cacao y palma aceitera. El análisis espacial del MIDAGRI confirma que el 99% de los productores de estos tres commodities inscritos en el PPA se ubica en zonas instaladas antes del año 2020, dato que constituye la base de la constancia de libre deforestación emitida por la plataforma. El MIDAGRI ha reportado además que 150 exportadores peruanos se encuentran alineando sus procesos internos con los requisitos del EUDR, y que se han remitido más de 260 comunicaciones a asociaciones, cooperativas y empresas para la remisión de polígonos de parcelas (MIDAGRI, 2025a, 2025b, 2025c, 2025d).</w:t>
      </w:r>
    </w:p>
    <w:p w14:paraId="1B612340" w14:textId="77777777" w:rsidR="003B002E" w:rsidRDefault="00000000" w:rsidP="003710B6">
      <w:pPr>
        <w:keepNext/>
        <w:spacing w:before="240" w:after="80"/>
        <w:jc w:val="both"/>
      </w:pPr>
      <w:r>
        <w:rPr>
          <w:b/>
        </w:rPr>
        <w:lastRenderedPageBreak/>
        <w:t>3.2 Actores institucionales y roles</w:t>
      </w:r>
    </w:p>
    <w:p w14:paraId="789210EF" w14:textId="77777777" w:rsidR="003B002E" w:rsidRDefault="00000000" w:rsidP="003710B6">
      <w:pPr>
        <w:ind w:firstLine="720"/>
        <w:jc w:val="both"/>
      </w:pPr>
      <w:r>
        <w:t>La respuesta institucional ha involucrado a múltiples actores públicos y privados. El MIDAGRI actúa como líder de la estrategia nacional, responsable de la plataforma AGRODIGITAL/PPA, la plataforma de trazabilidad en desarrollo y la coordinación interinstitucional. El Ministerio de Comercio Exterior y Turismo (MINCETUR), a través de PROMPERÚ, ejecuta programas de preparación de exportadores: en 2025 se beneficiaron 21 organizaciones y 7,880 productores de Cajamarca, San Martín y Lima (PROMPERÚ, 2025). El Ministerio del Ambiente, a través de la plataforma GeoBosques, realiza el cruce de parcelas geolocalizadas con mapas de cobertura forestal para verificar la existencia de la parcela previa a 2020. ADEX, mediante el convenio firmado con MIDAGRI y MINCETUR en septiembre de 2025, aporta asistencia técnica y capacitación a productores y exportadores durante un período de dos años (MIDAGRI, 2025e).</w:t>
      </w:r>
    </w:p>
    <w:p w14:paraId="16A093FE" w14:textId="77777777" w:rsidR="003B002E" w:rsidRDefault="00000000" w:rsidP="003710B6">
      <w:pPr>
        <w:ind w:firstLine="720"/>
        <w:jc w:val="both"/>
      </w:pPr>
      <w:r>
        <w:t>La cooperación internacional ha desempeñado un rol relevante. La GIZ ha brindado apoyo técnico al MIDAGRI en geolocalización y estrategia EUDR. El Instituto Interamericano de Cooperación para la Agricultura (IICA) ha coordinado la capacitación y articulación con gobiernos regionales. La FAO ha facilitado la interoperabilidad de la plataforma nacional con el World Forestld Cover Information System for Producers (WHISP), permitiendo la generación de reportes de cumplimiento gratuitos y estandarizados. La Cooperación Suiza, Helvetas Perú y Solidaridad ejecutan proyectos de trazabilidad en campo, como AGROInnova y Amazonía Link.</w:t>
      </w:r>
    </w:p>
    <w:p w14:paraId="295A31CB" w14:textId="77777777" w:rsidR="003B002E" w:rsidRDefault="00000000" w:rsidP="003710B6">
      <w:pPr>
        <w:keepNext/>
        <w:spacing w:before="240" w:after="80"/>
        <w:jc w:val="both"/>
      </w:pPr>
      <w:r>
        <w:rPr>
          <w:b/>
        </w:rPr>
        <w:t>3.3 Infraestructura pública en operación</w:t>
      </w:r>
    </w:p>
    <w:p w14:paraId="04350D45" w14:textId="77777777" w:rsidR="003B002E" w:rsidRDefault="00000000" w:rsidP="003710B6">
      <w:pPr>
        <w:ind w:firstLine="720"/>
        <w:jc w:val="both"/>
      </w:pPr>
      <w:r>
        <w:t xml:space="preserve">La infraestructura digital pública desplegada comprende cuatro componentes principales. El aplicativo AGRODIGITAL, desarrollado por MIDAGRI, permite la geolocalización de parcelas con GPS y funciona en modo offline, característica fundamental </w:t>
      </w:r>
      <w:r>
        <w:lastRenderedPageBreak/>
        <w:t>para zonas rurales amazónicas sin conectividad. El aplicativo cruza las parcelas geolocalizadas con los datos de GeoBosques y emite la Constancia de Libre Deforestación, documento que integra el expediente de debida diligencia. La plataforma de trazabilidad del MIDAGRI, esperada para 2026, tiene como objetivo conectar la parcela del productor con el contenedor de exportación, vinculando el DNI del productor registrado en el manifiesto de carga con las parcelas georreferenciadas en el PPA. En el ámbito del cacao, la herramienta MICACAO, desarrollada por Helvetas Perú y Open Cocoa Chain, proporciona trazabilidad digital a lo largo de la cadena, conectando productores, cooperativas y exportadores, y validando la cero deforestación mediante un sistema de verificación estandarizado (GIZ, 2025; MIDAGRI, 2025d).</w:t>
      </w:r>
    </w:p>
    <w:p w14:paraId="024ABF5A" w14:textId="77777777" w:rsidR="003B002E" w:rsidRDefault="00000000" w:rsidP="003710B6">
      <w:pPr>
        <w:keepNext/>
        <w:spacing w:before="240" w:after="80"/>
        <w:jc w:val="both"/>
      </w:pPr>
      <w:r>
        <w:rPr>
          <w:b/>
        </w:rPr>
        <w:t>3.4 Convenios estratégicos con compradores europeos</w:t>
      </w:r>
    </w:p>
    <w:p w14:paraId="089B846A" w14:textId="77777777" w:rsidR="003B002E" w:rsidRDefault="00000000" w:rsidP="003710B6">
      <w:pPr>
        <w:ind w:firstLine="720"/>
        <w:jc w:val="both"/>
      </w:pPr>
      <w:r>
        <w:t>Un hito relevante es el Memorando de Entendimiento firmado entre JDE Peet's —mayor tostador de café del mundo— y el Estado peruano, para la verificación de deforestación cero mediante la empresa Enveritas. El MoU contempla la identificación de parcelas ubicadas en tierras deforestadas con posterioridad a 2020 y el diseño de mecanismos de remediación. JDE Peet's utiliza además Farmer Connect (blockchain) para la trazabilidad lote por lote, con más de 40 datapoints por lote, y ha extendido su acceso a la plataforma blockchain a sus proveedores en Perú (JDE Peet's, 2024, 2025).</w:t>
      </w:r>
    </w:p>
    <w:tbl>
      <w:tblPr>
        <w:tblStyle w:val="Tablaconcuadrcula"/>
        <w:tblW w:w="0" w:type="auto"/>
        <w:tblLook w:val="04A0" w:firstRow="1" w:lastRow="0" w:firstColumn="1" w:lastColumn="0" w:noHBand="0" w:noVBand="1"/>
      </w:tblPr>
      <w:tblGrid>
        <w:gridCol w:w="2459"/>
        <w:gridCol w:w="6560"/>
      </w:tblGrid>
      <w:tr w:rsidR="003B002E" w14:paraId="632DDFCC" w14:textId="77777777">
        <w:tc>
          <w:tcPr>
            <w:tcW w:w="2592" w:type="dxa"/>
            <w:shd w:val="clear" w:color="auto" w:fill="D9D9D9"/>
          </w:tcPr>
          <w:p w14:paraId="51338A23" w14:textId="77777777" w:rsidR="003B002E" w:rsidRDefault="00000000" w:rsidP="003710B6">
            <w:pPr>
              <w:spacing w:before="40" w:after="40" w:line="240" w:lineRule="auto"/>
              <w:jc w:val="both"/>
            </w:pPr>
            <w:r>
              <w:rPr>
                <w:b/>
                <w:sz w:val="20"/>
              </w:rPr>
              <w:t>Actor</w:t>
            </w:r>
          </w:p>
        </w:tc>
        <w:tc>
          <w:tcPr>
            <w:tcW w:w="7056" w:type="dxa"/>
            <w:shd w:val="clear" w:color="auto" w:fill="D9D9D9"/>
          </w:tcPr>
          <w:p w14:paraId="414730F4" w14:textId="77777777" w:rsidR="003B002E" w:rsidRDefault="00000000" w:rsidP="003710B6">
            <w:pPr>
              <w:spacing w:before="40" w:after="40" w:line="240" w:lineRule="auto"/>
              <w:jc w:val="both"/>
            </w:pPr>
            <w:r>
              <w:rPr>
                <w:b/>
                <w:sz w:val="20"/>
              </w:rPr>
              <w:t>Rol en la preparación EUDR</w:t>
            </w:r>
          </w:p>
        </w:tc>
      </w:tr>
      <w:tr w:rsidR="003B002E" w14:paraId="5A4DD666" w14:textId="77777777">
        <w:tc>
          <w:tcPr>
            <w:tcW w:w="2592" w:type="dxa"/>
          </w:tcPr>
          <w:p w14:paraId="71EF892C" w14:textId="77777777" w:rsidR="003B002E" w:rsidRDefault="00000000" w:rsidP="003710B6">
            <w:pPr>
              <w:spacing w:before="40" w:after="40" w:line="240" w:lineRule="auto"/>
              <w:jc w:val="both"/>
            </w:pPr>
            <w:r>
              <w:rPr>
                <w:sz w:val="20"/>
              </w:rPr>
              <w:t>MIDAGRI</w:t>
            </w:r>
          </w:p>
        </w:tc>
        <w:tc>
          <w:tcPr>
            <w:tcW w:w="7056" w:type="dxa"/>
          </w:tcPr>
          <w:p w14:paraId="0D6E44B0" w14:textId="77777777" w:rsidR="003B002E" w:rsidRDefault="00000000" w:rsidP="003710B6">
            <w:pPr>
              <w:spacing w:before="40" w:after="40" w:line="240" w:lineRule="auto"/>
              <w:jc w:val="both"/>
            </w:pPr>
            <w:r>
              <w:rPr>
                <w:sz w:val="20"/>
              </w:rPr>
              <w:t>Líder de estrategia nacional. Geolocalización (AGRODIGITAL/PPA), plataforma de trazabilidad en desarrollo, coordinación interinstitucional.</w:t>
            </w:r>
          </w:p>
        </w:tc>
      </w:tr>
      <w:tr w:rsidR="003B002E" w14:paraId="4579994C" w14:textId="77777777">
        <w:tc>
          <w:tcPr>
            <w:tcW w:w="2592" w:type="dxa"/>
          </w:tcPr>
          <w:p w14:paraId="7726E550" w14:textId="77777777" w:rsidR="003B002E" w:rsidRDefault="00000000" w:rsidP="003710B6">
            <w:pPr>
              <w:spacing w:before="40" w:after="40" w:line="240" w:lineRule="auto"/>
              <w:jc w:val="both"/>
            </w:pPr>
            <w:r>
              <w:rPr>
                <w:sz w:val="20"/>
              </w:rPr>
              <w:t>MINCETUR / PROMPERÚ</w:t>
            </w:r>
          </w:p>
        </w:tc>
        <w:tc>
          <w:tcPr>
            <w:tcW w:w="7056" w:type="dxa"/>
          </w:tcPr>
          <w:p w14:paraId="2A381B3C" w14:textId="77777777" w:rsidR="003B002E" w:rsidRDefault="00000000" w:rsidP="003710B6">
            <w:pPr>
              <w:spacing w:before="40" w:after="40" w:line="240" w:lineRule="auto"/>
              <w:jc w:val="both"/>
            </w:pPr>
            <w:r>
              <w:rPr>
                <w:sz w:val="20"/>
              </w:rPr>
              <w:t>Preparación de exportadores. Programa DD con 21 organizaciones y 7,880 productores en 2025.</w:t>
            </w:r>
          </w:p>
        </w:tc>
      </w:tr>
      <w:tr w:rsidR="003B002E" w14:paraId="6D0610B0" w14:textId="77777777">
        <w:tc>
          <w:tcPr>
            <w:tcW w:w="2592" w:type="dxa"/>
          </w:tcPr>
          <w:p w14:paraId="64FAE3E8" w14:textId="77777777" w:rsidR="003B002E" w:rsidRDefault="00000000" w:rsidP="003710B6">
            <w:pPr>
              <w:spacing w:before="40" w:after="40" w:line="240" w:lineRule="auto"/>
              <w:jc w:val="both"/>
            </w:pPr>
            <w:r>
              <w:rPr>
                <w:sz w:val="20"/>
              </w:rPr>
              <w:t>Ministerio del Ambiente / GeoBosques</w:t>
            </w:r>
          </w:p>
        </w:tc>
        <w:tc>
          <w:tcPr>
            <w:tcW w:w="7056" w:type="dxa"/>
          </w:tcPr>
          <w:p w14:paraId="08061952" w14:textId="77777777" w:rsidR="003B002E" w:rsidRDefault="00000000" w:rsidP="003710B6">
            <w:pPr>
              <w:spacing w:before="40" w:after="40" w:line="240" w:lineRule="auto"/>
              <w:jc w:val="both"/>
            </w:pPr>
            <w:r>
              <w:rPr>
                <w:sz w:val="20"/>
              </w:rPr>
              <w:t>Cruce de parcelas geolocalizadas con mapas de cobertura forestal.</w:t>
            </w:r>
          </w:p>
        </w:tc>
      </w:tr>
      <w:tr w:rsidR="003B002E" w14:paraId="2E5D028B" w14:textId="77777777">
        <w:tc>
          <w:tcPr>
            <w:tcW w:w="2592" w:type="dxa"/>
          </w:tcPr>
          <w:p w14:paraId="1CBB2F18" w14:textId="77777777" w:rsidR="003B002E" w:rsidRDefault="00000000" w:rsidP="003710B6">
            <w:pPr>
              <w:spacing w:before="40" w:after="40" w:line="240" w:lineRule="auto"/>
              <w:jc w:val="both"/>
            </w:pPr>
            <w:r>
              <w:rPr>
                <w:sz w:val="20"/>
              </w:rPr>
              <w:t>ADEX</w:t>
            </w:r>
          </w:p>
        </w:tc>
        <w:tc>
          <w:tcPr>
            <w:tcW w:w="7056" w:type="dxa"/>
          </w:tcPr>
          <w:p w14:paraId="540A68A2" w14:textId="77777777" w:rsidR="003B002E" w:rsidRDefault="00000000" w:rsidP="003710B6">
            <w:pPr>
              <w:spacing w:before="40" w:after="40" w:line="240" w:lineRule="auto"/>
              <w:jc w:val="both"/>
            </w:pPr>
            <w:r>
              <w:rPr>
                <w:sz w:val="20"/>
              </w:rPr>
              <w:t>Alianza estratégica con MIDAGRI y MINCETUR (convenio septiembre 2025).</w:t>
            </w:r>
          </w:p>
        </w:tc>
      </w:tr>
      <w:tr w:rsidR="003B002E" w14:paraId="5B832503" w14:textId="77777777">
        <w:tc>
          <w:tcPr>
            <w:tcW w:w="2592" w:type="dxa"/>
          </w:tcPr>
          <w:p w14:paraId="4137535B" w14:textId="77777777" w:rsidR="003B002E" w:rsidRDefault="00000000" w:rsidP="003710B6">
            <w:pPr>
              <w:spacing w:before="40" w:after="40" w:line="240" w:lineRule="auto"/>
              <w:jc w:val="both"/>
            </w:pPr>
            <w:r>
              <w:rPr>
                <w:sz w:val="20"/>
              </w:rPr>
              <w:t>GIZ</w:t>
            </w:r>
          </w:p>
        </w:tc>
        <w:tc>
          <w:tcPr>
            <w:tcW w:w="7056" w:type="dxa"/>
          </w:tcPr>
          <w:p w14:paraId="0285A121" w14:textId="77777777" w:rsidR="003B002E" w:rsidRDefault="00000000" w:rsidP="003710B6">
            <w:pPr>
              <w:spacing w:before="40" w:after="40" w:line="240" w:lineRule="auto"/>
              <w:jc w:val="both"/>
            </w:pPr>
            <w:r>
              <w:rPr>
                <w:sz w:val="20"/>
              </w:rPr>
              <w:t>Apoyo técnico a MIDAGRI en geolocalización y estrategia EUDR.</w:t>
            </w:r>
          </w:p>
        </w:tc>
      </w:tr>
      <w:tr w:rsidR="003B002E" w14:paraId="0253FF1F" w14:textId="77777777">
        <w:tc>
          <w:tcPr>
            <w:tcW w:w="2592" w:type="dxa"/>
          </w:tcPr>
          <w:p w14:paraId="512FBC82" w14:textId="77777777" w:rsidR="003B002E" w:rsidRDefault="00000000" w:rsidP="003710B6">
            <w:pPr>
              <w:spacing w:before="40" w:after="40" w:line="240" w:lineRule="auto"/>
              <w:jc w:val="both"/>
            </w:pPr>
            <w:r>
              <w:rPr>
                <w:sz w:val="20"/>
              </w:rPr>
              <w:t>IICA</w:t>
            </w:r>
          </w:p>
        </w:tc>
        <w:tc>
          <w:tcPr>
            <w:tcW w:w="7056" w:type="dxa"/>
          </w:tcPr>
          <w:p w14:paraId="2F5F9E98" w14:textId="77777777" w:rsidR="003B002E" w:rsidRDefault="00000000" w:rsidP="003710B6">
            <w:pPr>
              <w:spacing w:before="40" w:after="40" w:line="240" w:lineRule="auto"/>
              <w:jc w:val="both"/>
            </w:pPr>
            <w:r>
              <w:rPr>
                <w:sz w:val="20"/>
              </w:rPr>
              <w:t>Coordinación técnica, capacitación, articulación con gobiernos regionales.</w:t>
            </w:r>
          </w:p>
        </w:tc>
      </w:tr>
      <w:tr w:rsidR="003B002E" w14:paraId="2F18F867" w14:textId="77777777">
        <w:tc>
          <w:tcPr>
            <w:tcW w:w="2592" w:type="dxa"/>
          </w:tcPr>
          <w:p w14:paraId="6B6EE9D4" w14:textId="77777777" w:rsidR="003B002E" w:rsidRDefault="00000000" w:rsidP="003710B6">
            <w:pPr>
              <w:spacing w:before="40" w:after="40" w:line="240" w:lineRule="auto"/>
              <w:jc w:val="both"/>
            </w:pPr>
            <w:r>
              <w:rPr>
                <w:sz w:val="20"/>
              </w:rPr>
              <w:t>FAO</w:t>
            </w:r>
          </w:p>
        </w:tc>
        <w:tc>
          <w:tcPr>
            <w:tcW w:w="7056" w:type="dxa"/>
          </w:tcPr>
          <w:p w14:paraId="190D523F" w14:textId="77777777" w:rsidR="003B002E" w:rsidRDefault="00000000" w:rsidP="003710B6">
            <w:pPr>
              <w:spacing w:before="40" w:after="40" w:line="240" w:lineRule="auto"/>
              <w:jc w:val="both"/>
            </w:pPr>
            <w:r>
              <w:rPr>
                <w:sz w:val="20"/>
              </w:rPr>
              <w:t>WHISP como plataforma de interoperabilidad internacional.</w:t>
            </w:r>
          </w:p>
        </w:tc>
      </w:tr>
      <w:tr w:rsidR="003B002E" w14:paraId="487B86A9" w14:textId="77777777">
        <w:tc>
          <w:tcPr>
            <w:tcW w:w="2592" w:type="dxa"/>
          </w:tcPr>
          <w:p w14:paraId="6BFE6620" w14:textId="77777777" w:rsidR="003B002E" w:rsidRDefault="00000000" w:rsidP="003710B6">
            <w:pPr>
              <w:spacing w:before="40" w:after="40" w:line="240" w:lineRule="auto"/>
              <w:jc w:val="both"/>
            </w:pPr>
            <w:r>
              <w:rPr>
                <w:sz w:val="20"/>
              </w:rPr>
              <w:lastRenderedPageBreak/>
              <w:t>Cooperación Suiza / Helvetas / Solidaridad</w:t>
            </w:r>
          </w:p>
        </w:tc>
        <w:tc>
          <w:tcPr>
            <w:tcW w:w="7056" w:type="dxa"/>
          </w:tcPr>
          <w:p w14:paraId="19A0CA3F" w14:textId="77777777" w:rsidR="003B002E" w:rsidRDefault="00000000" w:rsidP="003710B6">
            <w:pPr>
              <w:spacing w:before="40" w:after="40" w:line="240" w:lineRule="auto"/>
              <w:jc w:val="both"/>
            </w:pPr>
            <w:r>
              <w:rPr>
                <w:sz w:val="20"/>
              </w:rPr>
              <w:t>Financiamiento y ejecución de proyectos de trazabilidad en campo.</w:t>
            </w:r>
          </w:p>
        </w:tc>
      </w:tr>
    </w:tbl>
    <w:p w14:paraId="45E9EEF1" w14:textId="77777777" w:rsidR="003B002E" w:rsidRDefault="003B002E" w:rsidP="003710B6">
      <w:pPr>
        <w:jc w:val="both"/>
      </w:pPr>
    </w:p>
    <w:p w14:paraId="3A805C75" w14:textId="77777777" w:rsidR="003B002E" w:rsidRDefault="00000000" w:rsidP="003710B6">
      <w:pPr>
        <w:keepNext/>
        <w:spacing w:before="320" w:after="80"/>
        <w:jc w:val="both"/>
      </w:pPr>
      <w:r>
        <w:rPr>
          <w:b/>
          <w:sz w:val="26"/>
        </w:rPr>
        <w:t>4. El Universo de Cooperativas y Organizaciones de Productores</w:t>
      </w:r>
    </w:p>
    <w:p w14:paraId="6967C43A" w14:textId="77777777" w:rsidR="003B002E" w:rsidRDefault="00000000" w:rsidP="003710B6">
      <w:pPr>
        <w:keepNext/>
        <w:spacing w:before="240" w:after="80"/>
        <w:jc w:val="both"/>
      </w:pPr>
      <w:r>
        <w:rPr>
          <w:b/>
        </w:rPr>
        <w:t>4.1 Cadena de café</w:t>
      </w:r>
    </w:p>
    <w:p w14:paraId="4CDFC919" w14:textId="77777777" w:rsidR="003B002E" w:rsidRDefault="00000000" w:rsidP="003710B6">
      <w:pPr>
        <w:keepNext/>
        <w:spacing w:before="240" w:after="80"/>
        <w:jc w:val="both"/>
      </w:pPr>
      <w:r>
        <w:rPr>
          <w:b/>
        </w:rPr>
        <w:t>4.1.1 Nivel avanzado: cooperativas con trazabilidad operativa y exportaciones EUDR</w:t>
      </w:r>
    </w:p>
    <w:p w14:paraId="4032B0BA" w14:textId="77777777" w:rsidR="003B002E" w:rsidRDefault="00000000" w:rsidP="003710B6">
      <w:pPr>
        <w:ind w:firstLine="720"/>
        <w:jc w:val="both"/>
      </w:pPr>
      <w:r>
        <w:t>La Cooperativa de Servicios Múltiples Cenfrocafé Perú, con sede en Jaén, Cajamarca, y operaciones en el departamento de Amazonas, constituye una de las organizaciones más avanzadas del sector cafetalero peruano. Agrupa a 3,000 pequeños productores de café distribuidos en 12 distritos y opera una filial europea, Cenfrocafé AG (Suiza), que facilita el comercio directo con tostadores europeos. La cooperativa cuenta con trazabilidad completa a nivel de parcela, certificaciones Rainforest Alliance, Fairtrade y orgánica, y protocolos de no deforestación implementados desde hace varios ciclos productivos. Cenfrocafé participó en los pilotos de exportación EUDR organizados por el MIDAGRI en 2025, con envíos de café a Beneke Coffee (Alemania) e ICAM (Italia). En el distrito de Tabaconas, San Ignacio, la cooperativa trabaja con 154 productores individuales organizados en 12 asociaciones locales —entre ellas, El Laurel, La Palta y El Cedro— mediante esquemas de trazabilidad a nivel de parcela que constituyen un referente metodológico para el sector (Coop Coffees, 2025; Trabocca, 2025; MIDAGRI, 2025f).</w:t>
      </w:r>
    </w:p>
    <w:p w14:paraId="73B2B7F1" w14:textId="77777777" w:rsidR="003B002E" w:rsidRDefault="00000000" w:rsidP="003710B6">
      <w:pPr>
        <w:ind w:firstLine="720"/>
        <w:jc w:val="both"/>
      </w:pPr>
      <w:r>
        <w:t xml:space="preserve">La Cooperativa Agraria Cafetalera Satipo, ubicada en la provincia de Satipo, Junín, agrupa aproximadamente 3,350 productores organizados en 7 organizaciones a través del programa SAFE. El programa SAFE opera en tres módulos: gestión de cadena, evaluación de riesgo EUDR y digitalización. La cooperativa fue visitada por una misión europea conjunta EU-Holanda-Alemania y participó en pilotos de exportación EUDR en 2025 (Zero </w:t>
      </w:r>
      <w:r>
        <w:lastRenderedPageBreak/>
        <w:t>Deforestation Hub, 2025; MIDAGRI, 2025g). La Cooperativa Agraria Sonomoro, en Pangoa, Junín, opera bajo dinámicas similares y forma parte del programa SAFE. La Cooperativa Agraria APROCAM, en Bagua, Amazonas, y PIMCOS Coffee, en Jaén, Cajamarca —que en 2025 ejecutó una exportación piloto de 45 toneladas—, completan el grupo de cooperativas con participación documentada en los pilotos de debida diligencia del MIDAGRI.</w:t>
      </w:r>
    </w:p>
    <w:p w14:paraId="2A4799BB" w14:textId="77777777" w:rsidR="003B002E" w:rsidRDefault="00000000" w:rsidP="003710B6">
      <w:pPr>
        <w:keepNext/>
        <w:spacing w:before="240" w:after="80"/>
        <w:jc w:val="both"/>
      </w:pPr>
      <w:r>
        <w:rPr>
          <w:b/>
        </w:rPr>
        <w:t>4.1.2 Nivel en preparación: geolocalización en curso</w:t>
      </w:r>
    </w:p>
    <w:p w14:paraId="17E1541B" w14:textId="77777777" w:rsidR="003B002E" w:rsidRDefault="00000000" w:rsidP="003710B6">
      <w:pPr>
        <w:ind w:firstLine="720"/>
        <w:jc w:val="both"/>
      </w:pPr>
      <w:r>
        <w:t>Un conjunto de organizaciones de productores de café se encuentra en fase de geolocalización y preparación operativa. Las cooperativas de El Dorado, San Martín, están siendo apoyadas por la Agencia de Desarrollo Económico Local (ADEL) de El Dorado, el IICA y la DRASAM en la geolocalización de parcelas (MIDAGRI/DRASAM, 2025). La Asociación de Productores Cuencas del Huallaga, en San Martín, y la Asociación Productores Café Organero Gera, en Moyobamba, fueron visitadas por el MIDAGRI en el marco de los pilotos de debida diligencia. En la zona del VRAE, la ACPC Pichanaki y Kemito Ene, ambas en Junín, fueron visitadas por la misión europea y producen café y cacao bajo sistemas agroforestales que constituyen una base favorable para la demostración de producción libre de deforestación.</w:t>
      </w:r>
    </w:p>
    <w:p w14:paraId="3A6459FD" w14:textId="77777777" w:rsidR="003B002E" w:rsidRDefault="00000000" w:rsidP="003710B6">
      <w:pPr>
        <w:keepNext/>
        <w:spacing w:before="240" w:after="80"/>
        <w:jc w:val="both"/>
      </w:pPr>
      <w:r>
        <w:rPr>
          <w:b/>
        </w:rPr>
        <w:t>4.2 Cadena de cacao</w:t>
      </w:r>
    </w:p>
    <w:p w14:paraId="36DD1202" w14:textId="77777777" w:rsidR="003B002E" w:rsidRDefault="00000000" w:rsidP="003710B6">
      <w:pPr>
        <w:ind w:firstLine="720"/>
        <w:jc w:val="both"/>
      </w:pPr>
      <w:r>
        <w:t xml:space="preserve">En la cadena de cacao, Allima Cacao, organización de productores de Chazuta, San Martín, destaca como caso piloto de exportación EUDR. En 2025 ejecutó un piloto de exportación de más de 45 toneladas de cacao fine flavor y orgánico a Silva Cacao (Bélgica), con trazabilidad a nivel de parcela validada a través de la plataforma AGRODIGITAL. Las cooperativas de Junín y Ucayali —Satipo, Sonomoro, ACPC Pichanaki y Kemito Ene— operan en la producción de cacao bajo sistemas agroforestales en la amazonía central y </w:t>
      </w:r>
      <w:r>
        <w:lastRenderedPageBreak/>
        <w:t>cuentan con el componente de debida diligencia estructurado dentro del programa SAFE (Zero Deforestation Hub, 2025).</w:t>
      </w:r>
    </w:p>
    <w:p w14:paraId="5A089B0F" w14:textId="77777777" w:rsidR="003B002E" w:rsidRDefault="00000000" w:rsidP="003710B6">
      <w:pPr>
        <w:ind w:firstLine="720"/>
        <w:jc w:val="both"/>
      </w:pPr>
      <w:r>
        <w:t>El proyecto Amazonía Link, ejecutado por Solidaridad, ha logrado georreferenciar parcelas y generar reportes de cero deforestación para 737 productores de café, cacao y palma aceitera, analizando un territorio de 60,000 km² (ANDINA, 2025).</w:t>
      </w:r>
    </w:p>
    <w:p w14:paraId="17318178" w14:textId="77777777" w:rsidR="003B002E" w:rsidRDefault="00000000" w:rsidP="003710B6">
      <w:pPr>
        <w:keepNext/>
        <w:spacing w:before="240" w:after="80"/>
        <w:jc w:val="both"/>
      </w:pPr>
      <w:r>
        <w:rPr>
          <w:b/>
        </w:rPr>
        <w:t>4.3 Cadena de palma aceitera</w:t>
      </w:r>
    </w:p>
    <w:p w14:paraId="61408519" w14:textId="77777777" w:rsidR="003B002E" w:rsidRDefault="00000000" w:rsidP="003710B6">
      <w:pPr>
        <w:ind w:firstLine="720"/>
        <w:jc w:val="both"/>
      </w:pPr>
      <w:r>
        <w:t>La cadena de palma aceitera presenta una estructura diferenciada, con mayor concentración en empresas agroindustriales y núcleos de pequeños productores integrados a plantas procesadoras. Los desafíos de titulación y geolocalización son análogos a los del café y cacao, pero la estructura de la cadena y la menor organización de los productores vegetales constituyen factores adicionales de complejidad. La organización APROMAN, en Ucayali, alcanzó el Hito A de certificación RSPO en agosto de 2025 y espera la emisión del certificado. ASPASH, también en Ucayali, obtuvo la elegibilidad RSPO en 2025 y se encuentra en proceso de certificación. La Asociación Santa Lucía alcanzó el Hito A de certificación RSPO en octubre de 2025, en el marco de su articulación comercial con Alicorp. Las organizaciones APPACHE y UNIPALMA se encuentran en proceso de solicitud de membresía RSPO (Alicorp, 2025).</w:t>
      </w:r>
    </w:p>
    <w:p w14:paraId="033F0C3E" w14:textId="77777777" w:rsidR="003B002E" w:rsidRDefault="00000000" w:rsidP="003710B6">
      <w:pPr>
        <w:ind w:firstLine="720"/>
        <w:jc w:val="both"/>
      </w:pPr>
      <w:r>
        <w:t>El Grupo Palmas/Alicorp, a través de su programa Palma Sostenible, ha alcanzado un nivel de trazabilidad corporativa del 77% hasta plantación por polígono en su cadena de abastecimiento, constituyendo el mayor avance de trazabilidad en la cadena de palma aceitera peruana (Alicorp, 2025).</w:t>
      </w:r>
    </w:p>
    <w:p w14:paraId="24C5592D" w14:textId="77777777" w:rsidR="003B002E" w:rsidRDefault="00000000" w:rsidP="003710B6">
      <w:pPr>
        <w:keepNext/>
        <w:spacing w:before="320" w:after="80"/>
        <w:jc w:val="both"/>
      </w:pPr>
      <w:r>
        <w:rPr>
          <w:b/>
          <w:sz w:val="26"/>
        </w:rPr>
        <w:lastRenderedPageBreak/>
        <w:t>5. Compradores Europeos y Plataformas Tecnológicas</w:t>
      </w:r>
    </w:p>
    <w:p w14:paraId="41FAE519" w14:textId="77777777" w:rsidR="003B002E" w:rsidRDefault="00000000" w:rsidP="003710B6">
      <w:pPr>
        <w:ind w:firstLine="720"/>
        <w:jc w:val="both"/>
      </w:pPr>
      <w:r>
        <w:t>El mercado europeo de café y cacao cuenta con cuatro compradores que han mantenido presencia documentada en Perú y que, por su perfil de riesgo de suministro, se encuentran entre los más expuestos al EUDR. Silva Cacao (Bélgica) opera en la cadena de cacao de especialidad, con el piloto EUDR 2025 con Allima Cacao como antecedente inmediato. Beneke Coffee (Alemania) y ICAM (Italia) participan en la cadena de café a través de los pilotos organizados por el MIDAGRI. JDE Peet's (Países Bajos), como mayor tostador de café del mundo, representa el caso de mayor escala: su MoU con el Estado peruano, la contratación de Enveritas como verificador independiente, y su participación accionaria en Farmer Connect le confieren una posición única en el ecosistema de trazabilidad (JDE Peet's, 2024, 2025).</w:t>
      </w:r>
    </w:p>
    <w:p w14:paraId="5133C114" w14:textId="77777777" w:rsidR="003B002E" w:rsidRDefault="00000000" w:rsidP="003710B6">
      <w:pPr>
        <w:ind w:firstLine="720"/>
        <w:jc w:val="both"/>
      </w:pPr>
      <w:r>
        <w:t>Desde la perspectiva de la economía de cadenas de suministro, el estudio de Trase publicado el 1 de septiembre de 2026 proyecta que el EUDR ejercerá presión sobre empresas con alta exposición a la UE para extender los requisitos de debida diligencia a toda su cadena global, y no únicamente a los lotes destinados al mercado europeo. Los datos de Trase revelan que el 79% del café global es manejado por importadores que simultáneamente surten al mercado de la Unión Europea. Para empresas como JDE Peet's (84% de su café con exposición a la UE), Louis Dreyfus (63%) y Neumann Gruppe (53%), mantener cadenas segregadas —una para la UE con cumplimiento EUDR y otra para mercados sin regulación— resulta más costoso que aplicar los estándares EUDR a toda su cadena de suministro. Este fenómeno de extensión extraterritorial de la regulación constituye un incentivo estructural para que los exportadores peruanos cumplan los requisitos EUDR incluso cuando venden a compradores no europeos (Trase, 2026; Reuters, 2026).</w:t>
      </w:r>
    </w:p>
    <w:tbl>
      <w:tblPr>
        <w:tblStyle w:val="Tablaconcuadrcula"/>
        <w:tblW w:w="0" w:type="auto"/>
        <w:tblLook w:val="04A0" w:firstRow="1" w:lastRow="0" w:firstColumn="1" w:lastColumn="0" w:noHBand="0" w:noVBand="1"/>
      </w:tblPr>
      <w:tblGrid>
        <w:gridCol w:w="1920"/>
        <w:gridCol w:w="1259"/>
        <w:gridCol w:w="1260"/>
        <w:gridCol w:w="4580"/>
      </w:tblGrid>
      <w:tr w:rsidR="003B002E" w14:paraId="5DDC5D87" w14:textId="77777777">
        <w:tc>
          <w:tcPr>
            <w:tcW w:w="2016" w:type="dxa"/>
            <w:shd w:val="clear" w:color="auto" w:fill="D9D9D9"/>
          </w:tcPr>
          <w:p w14:paraId="498303AB" w14:textId="77777777" w:rsidR="003B002E" w:rsidRDefault="00000000" w:rsidP="003710B6">
            <w:pPr>
              <w:spacing w:before="40" w:after="40" w:line="240" w:lineRule="auto"/>
              <w:jc w:val="both"/>
            </w:pPr>
            <w:r>
              <w:rPr>
                <w:b/>
                <w:sz w:val="20"/>
              </w:rPr>
              <w:t>Comprador</w:t>
            </w:r>
          </w:p>
        </w:tc>
        <w:tc>
          <w:tcPr>
            <w:tcW w:w="1296" w:type="dxa"/>
            <w:shd w:val="clear" w:color="auto" w:fill="D9D9D9"/>
          </w:tcPr>
          <w:p w14:paraId="42308413" w14:textId="77777777" w:rsidR="003B002E" w:rsidRDefault="00000000" w:rsidP="003710B6">
            <w:pPr>
              <w:spacing w:before="40" w:after="40" w:line="240" w:lineRule="auto"/>
              <w:jc w:val="both"/>
            </w:pPr>
            <w:r>
              <w:rPr>
                <w:b/>
                <w:sz w:val="20"/>
              </w:rPr>
              <w:t>País</w:t>
            </w:r>
          </w:p>
        </w:tc>
        <w:tc>
          <w:tcPr>
            <w:tcW w:w="1296" w:type="dxa"/>
            <w:shd w:val="clear" w:color="auto" w:fill="D9D9D9"/>
          </w:tcPr>
          <w:p w14:paraId="5A479548" w14:textId="77777777" w:rsidR="003B002E" w:rsidRDefault="00000000" w:rsidP="003710B6">
            <w:pPr>
              <w:spacing w:before="40" w:after="40" w:line="240" w:lineRule="auto"/>
              <w:jc w:val="both"/>
            </w:pPr>
            <w:r>
              <w:rPr>
                <w:b/>
                <w:sz w:val="20"/>
              </w:rPr>
              <w:t>Producto</w:t>
            </w:r>
          </w:p>
        </w:tc>
        <w:tc>
          <w:tcPr>
            <w:tcW w:w="5040" w:type="dxa"/>
            <w:shd w:val="clear" w:color="auto" w:fill="D9D9D9"/>
          </w:tcPr>
          <w:p w14:paraId="0736D6D5" w14:textId="77777777" w:rsidR="003B002E" w:rsidRDefault="00000000" w:rsidP="003710B6">
            <w:pPr>
              <w:spacing w:before="40" w:after="40" w:line="240" w:lineRule="auto"/>
              <w:jc w:val="both"/>
            </w:pPr>
            <w:r>
              <w:rPr>
                <w:b/>
                <w:sz w:val="20"/>
              </w:rPr>
              <w:t>Perfil EUDR</w:t>
            </w:r>
          </w:p>
        </w:tc>
      </w:tr>
      <w:tr w:rsidR="003B002E" w14:paraId="5A0119E8" w14:textId="77777777">
        <w:tc>
          <w:tcPr>
            <w:tcW w:w="2016" w:type="dxa"/>
          </w:tcPr>
          <w:p w14:paraId="69FCEE10" w14:textId="77777777" w:rsidR="003B002E" w:rsidRDefault="00000000" w:rsidP="003710B6">
            <w:pPr>
              <w:spacing w:before="40" w:after="40" w:line="240" w:lineRule="auto"/>
              <w:jc w:val="both"/>
            </w:pPr>
            <w:r>
              <w:rPr>
                <w:sz w:val="20"/>
              </w:rPr>
              <w:t>Silva Cacao</w:t>
            </w:r>
          </w:p>
        </w:tc>
        <w:tc>
          <w:tcPr>
            <w:tcW w:w="1296" w:type="dxa"/>
          </w:tcPr>
          <w:p w14:paraId="2745DCD7" w14:textId="77777777" w:rsidR="003B002E" w:rsidRDefault="00000000" w:rsidP="003710B6">
            <w:pPr>
              <w:spacing w:before="40" w:after="40" w:line="240" w:lineRule="auto"/>
              <w:jc w:val="both"/>
            </w:pPr>
            <w:r>
              <w:rPr>
                <w:sz w:val="20"/>
              </w:rPr>
              <w:t>Bélgica</w:t>
            </w:r>
          </w:p>
        </w:tc>
        <w:tc>
          <w:tcPr>
            <w:tcW w:w="1296" w:type="dxa"/>
          </w:tcPr>
          <w:p w14:paraId="3E35F5B4" w14:textId="77777777" w:rsidR="003B002E" w:rsidRDefault="00000000" w:rsidP="003710B6">
            <w:pPr>
              <w:spacing w:before="40" w:after="40" w:line="240" w:lineRule="auto"/>
              <w:jc w:val="both"/>
            </w:pPr>
            <w:r>
              <w:rPr>
                <w:sz w:val="20"/>
              </w:rPr>
              <w:t>Cacao</w:t>
            </w:r>
          </w:p>
        </w:tc>
        <w:tc>
          <w:tcPr>
            <w:tcW w:w="5040" w:type="dxa"/>
          </w:tcPr>
          <w:p w14:paraId="371FCCD0" w14:textId="77777777" w:rsidR="003B002E" w:rsidRDefault="00000000" w:rsidP="003710B6">
            <w:pPr>
              <w:spacing w:before="40" w:after="40" w:line="240" w:lineRule="auto"/>
              <w:jc w:val="both"/>
            </w:pPr>
            <w:r>
              <w:rPr>
                <w:sz w:val="20"/>
              </w:rPr>
              <w:t>Specialty, fine flavor. Piloto EUDR 2025 con Allima Cacao.</w:t>
            </w:r>
          </w:p>
        </w:tc>
      </w:tr>
      <w:tr w:rsidR="003B002E" w14:paraId="0645CC9C" w14:textId="77777777">
        <w:tc>
          <w:tcPr>
            <w:tcW w:w="2016" w:type="dxa"/>
          </w:tcPr>
          <w:p w14:paraId="774BCB05" w14:textId="77777777" w:rsidR="003B002E" w:rsidRDefault="00000000" w:rsidP="003710B6">
            <w:pPr>
              <w:spacing w:before="40" w:after="40" w:line="240" w:lineRule="auto"/>
              <w:jc w:val="both"/>
            </w:pPr>
            <w:r>
              <w:rPr>
                <w:sz w:val="20"/>
              </w:rPr>
              <w:lastRenderedPageBreak/>
              <w:t>Beneke Coffee</w:t>
            </w:r>
          </w:p>
        </w:tc>
        <w:tc>
          <w:tcPr>
            <w:tcW w:w="1296" w:type="dxa"/>
          </w:tcPr>
          <w:p w14:paraId="31B874AE" w14:textId="77777777" w:rsidR="003B002E" w:rsidRDefault="00000000" w:rsidP="003710B6">
            <w:pPr>
              <w:spacing w:before="40" w:after="40" w:line="240" w:lineRule="auto"/>
              <w:jc w:val="both"/>
            </w:pPr>
            <w:r>
              <w:rPr>
                <w:sz w:val="20"/>
              </w:rPr>
              <w:t>Alemania</w:t>
            </w:r>
          </w:p>
        </w:tc>
        <w:tc>
          <w:tcPr>
            <w:tcW w:w="1296" w:type="dxa"/>
          </w:tcPr>
          <w:p w14:paraId="0C61066A" w14:textId="77777777" w:rsidR="003B002E" w:rsidRDefault="00000000" w:rsidP="003710B6">
            <w:pPr>
              <w:spacing w:before="40" w:after="40" w:line="240" w:lineRule="auto"/>
              <w:jc w:val="both"/>
            </w:pPr>
            <w:r>
              <w:rPr>
                <w:sz w:val="20"/>
              </w:rPr>
              <w:t>Café</w:t>
            </w:r>
          </w:p>
        </w:tc>
        <w:tc>
          <w:tcPr>
            <w:tcW w:w="5040" w:type="dxa"/>
          </w:tcPr>
          <w:p w14:paraId="013FC3C3" w14:textId="77777777" w:rsidR="003B002E" w:rsidRDefault="00000000" w:rsidP="003710B6">
            <w:pPr>
              <w:spacing w:before="40" w:after="40" w:line="240" w:lineRule="auto"/>
              <w:jc w:val="both"/>
            </w:pPr>
            <w:r>
              <w:rPr>
                <w:sz w:val="20"/>
              </w:rPr>
              <w:t>Tostador. Piloto EUDR 2025 con PIMCOS y Satipo.</w:t>
            </w:r>
          </w:p>
        </w:tc>
      </w:tr>
      <w:tr w:rsidR="003B002E" w14:paraId="3F80BE56" w14:textId="77777777">
        <w:tc>
          <w:tcPr>
            <w:tcW w:w="2016" w:type="dxa"/>
          </w:tcPr>
          <w:p w14:paraId="3EC73C10" w14:textId="77777777" w:rsidR="003B002E" w:rsidRDefault="00000000" w:rsidP="003710B6">
            <w:pPr>
              <w:spacing w:before="40" w:after="40" w:line="240" w:lineRule="auto"/>
              <w:jc w:val="both"/>
            </w:pPr>
            <w:r>
              <w:rPr>
                <w:sz w:val="20"/>
              </w:rPr>
              <w:t>ICAM</w:t>
            </w:r>
          </w:p>
        </w:tc>
        <w:tc>
          <w:tcPr>
            <w:tcW w:w="1296" w:type="dxa"/>
          </w:tcPr>
          <w:p w14:paraId="7C580A68" w14:textId="77777777" w:rsidR="003B002E" w:rsidRDefault="00000000" w:rsidP="003710B6">
            <w:pPr>
              <w:spacing w:before="40" w:after="40" w:line="240" w:lineRule="auto"/>
              <w:jc w:val="both"/>
            </w:pPr>
            <w:r>
              <w:rPr>
                <w:sz w:val="20"/>
              </w:rPr>
              <w:t>Italia</w:t>
            </w:r>
          </w:p>
        </w:tc>
        <w:tc>
          <w:tcPr>
            <w:tcW w:w="1296" w:type="dxa"/>
          </w:tcPr>
          <w:p w14:paraId="58943B81" w14:textId="77777777" w:rsidR="003B002E" w:rsidRDefault="00000000" w:rsidP="003710B6">
            <w:pPr>
              <w:spacing w:before="40" w:after="40" w:line="240" w:lineRule="auto"/>
              <w:jc w:val="both"/>
            </w:pPr>
            <w:r>
              <w:rPr>
                <w:sz w:val="20"/>
              </w:rPr>
              <w:t>Cacao</w:t>
            </w:r>
          </w:p>
        </w:tc>
        <w:tc>
          <w:tcPr>
            <w:tcW w:w="5040" w:type="dxa"/>
          </w:tcPr>
          <w:p w14:paraId="49BBAA4A" w14:textId="77777777" w:rsidR="003B002E" w:rsidRDefault="00000000" w:rsidP="003710B6">
            <w:pPr>
              <w:spacing w:before="40" w:after="40" w:line="240" w:lineRule="auto"/>
              <w:jc w:val="both"/>
            </w:pPr>
            <w:r>
              <w:rPr>
                <w:sz w:val="20"/>
              </w:rPr>
              <w:t>Chocolate de especialidad. Piloto EUDR 2025.</w:t>
            </w:r>
          </w:p>
        </w:tc>
      </w:tr>
      <w:tr w:rsidR="003B002E" w14:paraId="736CA8A4" w14:textId="77777777">
        <w:tc>
          <w:tcPr>
            <w:tcW w:w="2016" w:type="dxa"/>
          </w:tcPr>
          <w:p w14:paraId="4912C0D5" w14:textId="77777777" w:rsidR="003B002E" w:rsidRDefault="00000000" w:rsidP="003710B6">
            <w:pPr>
              <w:spacing w:before="40" w:after="40" w:line="240" w:lineRule="auto"/>
              <w:jc w:val="both"/>
            </w:pPr>
            <w:r>
              <w:rPr>
                <w:sz w:val="20"/>
              </w:rPr>
              <w:t>JDE Peet's</w:t>
            </w:r>
          </w:p>
        </w:tc>
        <w:tc>
          <w:tcPr>
            <w:tcW w:w="1296" w:type="dxa"/>
          </w:tcPr>
          <w:p w14:paraId="6F7C922E" w14:textId="77777777" w:rsidR="003B002E" w:rsidRDefault="00000000" w:rsidP="003710B6">
            <w:pPr>
              <w:spacing w:before="40" w:after="40" w:line="240" w:lineRule="auto"/>
              <w:jc w:val="both"/>
            </w:pPr>
            <w:r>
              <w:rPr>
                <w:sz w:val="20"/>
              </w:rPr>
              <w:t>Países Bajos</w:t>
            </w:r>
          </w:p>
        </w:tc>
        <w:tc>
          <w:tcPr>
            <w:tcW w:w="1296" w:type="dxa"/>
          </w:tcPr>
          <w:p w14:paraId="1900D0A5" w14:textId="77777777" w:rsidR="003B002E" w:rsidRDefault="00000000" w:rsidP="003710B6">
            <w:pPr>
              <w:spacing w:before="40" w:after="40" w:line="240" w:lineRule="auto"/>
              <w:jc w:val="both"/>
            </w:pPr>
            <w:r>
              <w:rPr>
                <w:sz w:val="20"/>
              </w:rPr>
              <w:t>Café</w:t>
            </w:r>
          </w:p>
        </w:tc>
        <w:tc>
          <w:tcPr>
            <w:tcW w:w="5040" w:type="dxa"/>
          </w:tcPr>
          <w:p w14:paraId="4F510D00" w14:textId="77777777" w:rsidR="003B002E" w:rsidRDefault="00000000" w:rsidP="003710B6">
            <w:pPr>
              <w:spacing w:before="40" w:after="40" w:line="240" w:lineRule="auto"/>
              <w:jc w:val="both"/>
            </w:pPr>
            <w:r>
              <w:rPr>
                <w:sz w:val="20"/>
              </w:rPr>
              <w:t>Mayor tostador del mundo. MoU con Perú. Enveritas como verificador. Accionista de Farmer Connect (blockchain).</w:t>
            </w:r>
          </w:p>
        </w:tc>
      </w:tr>
    </w:tbl>
    <w:p w14:paraId="2A8E8E25" w14:textId="77777777" w:rsidR="003B002E" w:rsidRDefault="003B002E" w:rsidP="003710B6">
      <w:pPr>
        <w:jc w:val="both"/>
      </w:pPr>
    </w:p>
    <w:p w14:paraId="39EFF0F1" w14:textId="77777777" w:rsidR="003B002E" w:rsidRDefault="00000000" w:rsidP="003710B6">
      <w:pPr>
        <w:ind w:firstLine="720"/>
        <w:jc w:val="both"/>
      </w:pPr>
      <w:r>
        <w:t>El ecosistema de trazabilidad disponible para las cooperativas peruanas comprende plataformas tecnológicas, estándares de certificación y sistemas de monitoreo satelital, con diferentes niveles de madurez y costos de implementación. Enveritas, empresa de verificación con uso de drones, inteligencia artificial e imágenes satelitales para el análisis de deforestación post-2020 a nivel territorial, es el verificador contratado por JDE Peet's. Farmer Connect, plataforma de trazabilidad basada en blockchain con más de 40 datapoints por lote, es accesible para cooperativas que surten a grandes tostadores con programas blockchain activos. En materia de certificación, Rainforest Alliance —que incluye un componente de deforestación y legalidad en sus estándares— certifica aproximadamente el 40% del café peruano exportado. La certificación RSPO en palma aceitera proporciona un marco de trazabilidad hasta plantación directamente alineable con los requisitos del EUDR. GeoBosques y Global Forest Watch proporcionan datos de cobertura forestal que permiten verificar la existencia de parcela previa a 2020.</w:t>
      </w:r>
    </w:p>
    <w:p w14:paraId="44FB1CAD" w14:textId="77777777" w:rsidR="003B002E" w:rsidRDefault="00000000" w:rsidP="003710B6">
      <w:pPr>
        <w:keepNext/>
        <w:spacing w:before="320" w:after="80"/>
        <w:jc w:val="both"/>
      </w:pPr>
      <w:r>
        <w:rPr>
          <w:b/>
          <w:sz w:val="26"/>
        </w:rPr>
        <w:t>6. Conclusiones</w:t>
      </w:r>
    </w:p>
    <w:p w14:paraId="7087EB7E" w14:textId="77777777" w:rsidR="003B002E" w:rsidRDefault="00000000" w:rsidP="003710B6">
      <w:pPr>
        <w:ind w:firstLine="720"/>
        <w:jc w:val="both"/>
      </w:pPr>
      <w:r>
        <w:t>El presente documento de trabajo permite identificar cinco hallazgos principales. En primer lugar, Perú enfrenta el EUDR desde una posición de preparación institucional relativamente avanzada, sustentada en la geolocalización de más de 150,000 parcelas a través de AGRODIGITAL y en la interoperabilidad lograda con plataformas internacionales de monitoreo. No obstante, la brecha de formalización de la propiedad —el 80% de los pequeños productores carece de título de propiedad— constituye el principal obstáculo para la construcción de expedientes de debida diligencia válidos.</w:t>
      </w:r>
    </w:p>
    <w:p w14:paraId="29622807" w14:textId="77777777" w:rsidR="003B002E" w:rsidRDefault="00000000" w:rsidP="003710B6">
      <w:pPr>
        <w:ind w:firstLine="720"/>
        <w:jc w:val="both"/>
      </w:pPr>
      <w:r>
        <w:lastRenderedPageBreak/>
        <w:t>En segundo lugar, las cooperativas organizadas con infraestructura digital preexistente —Cenfrocafé, la Cooperativa Agraria Cafetalera Satipo, Allima Cacao y las organizaciones de palma aceitera avanzadas— se encuentran en condiciones de cumplir los requisitos del EUDR para la fecha de entrada en vigencia. Estas organizaciones se benefician de certificaciones existentes, trazabilidad operativa a nivel de parcela, y relaciones comerciales establecidas con compradores europeos que ya aplican estándares de debida diligencia.</w:t>
      </w:r>
    </w:p>
    <w:p w14:paraId="35A653B5" w14:textId="77777777" w:rsidR="003B002E" w:rsidRDefault="00000000" w:rsidP="003710B6">
      <w:pPr>
        <w:ind w:firstLine="720"/>
        <w:jc w:val="both"/>
      </w:pPr>
      <w:r>
        <w:t>En tercer lugar, el EUDR tendrá efectos de extensión extraterritorial significativos. El dato de Trase (2026) según el cual el 79% del café global es manejado por importadores con exposición a la UE implica que los estándares de debida diligencia se incorporarán a la práctica comercial habitual de los principales compradores de café y cacao peruano, independientemente de que el lote final se destine o no al mercado europeo.</w:t>
      </w:r>
    </w:p>
    <w:p w14:paraId="48E62550" w14:textId="77777777" w:rsidR="003B002E" w:rsidRDefault="00000000" w:rsidP="003710B6">
      <w:pPr>
        <w:ind w:firstLine="720"/>
        <w:jc w:val="both"/>
      </w:pPr>
      <w:r>
        <w:t>En cuarto lugar, la agenda de preparación prioritaria debe articularse en torno a cinco ejes: (i) la formalización masiva de la propiedad rural mediante COFOPRI y los mecanismos de titulación del MIDAGRI; (ii) el escalamiento de la geolocalización a las cooperativas que aún no cuentan con polígonos registrados en AGRODIGITAL; (iii) la interoperabilidad técnica de las plataformas existentes con el sistema TRACES/NTIS de la UE; (iv) el acceso a financiamiento para los costos de certificación, verificación y adecuación de sistemas, particularmente para organizaciones de pequeño y mediano tamaño; y (v) el fortalecimiento de la articulación comercial directa con compradores europeos mediante la cualificación de las capacidades de negociación y cumplimiento de las cooperativas.</w:t>
      </w:r>
    </w:p>
    <w:p w14:paraId="403250BE" w14:textId="77777777" w:rsidR="003B002E" w:rsidRDefault="00000000" w:rsidP="003710B6">
      <w:pPr>
        <w:ind w:firstLine="720"/>
        <w:jc w:val="both"/>
      </w:pPr>
      <w:r>
        <w:t xml:space="preserve">En quinto lugar, la investigación futura debería abordar la cuantificación del costo de cumplimiento EUDR para cooperativas de diferente escala, el análisis de mecanismos de financiamiento para la adecuación, y la evaluación de la efectividad de las plataformas públicas de trazabilidad en la generación de evidencia de debida diligencia reconocida por las autoridades europeas. El presente documento de trabajo busca contribuir a esta agenda </w:t>
      </w:r>
      <w:r>
        <w:lastRenderedPageBreak/>
        <w:t>proporcionando un diagnóstico integral del estado de situación que sirva como línea base para la investigación y la formulación de políticas.</w:t>
      </w:r>
    </w:p>
    <w:p w14:paraId="65506B54" w14:textId="77777777" w:rsidR="003B002E" w:rsidRDefault="00000000" w:rsidP="003710B6">
      <w:pPr>
        <w:keepNext/>
        <w:spacing w:before="320" w:after="80"/>
        <w:jc w:val="both"/>
      </w:pPr>
      <w:r>
        <w:rPr>
          <w:b/>
          <w:sz w:val="26"/>
        </w:rPr>
        <w:t>Referencias</w:t>
      </w:r>
    </w:p>
    <w:p w14:paraId="59325B58" w14:textId="77777777" w:rsidR="003B002E" w:rsidRDefault="00000000" w:rsidP="003710B6">
      <w:pPr>
        <w:ind w:firstLine="720"/>
      </w:pPr>
      <w:r>
        <w:t>Alicorp. (2025). Reporte de Responsabilidad Compartida RSPO 2025. https://alicorp.com.pe/s3/media/PDF/reporte_de_responsabilidad_compartida_rspo_2025.pdf</w:t>
      </w:r>
    </w:p>
    <w:p w14:paraId="7BE71309" w14:textId="77777777" w:rsidR="003B002E" w:rsidRDefault="00000000" w:rsidP="003710B6">
      <w:pPr>
        <w:ind w:firstLine="720"/>
      </w:pPr>
      <w:r>
        <w:t>ANDINA. (2025). Café, palma y cacao: productores amazónicos aplican prácticas libres de deforestación. https://andina.pe/agencia//noticia.aspx?id=1092048</w:t>
      </w:r>
    </w:p>
    <w:p w14:paraId="6AD238D4" w14:textId="77777777" w:rsidR="003B002E" w:rsidRDefault="00000000" w:rsidP="003710B6">
      <w:pPr>
        <w:ind w:firstLine="720"/>
      </w:pPr>
      <w:r>
        <w:t>AYP Digital. (2025). EUDR: Trazabilidad documental para exportadores peruanos. https://aypdigital.com/blog/eudr-reglamento-ue-deforestacion-trazabilidad-exportadores-peru/</w:t>
      </w:r>
    </w:p>
    <w:p w14:paraId="1DDB00E6" w14:textId="77777777" w:rsidR="003B002E" w:rsidRDefault="00000000" w:rsidP="003710B6">
      <w:pPr>
        <w:ind w:firstLine="720"/>
      </w:pPr>
      <w:r>
        <w:t>CamcaféPeru. (2025). EUDR y trazabilidad para pequeños productores. https://camcafeperu.com.pe/EN/article.php?id=236</w:t>
      </w:r>
    </w:p>
    <w:p w14:paraId="75BE2FF9" w14:textId="77777777" w:rsidR="003B002E" w:rsidRDefault="00000000" w:rsidP="003710B6">
      <w:pPr>
        <w:ind w:firstLine="720"/>
      </w:pPr>
      <w:r>
        <w:t>CBI. (2025). 7 Tips on How to Become EUDR Compliant in Coffee. https://cbi.eu/market-information/coffee/tips-become-eudr-compliant</w:t>
      </w:r>
    </w:p>
    <w:p w14:paraId="1C435B0C" w14:textId="77777777" w:rsidR="003B002E" w:rsidRDefault="00000000" w:rsidP="003710B6">
      <w:pPr>
        <w:ind w:firstLine="720"/>
      </w:pPr>
      <w:r>
        <w:t>Coop Coffees. (2025). CENFROCAFE Profile. https://coopcoffees.com/member/profile/cenfrocafe-943467</w:t>
      </w:r>
    </w:p>
    <w:p w14:paraId="5F088AF0" w14:textId="77777777" w:rsidR="003B002E" w:rsidRDefault="00000000" w:rsidP="003710B6">
      <w:pPr>
        <w:ind w:firstLine="720"/>
      </w:pPr>
      <w:r>
        <w:t>European Commission. (2024). EU Deforestation Regulation: Guidance for Operators and Customs Authorities. https://environment.ec.europa.eu/topics/forests/deforestation/regulation-deforestation-free-products_en</w:t>
      </w:r>
    </w:p>
    <w:p w14:paraId="65C70023" w14:textId="77777777" w:rsidR="003B002E" w:rsidRDefault="00000000" w:rsidP="003710B6">
      <w:pPr>
        <w:ind w:firstLine="720"/>
      </w:pPr>
      <w:r>
        <w:t>European Commission. (2025). Reglamento de Ejecución (UE) 2025/1093 de la Comisión, de 22 de mayo de 2025. https://eur-lex.europa.eu/eli/reg_impl/2025/1093/oj/eng</w:t>
      </w:r>
    </w:p>
    <w:p w14:paraId="1E5D2E96" w14:textId="77777777" w:rsidR="003B002E" w:rsidRDefault="00000000" w:rsidP="003710B6">
      <w:pPr>
        <w:ind w:firstLine="720"/>
      </w:pPr>
      <w:r>
        <w:lastRenderedPageBreak/>
        <w:t>GIZ. (2025). Adaptación a las Normativas de Trazabilidad para la Inclusión de Pequeños Productores en América Latina. https://giz.de/en/downloads/giz2025-es-latin-america-digital-traceability-tools.pdf</w:t>
      </w:r>
    </w:p>
    <w:p w14:paraId="77D0EB3C" w14:textId="77777777" w:rsidR="003B002E" w:rsidRDefault="00000000" w:rsidP="003710B6">
      <w:pPr>
        <w:ind w:firstLine="720"/>
      </w:pPr>
      <w:r>
        <w:t>JDE Peet's. (2024). Green Coffee Human Rights &amp; Environmental Due Diligence Framework. https://jdepeets.com/siteassets/.../jde-peets-green-coffee-hredd-framework.pdf</w:t>
      </w:r>
    </w:p>
    <w:p w14:paraId="24DD4639" w14:textId="77777777" w:rsidR="003B002E" w:rsidRDefault="00000000" w:rsidP="003710B6">
      <w:pPr>
        <w:ind w:firstLine="720"/>
      </w:pPr>
      <w:r>
        <w:t>JDE Peet's. (2025). JDE Peet's Signs MOUs with Honduras, Peru and Rwanda to Combat Coffee-Related Deforestation. https://jdepeets.com/news-container/jde-peets-signs-mous-with-honduras-peru-and-rwanda-2865109/</w:t>
      </w:r>
    </w:p>
    <w:p w14:paraId="57DBC210" w14:textId="77777777" w:rsidR="003B002E" w:rsidRDefault="00000000" w:rsidP="003710B6">
      <w:pPr>
        <w:ind w:firstLine="720"/>
      </w:pPr>
      <w:r>
        <w:t>MIDAGRI. (2025a). Peru Has Made Significant Progress in Complying with the EUDR Regulation. https://gob.pe/institucion/midagri/noticias/1319697</w:t>
      </w:r>
    </w:p>
    <w:p w14:paraId="24B0B2FC" w14:textId="77777777" w:rsidR="003B002E" w:rsidRDefault="00000000" w:rsidP="003710B6">
      <w:pPr>
        <w:ind w:firstLine="720"/>
      </w:pPr>
      <w:r>
        <w:t>MIDAGRI. (2025b). Perú se alista para exportar café y cacao sostenibles bajo reglamento europeo EUDR. https://gob.pe/institucion/midagri/noticias/1177401</w:t>
      </w:r>
    </w:p>
    <w:p w14:paraId="29CF38DA" w14:textId="77777777" w:rsidR="003B002E" w:rsidRDefault="00000000" w:rsidP="003710B6">
      <w:pPr>
        <w:ind w:firstLine="720"/>
      </w:pPr>
      <w:r>
        <w:t>MIDAGRI. (2025c). Perú Drive Agrarian Modernization with the Geolocation of More Than 140,000 Plots. https://gob.pe/institucion/midagri/noticias/1294143</w:t>
      </w:r>
    </w:p>
    <w:p w14:paraId="0DC4CBBB" w14:textId="77777777" w:rsidR="003B002E" w:rsidRDefault="00000000" w:rsidP="003710B6">
      <w:pPr>
        <w:ind w:firstLine="720"/>
      </w:pPr>
      <w:r>
        <w:t>MIDAGRI. (2025d). MIDAGRI Drives Agrarian Modernization with the Geolocation of More Than 140,000 Plots. https://gob.pe/institucion/midagri/noticias/1294143</w:t>
      </w:r>
    </w:p>
    <w:p w14:paraId="51C871D1" w14:textId="77777777" w:rsidR="003B002E" w:rsidRDefault="00000000" w:rsidP="003710B6">
      <w:pPr>
        <w:ind w:firstLine="720"/>
      </w:pPr>
      <w:r>
        <w:t>MIDAGRI. (2025e). Estado y sector privado sellan alianza estratégica para cumplir con el EUDR. https://gob.pe/institucion/midagri/noticias/1250933</w:t>
      </w:r>
    </w:p>
    <w:p w14:paraId="11C33133" w14:textId="77777777" w:rsidR="003B002E" w:rsidRDefault="00000000" w:rsidP="003710B6">
      <w:pPr>
        <w:ind w:firstLine="720"/>
      </w:pPr>
      <w:r>
        <w:t>MIDAGRI. (2025f). Piloto de exportación EUDR — Cenfrocafé. https://gob.pe/institucion/midagri/noticias/1235541</w:t>
      </w:r>
    </w:p>
    <w:p w14:paraId="084335F1" w14:textId="77777777" w:rsidR="003B002E" w:rsidRDefault="00000000" w:rsidP="003710B6">
      <w:pPr>
        <w:ind w:firstLine="720"/>
      </w:pPr>
      <w:r>
        <w:t>MIDAGRI. (2025g). Peru Promotes Sustainable Coffee and Cocoa Production Models within the Framework of Compliance with the New EUDR Regulation. https://gob.pe/institucion/midagri/noticias/1194374</w:t>
      </w:r>
    </w:p>
    <w:p w14:paraId="15790BCF" w14:textId="77777777" w:rsidR="003B002E" w:rsidRDefault="00000000" w:rsidP="003710B6">
      <w:pPr>
        <w:ind w:firstLine="720"/>
      </w:pPr>
      <w:r>
        <w:lastRenderedPageBreak/>
        <w:t>MIDAGRI/DRASAM. (2025). San Martín impulsa agricultura digital con geolocalización de parcelas de cacao y café. https://gob.pe/institucion/regionsanmartin-dra/noticias/1268490</w:t>
      </w:r>
    </w:p>
    <w:p w14:paraId="5FC6D2F2" w14:textId="77777777" w:rsidR="003B002E" w:rsidRDefault="00000000" w:rsidP="003710B6">
      <w:pPr>
        <w:ind w:firstLine="720"/>
      </w:pPr>
      <w:r>
        <w:t>Parlamento Europeo y Consejo de la Unión Europea. (2023). Reglamento (UE) 2023/1115 relativo a los productos asociados a la deforestación y la degradación forestal. https://eur-lex.europa.eu/eli/reg/2023/1115/oj/eng</w:t>
      </w:r>
    </w:p>
    <w:p w14:paraId="69978A71" w14:textId="77777777" w:rsidR="003B002E" w:rsidRDefault="00000000" w:rsidP="003710B6">
      <w:pPr>
        <w:ind w:firstLine="720"/>
      </w:pPr>
      <w:r>
        <w:t>Parlamento Europeo y Consejo de la Unión Europea. (2025). Reglamento de Postergación — entrada en vigor diferida para grandes empresas (30 de diciembre de 2026) y pymes europeas (30 de junio de 2027).</w:t>
      </w:r>
    </w:p>
    <w:p w14:paraId="75A70CE7" w14:textId="77777777" w:rsidR="003B002E" w:rsidRDefault="00000000" w:rsidP="003710B6">
      <w:pPr>
        <w:ind w:firstLine="720"/>
      </w:pPr>
      <w:r>
        <w:t>PROMPERÚ. (2025). PROMPERÚ prepara a exportadores de café y cacao para el reglamento europeo contra la deforestación. https://gob.pe/institucion/promperu/noticias/1354427</w:t>
      </w:r>
    </w:p>
    <w:p w14:paraId="24A703CA" w14:textId="77777777" w:rsidR="003B002E" w:rsidRDefault="00000000" w:rsidP="003710B6">
      <w:pPr>
        <w:ind w:firstLine="720"/>
      </w:pPr>
      <w:r>
        <w:t>Reuters. (2026, 2 de septiembre). EU deforestation law to force compliance even on non-EU coffee supply chains, study finds. Reuters. https://reuters.com/business/environment/eu-deforestation-law-force-compliance-even-non-eu-coffee-supply-chains-study-2026-09-02/</w:t>
      </w:r>
    </w:p>
    <w:p w14:paraId="36491840" w14:textId="77777777" w:rsidR="003B002E" w:rsidRDefault="00000000" w:rsidP="003710B6">
      <w:pPr>
        <w:ind w:firstLine="720"/>
      </w:pPr>
      <w:r>
        <w:t>Trase. (2026, 1 de septiembre). Trase Brings Greater Transparency to Global Coffee Supply Chains. Trase. https://trase.earth/insights/trase-brings-greater-transparency-to-global-coffee-supply-chains</w:t>
      </w:r>
    </w:p>
    <w:p w14:paraId="2D342E1C" w14:textId="77777777" w:rsidR="003B002E" w:rsidRDefault="00000000" w:rsidP="003710B6">
      <w:pPr>
        <w:ind w:firstLine="720"/>
      </w:pPr>
      <w:r>
        <w:t>Trabocca. (2025). Tabaconas, Peru. https://trabocca.com/our-coffees/peru/cajamarca/tabaconas/</w:t>
      </w:r>
    </w:p>
    <w:p w14:paraId="45D9C05D" w14:textId="77777777" w:rsidR="003B002E" w:rsidRDefault="00000000" w:rsidP="003710B6">
      <w:pPr>
        <w:ind w:firstLine="720"/>
      </w:pPr>
      <w:r>
        <w:t>Universidad del Pacífico. (2026). Café peruano libre de deforestación: desafíos y oportunidades en el mercado europeo. Journal of Business UP, 17(1). https://doi.org/10.21678/jb.2026.2498</w:t>
      </w:r>
    </w:p>
    <w:p w14:paraId="4DB5819B" w14:textId="77777777" w:rsidR="003B002E" w:rsidRDefault="00000000" w:rsidP="003710B6">
      <w:pPr>
        <w:ind w:firstLine="720"/>
      </w:pPr>
      <w:r>
        <w:lastRenderedPageBreak/>
        <w:t>Zero Deforestation Hub. (2025). How Is Peru Progressing Towards Compliance with the EUDR? https://zerodeforestationhub.eu/news/how-is-peru-progressing-towards-compliance-with-the-eudr/</w:t>
      </w:r>
    </w:p>
    <w:sectPr w:rsidR="003B002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4688851">
    <w:abstractNumId w:val="8"/>
  </w:num>
  <w:num w:numId="2" w16cid:durableId="847059994">
    <w:abstractNumId w:val="6"/>
  </w:num>
  <w:num w:numId="3" w16cid:durableId="60181248">
    <w:abstractNumId w:val="5"/>
  </w:num>
  <w:num w:numId="4" w16cid:durableId="671375383">
    <w:abstractNumId w:val="4"/>
  </w:num>
  <w:num w:numId="5" w16cid:durableId="599141150">
    <w:abstractNumId w:val="7"/>
  </w:num>
  <w:num w:numId="6" w16cid:durableId="1216162703">
    <w:abstractNumId w:val="3"/>
  </w:num>
  <w:num w:numId="7" w16cid:durableId="558245978">
    <w:abstractNumId w:val="2"/>
  </w:num>
  <w:num w:numId="8" w16cid:durableId="2135249453">
    <w:abstractNumId w:val="1"/>
  </w:num>
  <w:num w:numId="9" w16cid:durableId="55524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0B6"/>
    <w:rsid w:val="003B002E"/>
    <w:rsid w:val="009545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2858"/>
  <w14:defaultImageDpi w14:val="300"/>
  <w15:docId w15:val="{FE574465-1286-4FD7-AA08-D443D381A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4942</Words>
  <Characters>27185</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Cuba</cp:lastModifiedBy>
  <cp:revision>2</cp:revision>
  <dcterms:created xsi:type="dcterms:W3CDTF">2026-10-12T19:38:00Z</dcterms:created>
  <dcterms:modified xsi:type="dcterms:W3CDTF">2026-10-12T19:38:00Z</dcterms:modified>
  <cp:category/>
</cp:coreProperties>
</file>