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60"/>
        <w:jc w:val="both"/>
      </w:pPr>
      <w:r>
        <w:rPr>
          <w:rFonts w:ascii="Arial" w:cs="Arial" w:eastAsia="Arial" w:hAnsi="Arial"/>
          <w:b/>
          <w:bCs/>
          <w:sz w:val="32"/>
          <w:szCs w:val="32"/>
        </w:rPr>
        <w:t xml:space="preserve">Metodología — Instrumento 2 (preguntas) e Índice ISCAM</w:t>
      </w:r>
    </w:p>
    <w:p>
      <w:pPr>
        <w:jc w:val="both"/>
      </w:pPr>
      <w:r>
        <w:rPr>
          <w:rFonts w:ascii="Arial" w:cs="Arial" w:eastAsia="Arial" w:hAnsi="Arial"/>
          <w:sz w:val="22"/>
          <w:szCs w:val="22"/>
        </w:rPr>
        <w:t xml:space="preserve">Café y cacao · 174 organizaciones · Primera versión · 14 de octubre de 2026</w:t>
      </w:r>
    </w:p>
    <w:p>
      <w:pPr>
        <w:spacing w:after="120"/>
        <w:jc w:val="both"/>
      </w:pPr>
      <w:r>
        <w:rPr>
          <w:rFonts w:ascii="Arial" w:cs="Arial" w:eastAsia="Arial" w:hAnsi="Arial"/>
          <w:b/>
          <w:bCs/>
          <w:sz w:val="22"/>
          <w:szCs w:val="22"/>
        </w:rPr>
        <w:t xml:space="preserve">Resumen. </w:t>
      </w:r>
      <w:r>
        <w:rPr>
          <w:rFonts w:ascii="Arial" w:cs="Arial" w:eastAsia="Arial" w:hAnsi="Arial"/>
          <w:sz w:val="22"/>
          <w:szCs w:val="22"/>
        </w:rPr>
        <w:t xml:space="preserve">Qué documenta este documento: el diseño de las 119 preguntas del Instrumento 2 (primera versión) — cómo se construyeron, qué escala usa cada una, cómo se evita el sesgo hacia el café y a qué parte del índice alimenta cada respuesta — y la metodología del índice implementado sobre las 174 organizaciones del marco muestral (ISA-EUDR, ISA-PactoVerde, ISA-Completo, IP, IV, RE, tipología 2x2, semáforos, índice de Pacto Verde y radar departamental). Estado al 2026-10-14: el instrumento está listo para aplicarse (revisión de calidad aprobada); el índice tiene sus fórmulas corregidas y verificadas sobre las 174 organizaciones; la carga de respuestas se activa con la primera ronda de datos reales. Composición de esta primera versión: este documento de metodología, el instrumento de 119 preguntas y la hoja de cálculo que acompañan al paquete. El fundamento, las fases de validación y los requisitos de robustez provienen del proyecto madre (ISCAM — Universidad del Pacífico, *El impacto del Pacto Verde Europeo en la performance de las cooperativas peruanas*).</w:t>
      </w:r>
    </w:p>
    <w:p>
      <w:pPr>
        <w:spacing w:after="160"/>
        <w:jc w:val="both"/>
      </w:pPr>
      <w:r>
        <w:rPr>
          <w:rFonts w:ascii="Arial" w:cs="Arial" w:eastAsia="Arial" w:hAnsi="Arial"/>
          <w:b/>
          <w:bCs/>
          <w:sz w:val="22"/>
          <w:szCs w:val="22"/>
        </w:rPr>
        <w:t xml:space="preserve">Palabras clave: </w:t>
      </w:r>
      <w:r>
        <w:rPr>
          <w:rFonts w:ascii="Arial" w:cs="Arial" w:eastAsia="Arial" w:hAnsi="Arial"/>
          <w:sz w:val="22"/>
          <w:szCs w:val="22"/>
        </w:rPr>
        <w:t xml:space="preserve">ISCAM, EUDR (Reglamento UE 2023/1115), Pacto Verde Europeo, café, cacao, cooperativas, Instrumento 2, Índice de Preparación (IP), Índice de Vulnerabilidad (IV), Perú.</w:t>
      </w:r>
    </w:p>
    <w:p>
      <w:pPr>
        <w:keepNext/>
        <w:spacing w:after="100" w:before="280"/>
        <w:jc w:val="both"/>
      </w:pPr>
      <w:r>
        <w:rPr>
          <w:rFonts w:ascii="Arial" w:cs="Arial" w:eastAsia="Arial" w:hAnsi="Arial"/>
          <w:b/>
          <w:bCs/>
          <w:sz w:val="22"/>
          <w:szCs w:val="22"/>
        </w:rPr>
        <w:t xml:space="preserve">1. Las preguntas: arquitectura y diseño</w:t>
      </w:r>
    </w:p>
    <w:p>
      <w:pPr>
        <w:keepNext/>
        <w:spacing w:after="80" w:before="240"/>
        <w:jc w:val="both"/>
      </w:pPr>
      <w:r>
        <w:rPr>
          <w:rFonts w:ascii="Arial" w:cs="Arial" w:eastAsia="Arial" w:hAnsi="Arial"/>
          <w:b/>
          <w:bCs/>
          <w:sz w:val="22"/>
          <w:szCs w:val="22"/>
        </w:rPr>
        <w:t xml:space="preserve">1.1 Arquitectura del instrumento</w:t>
      </w:r>
    </w:p>
    <w:p>
      <w:pPr>
        <w:jc w:val="both"/>
      </w:pPr>
      <w:r>
        <w:rPr>
          <w:rFonts w:ascii="Arial" w:cs="Arial" w:eastAsia="Arial" w:hAnsi="Arial"/>
          <w:sz w:val="22"/>
          <w:szCs w:val="22"/>
        </w:rPr>
        <w:t xml:space="preserve">El Instrumento 2 es una encuesta organizacional (una respuesta por cooperativa) con 119 preguntas distribuidas en siete bloques. Cada bloque tiene un rol definido en el índice; ningún bloque puntúa dos veces.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22"/>
                <w:szCs w:val="22"/>
              </w:rPr>
              <w:t xml:space="preserve">Bloque</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22"/>
                <w:szCs w:val="22"/>
              </w:rPr>
              <w:t xml:space="preserve">Preguntas</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22"/>
                <w:szCs w:val="22"/>
              </w:rPr>
              <w:t xml:space="preserve">Rol en el índice</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Metadata de campo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3</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Auditoría de aplicación (fecha, encuestador, canal)</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Bloque 0 — Ficha de identificación (B0.1–B0.17)</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17</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Marco muestral (nombre, RUC, producto, socios, hectáreas, departamento, tipo de organización) + insumos de vulnerabilidad IV1–IV5</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Bloque P — Performance comercial (P1–P14, P1b)</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15</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Variable dependiente del objetivo (f) del proyecto madre; validación externa del índice; insumo de IV1. No puntúa dimensiones ISCAM</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D1–D11 (dimensiones EUDR)</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68</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Dimensiones del índice. D10 es bandera y D11 inventario: se reportan aparte, no promedian</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Pacto Verde — versión mínima (D12.42, D13.45, D14.51, D15.58)</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4</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ISA-PactoVerde (30% de ISA-Completo)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PPWR — Envases (PP1–PP2)</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2</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Ponderador de envases del índice de Pacto Verde</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Bloque R — Indicadores PVE (R1–R10)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10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Indicadores del índice de Pacto Verde; indicador de validación externa, no insumo del índice</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Total</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119</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3 metadata + 116 de instrumento</w:t>
            </w:r>
          </w:p>
        </w:tc>
      </w:tr>
    </w:tbl>
    <w:p>
      <w:pPr>
        <w:spacing w:after="120"/>
      </w:pPr>
      <w:r>
        <w:rPr>
          <w:rFonts w:ascii="Arial" w:cs="Arial" w:eastAsia="Arial" w:hAnsi="Arial"/>
          <w:sz w:val="22"/>
          <w:szCs w:val="22"/>
        </w:rPr>
        <w:t xml:space="preserve"/>
      </w:r>
    </w:p>
    <w:p>
      <w:pPr>
        <w:jc w:val="both"/>
      </w:pPr>
      <w:r>
        <w:rPr>
          <w:rFonts w:ascii="Arial" w:cs="Arial" w:eastAsia="Arial" w:hAnsi="Arial"/>
          <w:sz w:val="22"/>
          <w:szCs w:val="22"/>
        </w:rPr>
        <w:t xml:space="preserve">Esta primera versión agregó 30 preguntas y modificó 5, cerrando los huecos de cobertura detectados en una revisión pregunta por pregunta contra el índice. El detalle de cada pregunta con su destino está en el mapa de correspondencia de la hoja de cálculo (119 filas, filtrables por bloque).</w:t>
      </w:r>
    </w:p>
    <w:p>
      <w:pPr>
        <w:keepNext/>
        <w:spacing w:after="80" w:before="240"/>
        <w:jc w:val="both"/>
      </w:pPr>
      <w:r>
        <w:rPr>
          <w:rFonts w:ascii="Arial" w:cs="Arial" w:eastAsia="Arial" w:hAnsi="Arial"/>
          <w:b/>
          <w:bCs/>
          <w:sz w:val="22"/>
          <w:szCs w:val="22"/>
        </w:rPr>
        <w:t xml:space="preserve">1.2 Escalas, codificación y ramas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22"/>
                <w:szCs w:val="22"/>
              </w:rPr>
              <w:t xml:space="preserve">Escala</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22"/>
                <w:szCs w:val="22"/>
              </w:rPr>
              <w:t xml:space="preserve">Dónde se usa</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22"/>
                <w:szCs w:val="22"/>
              </w:rPr>
              <w:t xml:space="preserve">Conversión al índice</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Ordinal 0–4 con leyenda única (0 = No existe/No sabe · 1 = Informal o parcial · 2 = En desarrollo · 3 = Implementado · 4 = Implementado y verificado/auditado)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D2.5, D2.7, D3.13, D4.16, D5.18, D5.18a, D8.29</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x25 → escala 0–100</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Tres niveles 0 / 1 / 2</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D12.42, D13.45, D14.51, D15.58</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Directo a la dimensión Pacto Verde; /2 → 0–1; x100 al componer ISA-Completo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Porcentaje 0–100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B0.7, B0.12, D2.6, D3.11, D8.30, P11, R1–R10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Directo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Categórica ordinal</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Resto de preguntas de opción múltiple</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Primera opción = mejor; verificar excepciones documentadas (D2.9, D4.15) contra la tabla de codificación</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Banderas y texto libre</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D2.10, D2.5b, D3.14i, D4.15a, D7.28, D10.36, D15.60; D5.19a, D7.28c, D11.38/39</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No promedian: se reportan por separado</w:t>
            </w:r>
          </w:p>
        </w:tc>
      </w:tr>
    </w:tbl>
    <w:p>
      <w:pPr>
        <w:spacing w:after="120"/>
      </w:pPr>
      <w:r>
        <w:rPr>
          <w:rFonts w:ascii="Arial" w:cs="Arial" w:eastAsia="Arial" w:hAnsi="Arial"/>
          <w:sz w:val="22"/>
          <w:szCs w:val="22"/>
        </w:rPr>
        <w:t xml:space="preserve"/>
      </w:r>
    </w:p>
    <w:p>
      <w:pPr>
        <w:jc w:val="both"/>
      </w:pPr>
      <w:r>
        <w:rPr>
          <w:rFonts w:ascii="Arial" w:cs="Arial" w:eastAsia="Arial" w:hAnsi="Arial"/>
          <w:sz w:val="22"/>
          <w:szCs w:val="22"/>
        </w:rPr>
        <w:t xml:space="preserve">Ramas condicionales (si la rama no aplica, la respuesta queda vacía —no se inventa valor—): B0.5 → B0.6; P8 → P9; D1.3 → D1.3a; D2.5a → D2.5b; D6.25a → D6.25b; D7.28b → D7.28c.</w:t>
      </w:r>
    </w:p>
    <w:p>
      <w:pPr>
        <w:keepNext/>
        <w:spacing w:after="80" w:before="240"/>
        <w:jc w:val="both"/>
      </w:pPr>
      <w:r>
        <w:rPr>
          <w:rFonts w:ascii="Arial" w:cs="Arial" w:eastAsia="Arial" w:hAnsi="Arial"/>
          <w:b/>
          <w:bCs/>
          <w:sz w:val="22"/>
          <w:szCs w:val="22"/>
        </w:rPr>
        <w:t xml:space="preserve">1.3 Diseño sin sesgo hacia el café</w:t>
      </w:r>
    </w:p>
    <w:p>
      <w:pPr>
        <w:jc w:val="both"/>
      </w:pPr>
      <w:r>
        <w:rPr>
          <w:rFonts w:ascii="Arial" w:cs="Arial" w:eastAsia="Arial" w:hAnsi="Arial"/>
          <w:sz w:val="22"/>
          <w:szCs w:val="22"/>
        </w:rPr>
        <w:t xml:space="preserve">El instrumento aplica por igual a café y cacao. Las decisiones de redacción que lo garantizan:</w:t>
      </w:r>
    </w:p>
    <w:p>
      <w:pPr>
        <w:pStyle w:val="ListParagraph"/>
        <w:numPr>
          <w:ilvl w:val="0"/>
          <w:numId w:val="1"/>
        </w:numPr>
      </w:pPr>
      <w:r>
        <w:rPr>
          <w:rFonts w:ascii="Arial" w:cs="Arial" w:eastAsia="Arial" w:hAnsi="Arial"/>
          <w:sz w:val="22"/>
          <w:szCs w:val="22"/>
        </w:rPr>
        <w:t xml:space="preserve">Producto abierto: B0.3 pregunta el producto exportado y su código SA sin opción predeterminada. La distribución del marco real es 80 café / 83 cacao / 1 plátano / 10 sin dato (49% / 51%).</w:t>
      </w:r>
    </w:p>
    <w:p>
      <w:pPr>
        <w:pStyle w:val="ListParagraph"/>
        <w:numPr>
          <w:ilvl w:val="0"/>
          <w:numId w:val="1"/>
        </w:numPr>
      </w:pPr>
      <w:r>
        <w:rPr>
          <w:rFonts w:ascii="Arial" w:cs="Arial" w:eastAsia="Arial" w:hAnsi="Arial"/>
          <w:sz w:val="22"/>
          <w:szCs w:val="22"/>
        </w:rPr>
        <w:t xml:space="preserve">D12.42 (huella de carbono) no depende de CalCafé v2.1 —calculadora validada solo para café (PromPerú / PUCP-PELCAN)—: pregunta si la organización "mide o ha calculado" su huella (alcance 1 y 2), con verificación por tercero como nivel máximo.</w:t>
      </w:r>
    </w:p>
    <w:p>
      <w:pPr>
        <w:pStyle w:val="ListParagraph"/>
        <w:numPr>
          <w:ilvl w:val="0"/>
          <w:numId w:val="1"/>
        </w:numPr>
      </w:pPr>
      <w:r>
        <w:rPr>
          <w:rFonts w:ascii="Arial" w:cs="Arial" w:eastAsia="Arial" w:hAnsi="Arial"/>
          <w:sz w:val="22"/>
          <w:szCs w:val="22"/>
        </w:rPr>
        <w:t xml:space="preserve">D15.58 (fitosanitario/LMR) aplica a ambos productos y cierra el módulo Farm to Fork, que estaba sesgado al café por la dependencia de CalCafé.</w:t>
      </w:r>
    </w:p>
    <w:p>
      <w:pPr>
        <w:pStyle w:val="ListParagraph"/>
        <w:numPr>
          <w:ilvl w:val="0"/>
          <w:numId w:val="1"/>
        </w:numPr>
      </w:pPr>
      <w:r>
        <w:rPr>
          <w:rFonts w:ascii="Arial" w:cs="Arial" w:eastAsia="Arial" w:hAnsi="Arial"/>
          <w:sz w:val="22"/>
          <w:szCs w:val="22"/>
        </w:rPr>
        <w:t xml:space="preserve">D14.51 dice "pulpa o cáscara" (aplica a café y cacao), no "trilla" (específico de café).</w:t>
      </w:r>
    </w:p>
    <w:p>
      <w:pPr>
        <w:pStyle w:val="ListParagraph"/>
        <w:numPr>
          <w:ilvl w:val="0"/>
          <w:numId w:val="1"/>
        </w:numPr>
      </w:pPr>
      <w:r>
        <w:rPr>
          <w:rFonts w:ascii="Arial" w:cs="Arial" w:eastAsia="Arial" w:hAnsi="Arial"/>
          <w:sz w:val="22"/>
          <w:szCs w:val="22"/>
        </w:rPr>
        <w:t xml:space="preserve">R5 dice "distintos del café o cacao", no "distintos del café".</w:t>
      </w:r>
    </w:p>
    <w:p>
      <w:pPr>
        <w:pStyle w:val="ListParagraph"/>
        <w:numPr>
          <w:ilvl w:val="0"/>
          <w:numId w:val="1"/>
        </w:numPr>
      </w:pPr>
      <w:r>
        <w:rPr>
          <w:rFonts w:ascii="Arial" w:cs="Arial" w:eastAsia="Arial" w:hAnsi="Arial"/>
          <w:sz w:val="22"/>
          <w:szCs w:val="22"/>
        </w:rPr>
        <w:t xml:space="preserve">Ninguna fórmula del índice usa el producto como criterio de cálculo o filtro; la paridad se verifica con un corte por producto (§2.6).</w:t>
      </w:r>
    </w:p>
    <w:p>
      <w:pPr>
        <w:keepNext/>
        <w:spacing w:after="80" w:before="240"/>
        <w:jc w:val="both"/>
      </w:pPr>
      <w:r>
        <w:rPr>
          <w:rFonts w:ascii="Arial" w:cs="Arial" w:eastAsia="Arial" w:hAnsi="Arial"/>
          <w:b/>
          <w:bCs/>
          <w:sz w:val="22"/>
          <w:szCs w:val="22"/>
        </w:rPr>
        <w:t xml:space="preserve">1.4 Datos faltantes: regla y umbral</w:t>
      </w:r>
    </w:p>
    <w:p>
      <w:pPr>
        <w:pStyle w:val="ListParagraph"/>
        <w:numPr>
          <w:ilvl w:val="0"/>
          <w:numId w:val="1"/>
        </w:numPr>
      </w:pPr>
      <w:r>
        <w:rPr>
          <w:rFonts w:ascii="Arial" w:cs="Arial" w:eastAsia="Arial" w:hAnsi="Arial"/>
          <w:sz w:val="22"/>
          <w:szCs w:val="22"/>
        </w:rPr>
        <w:t xml:space="preserve">Nunca imputar. Una dimensión completa sin respuesta es, con alta probabilidad, MNAR (la ausencia depende del propio valor no observado): imputar con la media sesgaría el índice hacia arriba exactamente donde debería mostrar el vacío.</w:t>
      </w:r>
    </w:p>
    <w:p>
      <w:pPr>
        <w:pStyle w:val="ListParagraph"/>
        <w:numPr>
          <w:ilvl w:val="0"/>
          <w:numId w:val="1"/>
        </w:numPr>
      </w:pPr>
      <w:r>
        <w:rPr>
          <w:rFonts w:ascii="Arial" w:cs="Arial" w:eastAsia="Arial" w:hAnsi="Arial"/>
          <w:sz w:val="22"/>
          <w:szCs w:val="22"/>
        </w:rPr>
        <w:t xml:space="preserve">Dimensión con respuesta parcial: promediar sobre las preguntas efectivamente respondidas.</w:t>
      </w:r>
    </w:p>
    <w:p>
      <w:pPr>
        <w:pStyle w:val="ListParagraph"/>
        <w:numPr>
          <w:ilvl w:val="0"/>
          <w:numId w:val="1"/>
        </w:numPr>
      </w:pPr>
      <w:r>
        <w:rPr>
          <w:rFonts w:ascii="Arial" w:cs="Arial" w:eastAsia="Arial" w:hAnsi="Arial"/>
          <w:sz w:val="22"/>
          <w:szCs w:val="22"/>
        </w:rPr>
        <w:t xml:space="preserve">Dimensión totalmente ausente en una organización que sí alcanza el umbral general: excluirla y re-ponderar proporcionalmente las restantes de su bloque.</w:t>
      </w:r>
    </w:p>
    <w:p>
      <w:pPr>
        <w:pStyle w:val="ListParagraph"/>
        <w:numPr>
          <w:ilvl w:val="0"/>
          <w:numId w:val="1"/>
        </w:numPr>
      </w:pPr>
      <w:r>
        <w:rPr>
          <w:rFonts w:ascii="Arial" w:cs="Arial" w:eastAsia="Arial" w:hAnsi="Arial"/>
          <w:sz w:val="22"/>
          <w:szCs w:val="22"/>
        </w:rPr>
        <w:t xml:space="preserve">Umbral mínimo ISA-EUDR: 7 de 9 dimensiones con al menos el 70% de sus preguntas de escala respondidas; si no, la organización se reporta como "diagnóstico EUDR incompleto".</w:t>
      </w:r>
    </w:p>
    <w:p>
      <w:pPr>
        <w:pStyle w:val="ListParagraph"/>
        <w:numPr>
          <w:ilvl w:val="0"/>
          <w:numId w:val="1"/>
        </w:numPr>
      </w:pPr>
      <w:r>
        <w:rPr>
          <w:rFonts w:ascii="Arial" w:cs="Arial" w:eastAsia="Arial" w:hAnsi="Arial"/>
          <w:sz w:val="22"/>
          <w:szCs w:val="22"/>
        </w:rPr>
        <w:t xml:space="preserve">Umbral mínimo ISA-PactoVerde: 3 de 4 dimensiones Pacto Verde con al menos el 70% respondido.</w:t>
      </w:r>
    </w:p>
    <w:p>
      <w:pPr>
        <w:pStyle w:val="ListParagraph"/>
        <w:numPr>
          <w:ilvl w:val="0"/>
          <w:numId w:val="1"/>
        </w:numPr>
      </w:pPr>
      <w:r>
        <w:rPr>
          <w:rFonts w:ascii="Arial" w:cs="Arial" w:eastAsia="Arial" w:hAnsi="Arial"/>
          <w:sz w:val="22"/>
          <w:szCs w:val="22"/>
        </w:rPr>
        <w:t xml:space="preserve">Distinguir "ausente" (se excluye y re-pondera) de "cero real" (se mantiene; en el bloque núcleo geométrico anula el producto — es la señal que el método busca mostrar).</w:t>
      </w:r>
    </w:p>
    <w:p>
      <w:pPr>
        <w:pStyle w:val="ListParagraph"/>
        <w:numPr>
          <w:ilvl w:val="0"/>
          <w:numId w:val="1"/>
        </w:numPr>
      </w:pPr>
      <w:r>
        <w:rPr>
          <w:rFonts w:ascii="Arial" w:cs="Arial" w:eastAsia="Arial" w:hAnsi="Arial"/>
          <w:sz w:val="22"/>
          <w:szCs w:val="22"/>
        </w:rPr>
        <w:t xml:space="preserve">Regla operativa en la hoja de cálculo: sin dato se trata como 0 y el semáforo muestra "sin instrumento" —la ausencia de dato no implica cumplimiento—.</w:t>
      </w:r>
    </w:p>
    <w:p>
      <w:pPr>
        <w:keepNext/>
        <w:spacing w:after="80" w:before="240"/>
        <w:jc w:val="both"/>
      </w:pPr>
      <w:r>
        <w:rPr>
          <w:rFonts w:ascii="Arial" w:cs="Arial" w:eastAsia="Arial" w:hAnsi="Arial"/>
          <w:b/>
          <w:bCs/>
          <w:sz w:val="22"/>
          <w:szCs w:val="22"/>
        </w:rPr>
        <w:t xml:space="preserve">1.5 Trazabilidad del diseño (de dónde salió cada pregunta nueva)</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22"/>
                <w:szCs w:val="22"/>
              </w:rPr>
              <w:t xml:space="preserve">Origen de la necesidad</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22"/>
                <w:szCs w:val="22"/>
              </w:rPr>
              <w:t xml:space="preserve">Preguntas agregadas</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22"/>
                <w:szCs w:val="22"/>
              </w:rPr>
              <w:t xml:space="preserve">N</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Variables del cuestionario de verificación rápida que no tenían pregunta en el instrumento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B0.17 (RNCA) · D2.5a / D2.5b (proveedores externos no socios y su trazabilidad) · D3.14h (autorizaciones ambientales) · D3.14i (sanción ambiental vigente) · D4.15a (alertas de deforestación) · D6.22c (personal de datos) · D7.26a / D7.26b (comprador UE/CSDDD y cláusula contractual) · D10.36a (asesoría EUDR específica) · D11.39a (plataforma de trazabilidad del sector) · PP1 / PP2 (tipo de saco y certificación FSC)</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13</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Dimensiones Pacto Verde sin dato (30% de ISA-Completo sin fuente)</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D12.42 (huella de carbono) · D13.45 (reporte de sostenibilidad) · D14.51 (gestión de residuos) · D15.58 (monitoreo LMR)</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4</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Indicadores del índice de Pacto Verde sin pregunta fuente</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R1–R10 (crédito, formalización, capacitación, retención, diversificación, premium, inversión EUDR, reclamos, energía renovable, residuos)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10</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Campos de ficha que la hoja usaba como proxy de vulnerabilidad</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B0.15 (tipo de organización) · B0.16 (departamento)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2</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Redacción: rol EUDR explícito como rama de D1.3</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D1.3a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1</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Total preguntas nuevas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30</w:t>
            </w:r>
          </w:p>
        </w:tc>
      </w:tr>
    </w:tbl>
    <w:p>
      <w:pPr>
        <w:spacing w:after="120"/>
      </w:pPr>
      <w:r>
        <w:rPr>
          <w:rFonts w:ascii="Arial" w:cs="Arial" w:eastAsia="Arial" w:hAnsi="Arial"/>
          <w:sz w:val="22"/>
          <w:szCs w:val="22"/>
        </w:rPr>
        <w:t xml:space="preserve"/>
      </w:r>
    </w:p>
    <w:p>
      <w:pPr>
        <w:jc w:val="both"/>
      </w:pPr>
      <w:r>
        <w:rPr>
          <w:rFonts w:ascii="Arial" w:cs="Arial" w:eastAsia="Arial" w:hAnsi="Arial"/>
          <w:sz w:val="22"/>
          <w:szCs w:val="22"/>
        </w:rPr>
        <w:t xml:space="preserve">Además se modificaron 5 preguntas para eliminar ambigüedad: B0.8 (destinos dentro y fuera de la UE, principal primero), D3.12 (opción explícita de área natural protegida / zona de amortiguamiento), D4.15 (precisa el cruce con mapas de deforestación), D6.22 (distingue partida de tecnología y datos) y D9.34 (incluye fuente de financiamiento identificada).</w:t>
      </w:r>
    </w:p>
    <w:p>
      <w:pPr>
        <w:keepNext/>
        <w:spacing w:after="80" w:before="240"/>
        <w:jc w:val="both"/>
      </w:pPr>
      <w:r>
        <w:rPr>
          <w:rFonts w:ascii="Arial" w:cs="Arial" w:eastAsia="Arial" w:hAnsi="Arial"/>
          <w:b/>
          <w:bCs/>
          <w:sz w:val="22"/>
          <w:szCs w:val="22"/>
        </w:rPr>
        <w:t xml:space="preserve">1.6 Correspondencia pregunta a destino en el índice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22"/>
                <w:szCs w:val="22"/>
              </w:rPr>
              <w:t xml:space="preserve">Bloque</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22"/>
                <w:szCs w:val="22"/>
              </w:rPr>
              <w:t xml:space="preserve">Preguntas</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22"/>
                <w:szCs w:val="22"/>
              </w:rPr>
              <w:t xml:space="preserve">Destino principal en el índice</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Metadata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3</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Columnas de auditoría de la aplicación</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Bloque 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17</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Marco muestral + insumos de IV1–IV5</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Bloque P</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15</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Insumos de IV1 y validación externa; no puntúa dimensiones</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D1–D11</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68</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Dimensiones del índice; banderas reportadas aparte</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Pacto Verde</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4</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ISA-PactoVerde (30% de ISA-Completo)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PPWR</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2</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Ponderador de envases</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Bloque R</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10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Indicadores del índice de Pacto Verde (validación externa)</w:t>
            </w:r>
          </w:p>
        </w:tc>
      </w:tr>
    </w:tbl>
    <w:p>
      <w:pPr>
        <w:spacing w:after="120"/>
      </w:pPr>
      <w:r>
        <w:rPr>
          <w:rFonts w:ascii="Arial" w:cs="Arial" w:eastAsia="Arial" w:hAnsi="Arial"/>
          <w:sz w:val="22"/>
          <w:szCs w:val="22"/>
        </w:rPr>
        <w:t xml:space="preserve"/>
      </w:r>
    </w:p>
    <w:p>
      <w:pPr>
        <w:jc w:val="both"/>
      </w:pPr>
      <w:r>
        <w:rPr>
          <w:rFonts w:ascii="Arial" w:cs="Arial" w:eastAsia="Arial" w:hAnsi="Arial"/>
          <w:sz w:val="22"/>
          <w:szCs w:val="22"/>
        </w:rPr>
        <w:t xml:space="preserve">El mapa completo, pregunta por pregunta con su tipo de campo y opciones, es el mapa de correspondencia incluido en la hoja de cálculo. Las preguntas cuyos datos ya existen en fuentes externas (comercio exterior, fiscalización, certificaciones) se usan como validación cruzada, nunca como reemplazo de la fuente.</w:t>
      </w:r>
    </w:p>
    <w:p>
      <w:pPr>
        <w:keepNext/>
        <w:spacing w:after="100" w:before="280"/>
        <w:jc w:val="both"/>
      </w:pPr>
      <w:r>
        <w:rPr>
          <w:rFonts w:ascii="Arial" w:cs="Arial" w:eastAsia="Arial" w:hAnsi="Arial"/>
          <w:b/>
          <w:bCs/>
          <w:sz w:val="22"/>
          <w:szCs w:val="22"/>
        </w:rPr>
        <w:t xml:space="preserve">2. El índice: construcción, fórmulas y escalas</w:t>
      </w:r>
    </w:p>
    <w:p>
      <w:pPr>
        <w:keepNext/>
        <w:spacing w:after="80" w:before="240"/>
        <w:jc w:val="both"/>
      </w:pPr>
      <w:r>
        <w:rPr>
          <w:rFonts w:ascii="Arial" w:cs="Arial" w:eastAsia="Arial" w:hAnsi="Arial"/>
          <w:b/>
          <w:bCs/>
          <w:sz w:val="22"/>
          <w:szCs w:val="22"/>
        </w:rPr>
        <w:t xml:space="preserve">2.1 Arquitectura de la hoja de cálculo</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22"/>
                <w:szCs w:val="22"/>
              </w:rPr>
              <w:t xml:space="preserve">Área funcional</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22"/>
                <w:szCs w:val="22"/>
              </w:rPr>
              <w:t xml:space="preserve">Rol</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22"/>
                <w:szCs w:val="22"/>
              </w:rPr>
              <w:t xml:space="preserve">Contenido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Instrucciones de uso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Gobernanza del uso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Flujo de aplicación; semáforo (Crítico 0–33 / Vulnerable 34–66 / Preparado 67–100)</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Mapa de correspondencia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Conexión instrumento a hoja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Las 119 preguntas con su destino; marca de nueva (30) o modificada (5) en esta primera versión; filtro automático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Ponderadores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Supuestos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Índice de Pacto Verde editable en 7 componentes (exposición UE 25, trazabilidad 20, diligencia 15, capacidad 10, presión del comprador 15, certificación 10, envases 5) y las fórmulas del bloque ISCAM documentadas como texto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Marco muestral</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174 organizaciones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36 variables de dato (comercio exterior, fiscalización, certificaciones, score de legalidad, dimensiones Pacto Verde, indicadores PVE) + clasificación</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Verificación rápida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Respaldo y validación</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36 preguntas proxy por dimensión con umbrales 0.67/0.34</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Scorecards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Resultado por organización</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ISA-Completo, semáforo, ranking y entradas manuales de D2, D5 y D6</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Motor de cálculo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Cálculo del índice</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Dimensiones D1–D11, IP1–IP5, IV1–IV5, IP, IV, RE, tipología 2x2, banderas, ISA-PV, indicador PVE, ISA-EUDR, ISA-Completo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Radar departamental</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Agregación</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Promedio por departamento y por dimensión (11 dimensiones x 15 departamentos) + corte por producto</w:t>
            </w:r>
          </w:p>
        </w:tc>
      </w:tr>
    </w:tbl>
    <w:p>
      <w:pPr>
        <w:spacing w:after="120"/>
      </w:pPr>
      <w:r>
        <w:rPr>
          <w:rFonts w:ascii="Arial" w:cs="Arial" w:eastAsia="Arial" w:hAnsi="Arial"/>
          <w:sz w:val="22"/>
          <w:szCs w:val="22"/>
        </w:rPr>
        <w:t xml:space="preserve"/>
      </w:r>
    </w:p>
    <w:p>
      <w:pPr>
        <w:keepNext/>
        <w:spacing w:after="80" w:before="240"/>
        <w:jc w:val="both"/>
      </w:pPr>
      <w:r>
        <w:rPr>
          <w:rFonts w:ascii="Arial" w:cs="Arial" w:eastAsia="Arial" w:hAnsi="Arial"/>
          <w:b/>
          <w:bCs/>
          <w:sz w:val="22"/>
          <w:szCs w:val="22"/>
        </w:rPr>
        <w:t xml:space="preserve">2.2 Índices y fórmulas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rPr>
          <w:tblHeader/>
        </w:trPr>
        <w:tc>
          <w:tcPr>
            <w:tcW w:type="dxa" w:w="43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22"/>
                <w:szCs w:val="22"/>
              </w:rPr>
              <w:t xml:space="preserve">Índice</w:t>
            </w:r>
          </w:p>
        </w:tc>
        <w:tc>
          <w:tcPr>
            <w:tcW w:type="dxa" w:w="43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22"/>
                <w:szCs w:val="22"/>
              </w:rPr>
              <w:t xml:space="preserve">Fórmula</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Dimensiones D1–D11</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valor por organización, escala 0–100</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IP1 · Trazabilidad y origen</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 D2</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IP2 · Legalidad x Deforestación</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 RAIZ(D3 x D4)</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IP3 · Capacidades organizacionales</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 (D5 + D6 + D8) / 3</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IP4 · Información y documentación</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 (D6 + D2) / 2</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IP5 · Mercado y riesgo</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 (D7 + D9 + Certificación) / 3</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IP — Índice de Preparación</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 promedio(IP1:IP5), 20% cada sub-dimensión</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IV1 · Exposición UE</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 % del FOB exportado a la UE (tope 100)</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IV2 · Rol regulatorio</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 D1 (base 50 si D1 = 0)</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IV3 · Fragilidad territorial</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 hectáreas por socio: 2 o más → 35; 0.5–2 → 50; menos de 0.5 → 65; sin dato → 65</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IV4 · Certificación/legalidad</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 sin certificado → 70; con certificado → 30</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IV5 · Riesgo social</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 tipo de organización: asociación o pendiente → 65; resto → 40</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IV — Índice de Vulnerabilidad</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 promedio(IV1:IV5)</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RE — Riesgo de Exclusión</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 IV x (1 − IP/100)</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Tipología ISCAM 2x2</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corte IP = 50 x IV = 50 → Resilientes / Expuestas Adaptables / Riesgo Latente / Riesgo Crítico</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Banderas duras</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hoy: inh. vigente de legalidad (D3 = 0); las banderas del instrumento se reportan aparte</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ISA-PV (Pacto Verde)</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 promedio(D12:D15) / 2, escala 0–1</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Indicador PVE</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 promedio de los 14 indicadores PVE — no compone ISA-Completo (decisión documentada, §2.8)</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ISA-EUDR</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 0.875 x (D1·D2·D3·D4·D5·D6·D7)^(1/7) + 0.125 x ((D8+D9)/2)</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ISA-Completo</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 0.70 x ISA-EUDR + 0.30 x ISA-PV x 100</w:t>
            </w:r>
          </w:p>
        </w:tc>
      </w:tr>
    </w:tbl>
    <w:p>
      <w:pPr>
        <w:spacing w:after="120"/>
      </w:pPr>
      <w:r>
        <w:rPr>
          <w:rFonts w:ascii="Arial" w:cs="Arial" w:eastAsia="Arial" w:hAnsi="Arial"/>
          <w:sz w:val="22"/>
          <w:szCs w:val="22"/>
        </w:rPr>
        <w:t xml:space="preserve"/>
      </w:r>
    </w:p>
    <w:p>
      <w:pPr>
        <w:keepNext/>
        <w:spacing w:after="80" w:before="240"/>
        <w:jc w:val="both"/>
      </w:pPr>
      <w:r>
        <w:rPr>
          <w:rFonts w:ascii="Arial" w:cs="Arial" w:eastAsia="Arial" w:hAnsi="Arial"/>
          <w:b/>
          <w:bCs/>
          <w:sz w:val="22"/>
          <w:szCs w:val="22"/>
        </w:rPr>
        <w:t xml:space="preserve">2.3 Pesos y reglas de agregación</w:t>
      </w:r>
    </w:p>
    <w:p>
      <w:pPr>
        <w:pStyle w:val="ListParagraph"/>
        <w:numPr>
          <w:ilvl w:val="0"/>
          <w:numId w:val="1"/>
        </w:numPr>
      </w:pPr>
      <w:r>
        <w:rPr>
          <w:rFonts w:ascii="Arial" w:cs="Arial" w:eastAsia="Arial" w:hAnsi="Arial"/>
          <w:sz w:val="22"/>
          <w:szCs w:val="22"/>
        </w:rPr>
        <w:t xml:space="preserve">ISA-EUDR (D1–D9): núcleo D1–D7 con peso agregado de 87.5% por media geométrica (las dimensiones núcleo no son sustitutas: un cero en diligencia debida no se compensa con buena geolocalización — precedente IDH-PNUD 2010) y extendido D8–D9 con 12.5% por media aritmética (son moduladoras y no deben anular el índice solas).</w:t>
      </w:r>
    </w:p>
    <w:p>
      <w:pPr>
        <w:pStyle w:val="ListParagraph"/>
        <w:numPr>
          <w:ilvl w:val="0"/>
          <w:numId w:val="1"/>
        </w:numPr>
      </w:pPr>
      <w:r>
        <w:rPr>
          <w:rFonts w:ascii="Arial" w:cs="Arial" w:eastAsia="Arial" w:hAnsi="Arial"/>
          <w:sz w:val="22"/>
          <w:szCs w:val="22"/>
        </w:rPr>
        <w:t xml:space="preserve">ISA-PactoVerde (D12–D15): media aritmética simple por dimensión y entre las cuatro; los módulos son complementarios (la huella informa el reporte, la circularidad reduce la huella, el fitosanitario protege el mismo mercado), no sustitutas estrictas.</w:t>
      </w:r>
    </w:p>
    <w:p>
      <w:pPr>
        <w:pStyle w:val="ListParagraph"/>
        <w:numPr>
          <w:ilvl w:val="0"/>
          <w:numId w:val="1"/>
        </w:numPr>
      </w:pPr>
      <w:r>
        <w:rPr>
          <w:rFonts w:ascii="Arial" w:cs="Arial" w:eastAsia="Arial" w:hAnsi="Arial"/>
          <w:sz w:val="22"/>
          <w:szCs w:val="22"/>
        </w:rPr>
        <w:t xml:space="preserve">ISA-Completo: 70% ISA-EUDR + 30% ISA-PactoVerde. El acceso al mercado UE lo decide el EUDR; la competitividad de largo plazo depende del Pacto Verde completo. Pesos a validar con el piloto (análisis de sensibilidad).</w:t>
      </w:r>
    </w:p>
    <w:p>
      <w:pPr>
        <w:pStyle w:val="ListParagraph"/>
        <w:numPr>
          <w:ilvl w:val="0"/>
          <w:numId w:val="1"/>
        </w:numPr>
      </w:pPr>
      <w:r>
        <w:rPr>
          <w:rFonts w:ascii="Arial" w:cs="Arial" w:eastAsia="Arial" w:hAnsi="Arial"/>
          <w:sz w:val="22"/>
          <w:szCs w:val="22"/>
        </w:rPr>
        <w:t xml:space="preserve">IP: 20% a cada una de las 5 sub-dimensiones (pesos iguales por defecto OECD/JRC; pendiente panel AHP del proyecto madre).</w:t>
      </w:r>
    </w:p>
    <w:p>
      <w:pPr>
        <w:pStyle w:val="ListParagraph"/>
        <w:numPr>
          <w:ilvl w:val="0"/>
          <w:numId w:val="1"/>
        </w:numPr>
      </w:pPr>
      <w:r>
        <w:rPr>
          <w:rFonts w:ascii="Arial" w:cs="Arial" w:eastAsia="Arial" w:hAnsi="Arial"/>
          <w:sz w:val="22"/>
          <w:szCs w:val="22"/>
        </w:rPr>
        <w:t xml:space="preserve">IV: promedio simple de las 5 sub-dimensiones.</w:t>
      </w:r>
    </w:p>
    <w:p>
      <w:pPr>
        <w:pStyle w:val="ListParagraph"/>
        <w:numPr>
          <w:ilvl w:val="0"/>
          <w:numId w:val="1"/>
        </w:numPr>
      </w:pPr>
      <w:r>
        <w:rPr>
          <w:rFonts w:ascii="Arial" w:cs="Arial" w:eastAsia="Arial" w:hAnsi="Arial"/>
          <w:sz w:val="22"/>
          <w:szCs w:val="22"/>
        </w:rPr>
        <w:t xml:space="preserve">Índice de Pacto Verde (ponderadores): exposición UE 25% · trazabilidad 20% · diligencia 15% · capacidad 10% · presión del comprador 15% · certificación 10% · envases/PPWR 5%.</w:t>
      </w:r>
    </w:p>
    <w:p>
      <w:pPr>
        <w:keepNext/>
        <w:spacing w:after="80" w:before="240"/>
        <w:jc w:val="both"/>
      </w:pPr>
      <w:r>
        <w:rPr>
          <w:rFonts w:ascii="Arial" w:cs="Arial" w:eastAsia="Arial" w:hAnsi="Arial"/>
          <w:b/>
          <w:bCs/>
          <w:sz w:val="22"/>
          <w:szCs w:val="22"/>
        </w:rPr>
        <w:t xml:space="preserve">2.4 Escalas y normalización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22"/>
                <w:szCs w:val="22"/>
              </w:rPr>
              <w:t xml:space="preserve">Escala</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22"/>
                <w:szCs w:val="22"/>
              </w:rPr>
              <w:t xml:space="preserve">Dónde</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22"/>
                <w:szCs w:val="22"/>
              </w:rPr>
              <w:t xml:space="preserve">Normalización</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0–4 (instrumento)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Preguntas de escala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x25 → 0–100</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0 / 1 / 2</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D12.42, D13.45, D14.51, D15.58</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/2 → 0–1 (ISA-PV); x100 al componer el 30% de ISA-Completo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0–100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ISA-EUDR, ISA-Completo, IP, IV, dimensiones, semáforo (cortes 34 y 67)</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nativa</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0–1</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ISA-PV</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se multiplica por 100 solo al entrar en ISA-Completo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Proxy</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cuestionario de verificación rápida, umbrales 0.67 / 0.34</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respaldo y validación; no alimenta el índice directamente</w:t>
            </w:r>
          </w:p>
        </w:tc>
      </w:tr>
    </w:tbl>
    <w:p>
      <w:pPr>
        <w:spacing w:after="120"/>
      </w:pPr>
      <w:r>
        <w:rPr>
          <w:rFonts w:ascii="Arial" w:cs="Arial" w:eastAsia="Arial" w:hAnsi="Arial"/>
          <w:sz w:val="22"/>
          <w:szCs w:val="22"/>
        </w:rPr>
        <w:t xml:space="preserve"/>
      </w:r>
    </w:p>
    <w:p>
      <w:pPr>
        <w:jc w:val="both"/>
      </w:pPr>
      <w:r>
        <w:rPr>
          <w:rFonts w:ascii="Arial" w:cs="Arial" w:eastAsia="Arial" w:hAnsi="Arial"/>
          <w:sz w:val="22"/>
          <w:szCs w:val="22"/>
        </w:rPr>
        <w:t xml:space="preserve">Corrección de escala aplicada el 2026-10-14: antes, ISA-Completo mezclaba 0–100 con 0–1, de modo que el componente Pacto Verde aportaba como máximo 0.3 puntos de 100. Ahora ISA-Completo = 0.70 x ISA-EUDR + 0.30 x ISA-PV x 100.</w:t>
      </w:r>
    </w:p>
    <w:p>
      <w:pPr>
        <w:keepNext/>
        <w:spacing w:after="80" w:before="240"/>
        <w:jc w:val="both"/>
      </w:pPr>
      <w:r>
        <w:rPr>
          <w:rFonts w:ascii="Arial" w:cs="Arial" w:eastAsia="Arial" w:hAnsi="Arial"/>
          <w:b/>
          <w:bCs/>
          <w:sz w:val="22"/>
          <w:szCs w:val="22"/>
        </w:rPr>
        <w:t xml:space="preserve">2.5 Semáforo y tipología de priorización</w:t>
      </w:r>
    </w:p>
    <w:p>
      <w:pPr>
        <w:pStyle w:val="ListParagraph"/>
        <w:numPr>
          <w:ilvl w:val="0"/>
          <w:numId w:val="1"/>
        </w:numPr>
      </w:pPr>
      <w:r>
        <w:rPr>
          <w:rFonts w:ascii="Arial" w:cs="Arial" w:eastAsia="Arial" w:hAnsi="Arial"/>
          <w:sz w:val="22"/>
          <w:szCs w:val="22"/>
        </w:rPr>
        <w:t xml:space="preserve">Semáforo por organización (ISA-Completo): Crítico 0–33 · Vulnerable 34–66 · Preparado 67–100. Una sola taxonomía en instrucciones, scorecards y marco muestral.</w:t>
      </w:r>
    </w:p>
    <w:p>
      <w:pPr>
        <w:pStyle w:val="ListParagraph"/>
        <w:numPr>
          <w:ilvl w:val="0"/>
          <w:numId w:val="1"/>
        </w:numPr>
      </w:pPr>
      <w:r>
        <w:rPr>
          <w:rFonts w:ascii="Arial" w:cs="Arial" w:eastAsia="Arial" w:hAnsi="Arial"/>
          <w:sz w:val="22"/>
          <w:szCs w:val="22"/>
        </w:rPr>
        <w:t xml:space="preserve">Tipología 2x2 ISCAM (corte en IP = 50 x IV = 50): Resilientes (IP alto, IV bajo) · Expuestas Adaptables (IP alto, IV alto) · Riesgo Latente (IP bajo, IV bajo) · Riesgo Crítico de exclusión (IP bajo, IV alto). Es la matriz de priorización para acción, más simple de comunicar que un semáforo de 9 dimensiones.</w:t>
      </w:r>
    </w:p>
    <w:p>
      <w:pPr>
        <w:pStyle w:val="ListParagraph"/>
        <w:numPr>
          <w:ilvl w:val="0"/>
          <w:numId w:val="1"/>
        </w:numPr>
      </w:pPr>
      <w:r>
        <w:rPr>
          <w:rFonts w:ascii="Arial" w:cs="Arial" w:eastAsia="Arial" w:hAnsi="Arial"/>
          <w:sz w:val="22"/>
          <w:szCs w:val="22"/>
        </w:rPr>
        <w:t xml:space="preserve">RE = IV x (1 − IP/100): operacionaliza que la preparación modera la vulnerabilidad (Hipótesis 3 del proyecto madre).</w:t>
      </w:r>
    </w:p>
    <w:p>
      <w:pPr>
        <w:pStyle w:val="ListParagraph"/>
        <w:numPr>
          <w:ilvl w:val="0"/>
          <w:numId w:val="1"/>
        </w:numPr>
      </w:pPr>
      <w:r>
        <w:rPr>
          <w:rFonts w:ascii="Arial" w:cs="Arial" w:eastAsia="Arial" w:hAnsi="Arial"/>
          <w:sz w:val="22"/>
          <w:szCs w:val="22"/>
        </w:rPr>
        <w:t xml:space="preserve">Ranking por ISA-Completo para comparar organizaciones.</w:t>
      </w:r>
    </w:p>
    <w:p>
      <w:pPr>
        <w:keepNext/>
        <w:spacing w:after="80" w:before="240"/>
        <w:jc w:val="both"/>
      </w:pPr>
      <w:r>
        <w:rPr>
          <w:rFonts w:ascii="Arial" w:cs="Arial" w:eastAsia="Arial" w:hAnsi="Arial"/>
          <w:b/>
          <w:bCs/>
          <w:sz w:val="22"/>
          <w:szCs w:val="22"/>
        </w:rPr>
        <w:t xml:space="preserve">2.6 Corte por producto: paridad café/cacao</w:t>
      </w:r>
    </w:p>
    <w:p>
      <w:pPr>
        <w:jc w:val="both"/>
      </w:pPr>
      <w:r>
        <w:rPr>
          <w:rFonts w:ascii="Arial" w:cs="Arial" w:eastAsia="Arial" w:hAnsi="Arial"/>
          <w:sz w:val="22"/>
          <w:szCs w:val="22"/>
        </w:rPr>
        <w:t xml:space="preserve">El corte por producto de la hoja de cálculo reporta conteos y promedios de ISA-EUDR, ISA-PV, ISA-Completo, IP, IV y RE para café, cacao y "sin producto registrado", más un semáforo de paridad: si la brecha de ISA-Completo entre café y cacao supera los 5 puntos, se marca para revisar sesgo antes de publicar. Con el marco actual (80 / 83 / 10) la muestra está equilibrada; si el levantamiento introduce subrepresentación, se corrige la cuota muestral, no los resultados.</w:t>
      </w:r>
    </w:p>
    <w:p>
      <w:pPr>
        <w:keepNext/>
        <w:spacing w:after="80" w:before="240"/>
        <w:jc w:val="both"/>
      </w:pPr>
      <w:r>
        <w:rPr>
          <w:rFonts w:ascii="Arial" w:cs="Arial" w:eastAsia="Arial" w:hAnsi="Arial"/>
          <w:b/>
          <w:bCs/>
          <w:sz w:val="22"/>
          <w:szCs w:val="22"/>
        </w:rPr>
        <w:t xml:space="preserve">2.7 Agregación territorial</w:t>
      </w:r>
    </w:p>
    <w:p>
      <w:pPr>
        <w:jc w:val="both"/>
      </w:pPr>
      <w:r>
        <w:rPr>
          <w:rFonts w:ascii="Arial" w:cs="Arial" w:eastAsia="Arial" w:hAnsi="Arial"/>
          <w:sz w:val="22"/>
          <w:szCs w:val="22"/>
        </w:rPr>
        <w:t xml:space="preserve">El radar promedia cada dimensión por departamento (11 dimensiones x 15 departamentos, más promedios muestrales). D2, D5 y D6 provienen de las scorecards (carga del instrumento); D1, D3, D4 y D7–D11 del motor de cálculo. Sin dato se muestra como 0: la ausencia de dato no implica cumplimiento. Los promedios se alinean por organización dentro de la misma hoja para evitar desfases.</w:t>
      </w:r>
    </w:p>
    <w:p>
      <w:pPr>
        <w:keepNext/>
        <w:spacing w:after="80" w:before="240"/>
        <w:jc w:val="both"/>
      </w:pPr>
      <w:r>
        <w:rPr>
          <w:rFonts w:ascii="Arial" w:cs="Arial" w:eastAsia="Arial" w:hAnsi="Arial"/>
          <w:b/>
          <w:bCs/>
          <w:sz w:val="22"/>
          <w:szCs w:val="22"/>
        </w:rPr>
        <w:t xml:space="preserve">2.8 Decisiones metodológicas registradas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22"/>
                <w:szCs w:val="22"/>
              </w:rPr>
              <w:t xml:space="preserve">Decisión</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22"/>
                <w:szCs w:val="22"/>
              </w:rPr>
              <w:t xml:space="preserve">Resolución</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22"/>
                <w:szCs w:val="22"/>
              </w:rPr>
              <w:t xml:space="preserve">Fundamento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Indicador PVE (indicadores de performance) dentro de ISA-Completo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No entra. Queda como indicador de validación externa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El índice es el regresor/predictor del objetivo (f) del proyecto madre y la performance es la variable dependiente —incluirla sería circular—; el proyecto madre usa los indicadores de performance como validación externa del índice (Fase 4, paso 12: certificaciones, % volumen trazable, continuidad exportadora, acceso a mercado UE); el impacto en performance/exclusión ya está operacionalizado en RE = IV x (1 − IP/100)</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Etiqueta de la dimensión 11 (antes "género e inclusión")</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Renombrada a "D11 — Ecosistema (inventario, no promedia)"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En el diseño del proyecto madre el género no es una dimensión: es insumo de IV5 vía la pregunta de mujeres en la directiva (sub-dimensión 5 de vulnerabilidad, "riesgo social y comercial"). D11 es el ecosistema de apoyo externo del instrumento (D11.38–D11.39a)</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IV1–IV5 placeholders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Proxies documentados; definición de diseño al ingresar el instrumento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IV1 = exposición UE real; IV3 = hectáreas por socio con umbrales y sin dato a 65; IV2/IV4/IV5 documentados como proxies. Al cargar el instrumento se reescriben con los insumos ya capturados (B0.7/P1/P1b/P4/D7.26a; B0.4/B0.10/B0.11/B0.13/B0.14; B0.12 + D3.14i)</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Colisión de prefijos P (performance comercial vs indicadores PVE)</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Bloque R para los indicadores PVE</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Evita que un mismo identificador signifique dos cosas distintas</w:t>
            </w:r>
          </w:p>
        </w:tc>
      </w:tr>
    </w:tbl>
    <w:p>
      <w:pPr>
        <w:spacing w:after="120"/>
      </w:pPr>
      <w:r>
        <w:rPr>
          <w:rFonts w:ascii="Arial" w:cs="Arial" w:eastAsia="Arial" w:hAnsi="Arial"/>
          <w:sz w:val="22"/>
          <w:szCs w:val="22"/>
        </w:rPr>
        <w:t xml:space="preserve"/>
      </w:r>
    </w:p>
    <w:p>
      <w:pPr>
        <w:keepNext/>
        <w:spacing w:after="100" w:before="280"/>
        <w:jc w:val="both"/>
      </w:pPr>
      <w:r>
        <w:rPr>
          <w:rFonts w:ascii="Arial" w:cs="Arial" w:eastAsia="Arial" w:hAnsi="Arial"/>
          <w:b/>
          <w:bCs/>
          <w:sz w:val="22"/>
          <w:szCs w:val="22"/>
        </w:rPr>
        <w:t xml:space="preserve">3. Estado de implementación y correcciones aplicadas</w:t>
      </w:r>
    </w:p>
    <w:p>
      <w:pPr>
        <w:jc w:val="both"/>
      </w:pPr>
      <w:r>
        <w:rPr>
          <w:rFonts w:ascii="Arial" w:cs="Arial" w:eastAsia="Arial" w:hAnsi="Arial"/>
          <w:sz w:val="22"/>
          <w:szCs w:val="22"/>
        </w:rPr>
        <w:t xml:space="preserve">La revisión célula por célula de la hoja de cálculo detectó 12 defectos. Al 2026-10-14, 10 están cerrados (corregidos o resueltos por decisión documentada) y queda uno pendiente, que depende de que existan respuestas reales que cargar:</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2160"/>
      </w:tblGrid>
      <w:tr>
        <w:trPr>
          <w:tblHeader/>
        </w:trPr>
        <w:tc>
          <w:tcPr>
            <w:tcW w:type="dxa" w:w="21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22"/>
                <w:szCs w:val="22"/>
              </w:rPr>
              <w:t xml:space="preserve">#</w:t>
            </w:r>
          </w:p>
        </w:tc>
        <w:tc>
          <w:tcPr>
            <w:tcW w:type="dxa" w:w="21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22"/>
                <w:szCs w:val="22"/>
              </w:rPr>
              <w:t xml:space="preserve">Defecto</w:t>
            </w:r>
          </w:p>
        </w:tc>
        <w:tc>
          <w:tcPr>
            <w:tcW w:type="dxa" w:w="21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22"/>
                <w:szCs w:val="22"/>
              </w:rPr>
              <w:t xml:space="preserve">Estado</w:t>
            </w:r>
          </w:p>
        </w:tc>
        <w:tc>
          <w:tcPr>
            <w:tcW w:type="dxa" w:w="21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22"/>
                <w:szCs w:val="22"/>
              </w:rPr>
              <w:t xml:space="preserve">Corrección</w:t>
            </w:r>
          </w:p>
        </w:tc>
      </w:tr>
      <w:tr>
        <w:trPr>
          <w:tblHeader w:val="off"/>
        </w:trPr>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1</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Fórmulas del bloque de ponderadores que no evaluaban (función en español, símbolo de raíz, nombres definidos inexistentes, referencias a celdas vacías)</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Corregido</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Celdas convertidas a descripción documentada con su equivalencia; fila del ISA-EUDR completada; proxies de IV1–IV5 documentados</w:t>
            </w:r>
          </w:p>
        </w:tc>
      </w:tr>
      <w:tr>
        <w:trPr>
          <w:tblHeader w:val="off"/>
        </w:trPr>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2</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La clasificación del marco muestral se mostraba desplazada dos organizaciones</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Corregido</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Referencia a la misma organización en la scorecard</w:t>
            </w:r>
          </w:p>
        </w:tc>
      </w:tr>
      <w:tr>
        <w:trPr>
          <w:tblHeader w:val="off"/>
        </w:trPr>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3</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Los promedios muestrales excluían la última organización</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Corregido</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Los promedios cubren las 174 organizaciones</w:t>
            </w:r>
          </w:p>
        </w:tc>
      </w:tr>
      <w:tr>
        <w:trPr>
          <w:tblHeader w:val="off"/>
        </w:trPr>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4</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El radar reportaba dos veces la dimensión de legalidad y ninguna la de presión del comprador; una columna cruzaba hojas con desfase de organización</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Corregido</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Cada dimensión se promedia con criterios de la misma hoja</w:t>
            </w:r>
          </w:p>
        </w:tc>
      </w:tr>
      <w:tr>
        <w:trPr>
          <w:tblHeader w:val="off"/>
        </w:trPr>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5</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Cuatro dimensiones del radar estaban fijas en cero (sin reporte por departamento)</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Corregido</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Conectadas al motor de cálculo; fórmulas huérfanas eliminadas</w:t>
            </w:r>
          </w:p>
        </w:tc>
      </w:tr>
      <w:tr>
        <w:trPr>
          <w:tblHeader w:val="off"/>
        </w:trPr>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6</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Error de escala en ISA-Completo (Pacto Verde en 0–1 contra EUDR en 0–100)</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Corregido</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ISA-Completo = 0.70 x ISA-EUDR + 0.30 x ISA-PV x 100</w:t>
            </w:r>
          </w:p>
        </w:tc>
      </w:tr>
      <w:tr>
        <w:trPr>
          <w:tblHeader w:val="off"/>
        </w:trPr>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7</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IV1–IV5 placeholders incoherentes (IV1 multiplicaba por 50 una escala 0–1; IV3 trataba "sin hectáreas" como bajo riesgo)</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Corregido</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IV1 = exposición UE real; IV3 = hectáreas por socio con umbrales y sin dato a 65</w:t>
            </w:r>
          </w:p>
        </w:tc>
      </w:tr>
      <w:tr>
        <w:trPr>
          <w:tblHeader w:val="off"/>
        </w:trPr>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8</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Colisiones semánticas de nombres (dimensión 11 etiquetada como tema de género, prefijos repetidos, tres taxonomías de semáforo)</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Corregido</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Etiqueta de la dimensión 11 corregida (§2.8); etiquetas de ponderadores desambiguadas; semáforo unificado; prefijo resuelto con el Bloque R</w:t>
            </w:r>
          </w:p>
        </w:tc>
      </w:tr>
      <w:tr>
        <w:trPr>
          <w:tblHeader w:val="off"/>
        </w:trPr>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9</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Falta la capa de ingesta (codificación 0-4 a 0-100 y carga con join por RUC)</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Pendiente</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Las dimensiones sin fuente externa siguen en 0 hasta ingresar el instrumento; el mapa de correspondencia es la guía de carga</w:t>
            </w:r>
          </w:p>
        </w:tc>
      </w:tr>
      <w:tr>
        <w:trPr>
          <w:tblHeader w:val="off"/>
        </w:trPr>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10</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Datos sucios (certificación con espacio final, valor fuera de dominio, registros sin nombre ni departamento, valores escritos a mano en lugar de fórmula)</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Corregido</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Limpieza verificada contra respaldo: los valores manuales coincidían con la fuente antes de reemplazarlos por fórmula</w:t>
            </w:r>
          </w:p>
        </w:tc>
      </w:tr>
      <w:tr>
        <w:trPr>
          <w:tblHeader w:val="off"/>
        </w:trPr>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11</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Indicador PVE calculado pero sin uso</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Resuelto (decisión)</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No entra en ISA-Completo: es la variable de validación externa del índice (§2.8)</w:t>
            </w:r>
          </w:p>
        </w:tc>
      </w:tr>
      <w:tr>
        <w:trPr>
          <w:tblHeader w:val="off"/>
        </w:trPr>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12</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Semáforo "sin instrumento" en las 174 organizaciones</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Esperado</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Etiqueta correcta mientras no haya carga del instrumento</w:t>
            </w:r>
          </w:p>
        </w:tc>
      </w:tr>
    </w:tbl>
    <w:p>
      <w:pPr>
        <w:spacing w:after="120"/>
      </w:pPr>
      <w:r>
        <w:rPr>
          <w:rFonts w:ascii="Arial" w:cs="Arial" w:eastAsia="Arial" w:hAnsi="Arial"/>
          <w:sz w:val="22"/>
          <w:szCs w:val="22"/>
        </w:rPr>
        <w:t xml:space="preserve"/>
      </w:r>
    </w:p>
    <w:p>
      <w:pPr>
        <w:keepNext/>
        <w:spacing w:after="100" w:before="280"/>
        <w:jc w:val="both"/>
      </w:pPr>
      <w:r>
        <w:rPr>
          <w:rFonts w:ascii="Arial" w:cs="Arial" w:eastAsia="Arial" w:hAnsi="Arial"/>
          <w:b/>
          <w:bCs/>
          <w:sz w:val="22"/>
          <w:szCs w:val="22"/>
        </w:rPr>
        <w:t xml:space="preserve">4. Validación y robustez</w:t>
      </w:r>
    </w:p>
    <w:p>
      <w:pPr>
        <w:pStyle w:val="ListParagraph"/>
        <w:numPr>
          <w:ilvl w:val="0"/>
          <w:numId w:val="1"/>
        </w:numPr>
      </w:pPr>
      <w:r>
        <w:rPr>
          <w:rFonts w:ascii="Arial" w:cs="Arial" w:eastAsia="Arial" w:hAnsi="Arial"/>
          <w:sz w:val="22"/>
          <w:szCs w:val="22"/>
        </w:rPr>
        <w:t xml:space="preserve">Consistencia interna: alfa de Cronbach (Cronbach, 1951) por dimensión con los datos del piloto; un alfa &lt; 0.6 obliga a revisar la redacción antes de escalar.</w:t>
      </w:r>
    </w:p>
    <w:p>
      <w:pPr>
        <w:pStyle w:val="ListParagraph"/>
        <w:numPr>
          <w:ilvl w:val="0"/>
          <w:numId w:val="1"/>
        </w:numPr>
      </w:pPr>
      <w:r>
        <w:rPr>
          <w:rFonts w:ascii="Arial" w:cs="Arial" w:eastAsia="Arial" w:hAnsi="Arial"/>
          <w:sz w:val="22"/>
          <w:szCs w:val="22"/>
        </w:rPr>
        <w:t xml:space="preserve">Estructura multivariada: Análisis de Componentes Principales sobre D1–D15 con la primera ronda completa para verificar el supuesto de pesos iguales.</w:t>
      </w:r>
    </w:p>
    <w:p>
      <w:pPr>
        <w:pStyle w:val="ListParagraph"/>
        <w:numPr>
          <w:ilvl w:val="0"/>
          <w:numId w:val="1"/>
        </w:numPr>
      </w:pPr>
      <w:r>
        <w:rPr>
          <w:rFonts w:ascii="Arial" w:cs="Arial" w:eastAsia="Arial" w:hAnsi="Arial"/>
          <w:sz w:val="22"/>
          <w:szCs w:val="22"/>
        </w:rPr>
        <w:t xml:space="preserve">Sensibilidad: recálculo con media aritmética vs. geométrica; con pesos iguales entre las 9 dimensiones; con pesos alternativos 70/30 (80/20, 60/40, 50/50); y con la regla estricta de datos faltantes vs. la re-ponderación. Correlación de rangos (Spearman) en cada caso.</w:t>
      </w:r>
    </w:p>
    <w:p>
      <w:pPr>
        <w:pStyle w:val="ListParagraph"/>
        <w:numPr>
          <w:ilvl w:val="0"/>
          <w:numId w:val="1"/>
        </w:numPr>
      </w:pPr>
      <w:r>
        <w:rPr>
          <w:rFonts w:ascii="Arial" w:cs="Arial" w:eastAsia="Arial" w:hAnsi="Arial"/>
          <w:sz w:val="22"/>
          <w:szCs w:val="22"/>
        </w:rPr>
        <w:t xml:space="preserve">Bootstrap (B = 1000) para intervalos de confianza de ISA, IP, IV y RE por cooperativa y del ranking agregado, una vez exista la primera ronda completa (requisito de robustez del proyecto madre).</w:t>
      </w:r>
    </w:p>
    <w:p>
      <w:pPr>
        <w:pStyle w:val="ListParagraph"/>
        <w:numPr>
          <w:ilvl w:val="0"/>
          <w:numId w:val="1"/>
        </w:numPr>
      </w:pPr>
      <w:r>
        <w:rPr>
          <w:rFonts w:ascii="Arial" w:cs="Arial" w:eastAsia="Arial" w:hAnsi="Arial"/>
          <w:sz w:val="22"/>
          <w:szCs w:val="22"/>
        </w:rPr>
        <w:t xml:space="preserve">Calibración por raking (Deville &amp; Särndal, 1992; recomendado por AAPOR 2013 para muestras no probabilísticas por cuotas) contra los totales marginales del universo (producto, tamaño, territorio) para reportar el índice ajustado junto al sin ajustar.</w:t>
      </w:r>
    </w:p>
    <w:p>
      <w:pPr>
        <w:pStyle w:val="ListParagraph"/>
        <w:numPr>
          <w:ilvl w:val="0"/>
          <w:numId w:val="1"/>
        </w:numPr>
      </w:pPr>
      <w:r>
        <w:rPr>
          <w:rFonts w:ascii="Arial" w:cs="Arial" w:eastAsia="Arial" w:hAnsi="Arial"/>
          <w:sz w:val="22"/>
          <w:szCs w:val="22"/>
        </w:rPr>
        <w:t xml:space="preserve">Validación externa del índice: correlacionar IP/RE contra certificaciones, % volumen trazable, continuidad exportadora y acceso a mercado UE (Fase 4, paso 12 del proyecto madre) —donde entra el indicador PVE y el Bloque P—.</w:t>
      </w:r>
    </w:p>
    <w:p>
      <w:pPr>
        <w:keepNext/>
        <w:spacing w:after="100" w:before="280"/>
        <w:jc w:val="both"/>
      </w:pPr>
      <w:r>
        <w:rPr>
          <w:rFonts w:ascii="Arial" w:cs="Arial" w:eastAsia="Arial" w:hAnsi="Arial"/>
          <w:b/>
          <w:bCs/>
          <w:sz w:val="22"/>
          <w:szCs w:val="22"/>
        </w:rPr>
        <w:t xml:space="preserve">5. Trazabilidad y auditoría</w:t>
      </w:r>
    </w:p>
    <w:p>
      <w:pPr>
        <w:pStyle w:val="ListParagraph"/>
        <w:numPr>
          <w:ilvl w:val="0"/>
          <w:numId w:val="1"/>
        </w:numPr>
      </w:pPr>
      <w:r>
        <w:rPr>
          <w:rFonts w:ascii="Arial" w:cs="Arial" w:eastAsia="Arial" w:hAnsi="Arial"/>
          <w:sz w:val="22"/>
          <w:szCs w:val="22"/>
        </w:rPr>
        <w:t xml:space="preserve">Cada pregunta del instrumento tiene un destino identificado en el mapa de correspondencia de la hoja de cálculo (119 filas), resumido por bloque en §1.6 de este documento.</w:t>
      </w:r>
    </w:p>
    <w:p>
      <w:pPr>
        <w:pStyle w:val="ListParagraph"/>
        <w:numPr>
          <w:ilvl w:val="0"/>
          <w:numId w:val="1"/>
        </w:numPr>
      </w:pPr>
      <w:r>
        <w:rPr>
          <w:rFonts w:ascii="Arial" w:cs="Arial" w:eastAsia="Arial" w:hAnsi="Arial"/>
          <w:sz w:val="22"/>
          <w:szCs w:val="22"/>
        </w:rPr>
        <w:t xml:space="preserve">Cada corrección de fórmula queda registrada con su descripción en el estado de implementación (§3) y en las notas del área de ponderadores de la hoja de cálculo.</w:t>
      </w:r>
    </w:p>
    <w:p>
      <w:pPr>
        <w:pStyle w:val="ListParagraph"/>
        <w:numPr>
          <w:ilvl w:val="0"/>
          <w:numId w:val="1"/>
        </w:numPr>
      </w:pPr>
      <w:r>
        <w:rPr>
          <w:rFonts w:ascii="Arial" w:cs="Arial" w:eastAsia="Arial" w:hAnsi="Arial"/>
          <w:sz w:val="22"/>
          <w:szCs w:val="22"/>
        </w:rPr>
        <w:t xml:space="preserve">Verificación programática del estado actual: 0 fórmulas inválidas en las 8 áreas de la hoja; cobertura de las 174 organizaciones en cada corrección; 165 celdas de promedio del radar; 119 preguntas únicas sin duplicados.</w:t>
      </w:r>
    </w:p>
    <w:p>
      <w:pPr>
        <w:pStyle w:val="ListParagraph"/>
        <w:numPr>
          <w:ilvl w:val="0"/>
          <w:numId w:val="1"/>
        </w:numPr>
      </w:pPr>
      <w:r>
        <w:rPr>
          <w:rFonts w:ascii="Arial" w:cs="Arial" w:eastAsia="Arial" w:hAnsi="Arial"/>
          <w:sz w:val="22"/>
          <w:szCs w:val="22"/>
        </w:rPr>
        <w:t xml:space="preserve">Cada intervención sobre la hoja de cálculo se realiza sobre una copia fechada previa, de modo que cualquier estado anterior es reconstruible.</w:t>
      </w:r>
    </w:p>
    <w:p>
      <w:pPr>
        <w:pStyle w:val="ListParagraph"/>
        <w:numPr>
          <w:ilvl w:val="0"/>
          <w:numId w:val="1"/>
        </w:numPr>
      </w:pPr>
      <w:r>
        <w:rPr>
          <w:rFonts w:ascii="Arial" w:cs="Arial" w:eastAsia="Arial" w:hAnsi="Arial"/>
          <w:sz w:val="22"/>
          <w:szCs w:val="22"/>
        </w:rPr>
        <w:t xml:space="preserve">Reglas de integridad para quien cargue datos: el RUC nunca queda vacío (clave de unión entre fuentes); no reordenar las columnas una vez iniciado el levantamiento; las ramas quedan vacías si no aplican; banderas y mapeos fuera de los promedios.</w:t>
      </w:r>
    </w:p>
    <w:p>
      <w:pPr>
        <w:keepNext/>
        <w:spacing w:after="100" w:before="280"/>
        <w:jc w:val="both"/>
      </w:pPr>
      <w:r>
        <w:rPr>
          <w:rFonts w:ascii="Arial" w:cs="Arial" w:eastAsia="Arial" w:hAnsi="Arial"/>
          <w:b/>
          <w:bCs/>
          <w:sz w:val="22"/>
          <w:szCs w:val="22"/>
        </w:rPr>
        <w:t xml:space="preserve">6. Pendientes y próximos pasos</w:t>
      </w:r>
    </w:p>
    <w:p>
      <w:pPr>
        <w:pStyle w:val="ListParagraph"/>
        <w:numPr>
          <w:ilvl w:val="0"/>
          <w:numId w:val="2"/>
        </w:numPr>
      </w:pPr>
      <w:r>
        <w:rPr>
          <w:rFonts w:ascii="Arial" w:cs="Arial" w:eastAsia="Arial" w:hAnsi="Arial"/>
          <w:sz w:val="22"/>
          <w:szCs w:val="22"/>
        </w:rPr>
        <w:t xml:space="preserve">Capa de ingesta (único bloqueante del cálculo): tabla de codificación (0–4 a 0–100, categóricas ordinales, porcentaje directo) + carga con unión por RUC contra el marco muestral. El mapa de correspondencia es la guía; sin ella, las dimensiones sin fuente externa permanecen en 0.</w:t>
      </w:r>
    </w:p>
    <w:p>
      <w:pPr>
        <w:pStyle w:val="ListParagraph"/>
        <w:numPr>
          <w:ilvl w:val="0"/>
          <w:numId w:val="2"/>
        </w:numPr>
      </w:pPr>
      <w:r>
        <w:rPr>
          <w:rFonts w:ascii="Arial" w:cs="Arial" w:eastAsia="Arial" w:hAnsi="Arial"/>
          <w:sz w:val="22"/>
          <w:szCs w:val="22"/>
        </w:rPr>
        <w:t xml:space="preserve">Piloto de comprensibilidad y ajuste de ítems con no-respuesta &gt; 20%.</w:t>
      </w:r>
    </w:p>
    <w:p>
      <w:pPr>
        <w:pStyle w:val="ListParagraph"/>
        <w:numPr>
          <w:ilvl w:val="0"/>
          <w:numId w:val="2"/>
        </w:numPr>
      </w:pPr>
      <w:r>
        <w:rPr>
          <w:rFonts w:ascii="Arial" w:cs="Arial" w:eastAsia="Arial" w:hAnsi="Arial"/>
          <w:sz w:val="22"/>
          <w:szCs w:val="22"/>
        </w:rPr>
        <w:t xml:space="preserve">Escalar las 17 preguntas restantes del módulo Pacto Verde (D12.40/41/43/44, D13.46–D13.50, D14.52–D14.55, D15.56/57/59/60) tras la evaluación con el técnico de campo; los identificadores ya están reservados.</w:t>
      </w:r>
    </w:p>
    <w:p>
      <w:pPr>
        <w:pStyle w:val="ListParagraph"/>
        <w:numPr>
          <w:ilvl w:val="0"/>
          <w:numId w:val="2"/>
        </w:numPr>
      </w:pPr>
      <w:r>
        <w:rPr>
          <w:rFonts w:ascii="Arial" w:cs="Arial" w:eastAsia="Arial" w:hAnsi="Arial"/>
          <w:sz w:val="22"/>
          <w:szCs w:val="22"/>
        </w:rPr>
        <w:t xml:space="preserve">Reescribir IV1–IV5 con las definiciones de diseño una vez ingresado el instrumento (insumos ya capturados).</w:t>
      </w:r>
    </w:p>
    <w:p>
      <w:pPr>
        <w:pStyle w:val="ListParagraph"/>
        <w:numPr>
          <w:ilvl w:val="0"/>
          <w:numId w:val="2"/>
        </w:numPr>
      </w:pPr>
      <w:r>
        <w:rPr>
          <w:rFonts w:ascii="Arial" w:cs="Arial" w:eastAsia="Arial" w:hAnsi="Arial"/>
          <w:sz w:val="22"/>
          <w:szCs w:val="22"/>
        </w:rPr>
        <w:t xml:space="preserve">Panel AHP para validar los pesos de IP e IV (Fase 1 del proyecto madre).</w:t>
      </w:r>
    </w:p>
    <w:p>
      <w:pPr>
        <w:keepNext/>
        <w:spacing w:after="100" w:before="280"/>
        <w:jc w:val="both"/>
      </w:pPr>
      <w:r>
        <w:rPr>
          <w:rFonts w:ascii="Arial" w:cs="Arial" w:eastAsia="Arial" w:hAnsi="Arial"/>
          <w:b/>
          <w:bCs/>
          <w:sz w:val="22"/>
          <w:szCs w:val="22"/>
        </w:rPr>
        <w:t xml:space="preserve">Fundamento</w:t>
      </w:r>
    </w:p>
    <w:p>
      <w:pPr>
        <w:jc w:val="both"/>
      </w:pPr>
      <w:r>
        <w:rPr>
          <w:rFonts w:ascii="Arial" w:cs="Arial" w:eastAsia="Arial" w:hAnsi="Arial"/>
          <w:sz w:val="22"/>
          <w:szCs w:val="22"/>
        </w:rPr>
        <w:t xml:space="preserve">Los requisitos de esta primera versión provienen del proyecto madre —ISCAM, Universidad del Pacífico: *El impacto del Pacto Verde Europeo en la performance de las cooperativas peruanas*—: encuesta organizacional con escala ordinal 0–4, muestreo no probabilístico por cuotas con calibración ex-post, índice sintético de alineamiento con agregación geométrica en el núcleo (precedente IDH-PNUD 2010), robustez con alfa/PCA/bootstrap y validación externa contra indicadores de performance (Fase 4).</w:t>
      </w:r>
    </w:p>
    <w:p>
      <w:pPr>
        <w:keepNext/>
        <w:spacing w:after="100" w:before="280"/>
        <w:jc w:val="both"/>
      </w:pPr>
      <w:r>
        <w:rPr>
          <w:rFonts w:ascii="Arial" w:cs="Arial" w:eastAsia="Arial" w:hAnsi="Arial"/>
          <w:b/>
          <w:bCs/>
          <w:sz w:val="22"/>
          <w:szCs w:val="22"/>
        </w:rPr>
        <w:t xml:space="preserve">Referencias y fuentes</w:t>
      </w:r>
    </w:p>
    <w:p>
      <w:pPr>
        <w:ind w:left="720"/>
        <w:jc w:val="both"/>
      </w:pPr>
      <w:r>
        <w:rPr>
          <w:rFonts w:ascii="Arial" w:cs="Arial" w:eastAsia="Arial" w:hAnsi="Arial"/>
          <w:sz w:val="22"/>
          <w:szCs w:val="22"/>
        </w:rPr>
        <w:t xml:space="preserve">OECD/JRC, *Handbook on Constructing Composite Indicators* (2008).</w:t>
      </w:r>
    </w:p>
    <w:p>
      <w:pPr>
        <w:ind w:left="720"/>
        <w:jc w:val="both"/>
      </w:pPr>
      <w:r>
        <w:rPr>
          <w:rFonts w:ascii="Arial" w:cs="Arial" w:eastAsia="Arial" w:hAnsi="Arial"/>
          <w:sz w:val="22"/>
          <w:szCs w:val="22"/>
        </w:rPr>
        <w:t xml:space="preserve">Greco, Ishizaka, Tasiou &amp; Torrisi (2019), *Social Indicators Research* 141.</w:t>
      </w:r>
    </w:p>
    <w:p>
      <w:pPr>
        <w:ind w:left="720"/>
        <w:jc w:val="both"/>
      </w:pPr>
      <w:r>
        <w:rPr>
          <w:rFonts w:ascii="Arial" w:cs="Arial" w:eastAsia="Arial" w:hAnsi="Arial"/>
          <w:sz w:val="22"/>
          <w:szCs w:val="22"/>
        </w:rPr>
        <w:t xml:space="preserve">PNUD, *Informe de Desarrollo Humano 2010* (cambio de media aritmética a geométrica).</w:t>
      </w:r>
    </w:p>
    <w:p>
      <w:pPr>
        <w:ind w:left="720"/>
        <w:jc w:val="both"/>
      </w:pPr>
      <w:r>
        <w:rPr>
          <w:rFonts w:ascii="Arial" w:cs="Arial" w:eastAsia="Arial" w:hAnsi="Arial"/>
          <w:sz w:val="22"/>
          <w:szCs w:val="22"/>
        </w:rPr>
        <w:t xml:space="preserve">Rubin (1976) y Little &amp; Rubin (2002) sobre datos faltantes.</w:t>
      </w:r>
    </w:p>
    <w:p>
      <w:pPr>
        <w:ind w:left="720"/>
        <w:jc w:val="both"/>
      </w:pPr>
      <w:r>
        <w:rPr>
          <w:rFonts w:ascii="Arial" w:cs="Arial" w:eastAsia="Arial" w:hAnsi="Arial"/>
          <w:sz w:val="22"/>
          <w:szCs w:val="22"/>
        </w:rPr>
        <w:t xml:space="preserve">Deville &amp; Särndal (1992) y AAPOR (2013) sobre calibración/raking.</w:t>
      </w:r>
    </w:p>
    <w:p>
      <w:pPr>
        <w:ind w:left="720"/>
        <w:jc w:val="both"/>
      </w:pPr>
      <w:r>
        <w:rPr>
          <w:rFonts w:ascii="Arial" w:cs="Arial" w:eastAsia="Arial" w:hAnsi="Arial"/>
          <w:sz w:val="22"/>
          <w:szCs w:val="22"/>
        </w:rPr>
        <w:t xml:space="preserve">Cronbach (1951).</w:t>
      </w:r>
    </w:p>
    <w:p>
      <w:pPr>
        <w:ind w:left="720"/>
        <w:jc w:val="both"/>
      </w:pPr>
      <w:r>
        <w:rPr>
          <w:rFonts w:ascii="Arial" w:cs="Arial" w:eastAsia="Arial" w:hAnsi="Arial"/>
          <w:sz w:val="22"/>
          <w:szCs w:val="22"/>
        </w:rPr>
        <w:t xml:space="preserve">Saaty (AHP).</w:t>
      </w:r>
    </w:p>
    <w:p>
      <w:pPr>
        <w:ind w:left="720"/>
        <w:jc w:val="both"/>
      </w:pPr>
      <w:r>
        <w:rPr>
          <w:rFonts w:ascii="Arial" w:cs="Arial" w:eastAsia="Arial" w:hAnsi="Arial"/>
          <w:sz w:val="22"/>
          <w:szCs w:val="22"/>
        </w:rPr>
        <w:t xml:space="preserve">*Capability Maturity Model Integration* (SEI/Carnegie Mellon).</w:t>
      </w:r>
    </w:p>
    <w:p>
      <w:pPr>
        <w:ind w:left="720"/>
        <w:jc w:val="both"/>
      </w:pPr>
      <w:r>
        <w:rPr>
          <w:rFonts w:ascii="Arial" w:cs="Arial" w:eastAsia="Arial" w:hAnsi="Arial"/>
          <w:sz w:val="22"/>
          <w:szCs w:val="22"/>
        </w:rPr>
        <w:t xml:space="preserve">SAI Platform Farm Sustainability Assessment.</w:t>
      </w:r>
    </w:p>
    <w:p>
      <w:pPr>
        <w:ind w:left="720"/>
        <w:jc w:val="both"/>
      </w:pPr>
      <w:r>
        <w:rPr>
          <w:rFonts w:ascii="Arial" w:cs="Arial" w:eastAsia="Arial" w:hAnsi="Arial"/>
          <w:sz w:val="22"/>
          <w:szCs w:val="22"/>
        </w:rPr>
        <w:t xml:space="preserve">Team Europe Initiative on Deforestation-free Value Chains (2025, Vietnam) —que aporta "género e inclusión" como criterio transversal de preparación con "riesgo de exclusión".</w:t>
      </w:r>
    </w:p>
    <w:p>
      <w:pPr>
        <w:ind w:left="720"/>
        <w:jc w:val="both"/>
      </w:pPr>
      <w:r>
        <w:rPr>
          <w:rFonts w:ascii="Arial" w:cs="Arial" w:eastAsia="Arial" w:hAnsi="Arial"/>
          <w:sz w:val="22"/>
          <w:szCs w:val="22"/>
        </w:rPr>
        <w:t xml:space="preserve">Grabs (2024/2025, *Regulation &amp; Governance*) sobre construcción de cumplimiento EUDR en cadenas de café.</w:t>
      </w:r>
    </w:p>
    <w:p>
      <w:pPr>
        <w:ind w:left="720"/>
        <w:jc w:val="both"/>
      </w:pPr>
      <w:r>
        <w:rPr>
          <w:rFonts w:ascii="Arial" w:cs="Arial" w:eastAsia="Arial" w:hAnsi="Arial"/>
          <w:sz w:val="22"/>
          <w:szCs w:val="22"/>
        </w:rPr>
        <w:t xml:space="preserve">estudio sobre membresía cooperativa y cumplimiento EUDR en cacao (Côte d'Ivoire, 2025).</w:t>
      </w:r>
    </w:p>
    <w:p>
      <w:pPr>
        <w:ind w:left="720"/>
        <w:jc w:val="both"/>
      </w:pPr>
      <w:r>
        <w:rPr>
          <w:rFonts w:ascii="Arial" w:cs="Arial" w:eastAsia="Arial" w:hAnsi="Arial"/>
          <w:sz w:val="22"/>
          <w:szCs w:val="22"/>
        </w:rPr>
        <w:t xml:space="preserve">CalCafé v2.1 (PromPerú / PUCP-PELCAN), calculadora de ciclo de vida validada solo para café.</w:t>
      </w:r>
    </w:p>
    <w:sectPr>
      <w:pgSz w:w="12240" w:h="15840" w:orient="portrait"/>
      <w:pgMar w:top="1440" w:right="1800" w:bottom="1440" w:left="18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2026-10-14T22:31:07.350Z</dcterms:created>
  <dcterms:modified xsi:type="dcterms:W3CDTF">2026-10-14T22:31:07.351Z</dcterms:modified>
</cp:coreProperties>
</file>

<file path=docProps/custom.xml><?xml version="1.0" encoding="utf-8"?>
<Properties xmlns="http://schemas.openxmlformats.org/officeDocument/2006/custom-properties" xmlns:vt="http://schemas.openxmlformats.org/officeDocument/2006/docPropsVTypes"/>
</file>