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Metodología — Instrumento 2 (preguntas) e Índice ISCAM</w:t>
      </w:r>
    </w:p>
    <w:p>
      <w:pPr>
        <w:jc w:val="center"/>
      </w:pPr>
      <w:r>
        <w:rPr>
          <w:color w:val="595959"/>
          <w:sz w:val="24"/>
        </w:rPr>
        <w:t>Café y cacao · 174 organizaciones · Primera versión · 14 de octubre de 2026</w:t>
      </w:r>
    </w:p>
    <w:p>
      <w:pPr>
        <w:spacing w:after="120"/>
      </w:pPr>
    </w:p>
    <w:p>
      <w:pPr>
        <w:spacing w:after="120"/>
      </w:pPr>
      <w:r>
        <w:rPr>
          <w:b/>
        </w:rPr>
        <w:t>Qué documenta este documento:</w:t>
      </w:r>
      <w:r>
        <w:rPr>
          <w:b w:val="0"/>
        </w:rPr>
        <w:t xml:space="preserve"> el diseño de las 119 preguntas del Instrumento 2 (primera versión) — cómo se construyeron, qué escala usa cada una, cómo se evita el sesgo hacia el café y a qué parte del índice alimenta cada respuesta — y la metodología del índice implementado sobre las 174 organizaciones del marco muestral (ISA-EUDR, ISA-PactoVerde, ISA-Completo, IP, IV, RE, tipología 2x2, semáforos, índice de Pacto Verde y radar departamental).</w:t>
      </w:r>
    </w:p>
    <w:p>
      <w:pPr>
        <w:spacing w:after="120"/>
      </w:pPr>
      <w:r>
        <w:rPr>
          <w:b/>
        </w:rPr>
        <w:t>Estado al 2026-10-14:</w:t>
      </w:r>
      <w:r>
        <w:rPr>
          <w:b w:val="0"/>
        </w:rPr>
        <w:t xml:space="preserve"> el instrumento está listo para aplicarse (revisión de calidad aprobada); el índice tiene sus fórmulas corregidas y verificadas sobre las 174 organizaciones; la carga de respuestas se activa con la primera ronda de datos reales.</w:t>
      </w:r>
    </w:p>
    <w:p>
      <w:pPr>
        <w:spacing w:after="120"/>
      </w:pPr>
      <w:r>
        <w:rPr>
          <w:b/>
        </w:rPr>
        <w:t>Composición de esta primera versión:</w:t>
      </w:r>
      <w:r>
        <w:rPr>
          <w:b w:val="0"/>
        </w:rPr>
        <w:t xml:space="preserve"> este documento de metodología, el instrumento de 119 preguntas y la hoja de cálculo que acompañan al paquete. El fundamento, las fases de validación y los requisitos de robustez provienen del proyecto madre (</w:t>
      </w:r>
      <w:r>
        <w:rPr>
          <w:b/>
        </w:rPr>
        <w:t>ISCAM — Universidad del Pacífico, *El impacto del Pacto Verde Europeo en la performance de las cooperativas peruanas*)</w:t>
      </w:r>
      <w:r>
        <w:rPr>
          <w:b w:val="0"/>
        </w:rPr>
        <w:t>.</w:t>
      </w:r>
    </w:p>
    <w:p>
      <w:r>
        <w:br w:type="page"/>
      </w:r>
    </w:p>
    <w:p>
      <w:pPr>
        <w:pStyle w:val="Heading1"/>
      </w:pPr>
      <w:r>
        <w:t>1. Las preguntas: arquitectura y diseño</w:t>
      </w:r>
    </w:p>
    <w:p>
      <w:pPr>
        <w:pStyle w:val="Heading2"/>
      </w:pPr>
      <w:r>
        <w:t>1.1 Arquitectura del instrumento</w:t>
      </w:r>
    </w:p>
    <w:p>
      <w:pPr>
        <w:spacing w:after="120"/>
      </w:pPr>
      <w:r>
        <w:rPr>
          <w:b w:val="0"/>
        </w:rPr>
        <w:t>El Instrumento 2 es una encuesta organizacional (una respuesta por cooperativa) con 119 preguntas distribuidas en siete bloques. Cada bloque tiene un rol definido en el índice; ningún bloque puntúa dos veces.</w:t>
      </w:r>
    </w:p>
    <w:tbl>
      <w:tblPr>
        <w:tblStyle w:val="TableGrid"/>
        <w:tblW w:type="auto" w:w="0"/>
        <w:tblLook w:firstColumn="1" w:firstRow="1" w:lastColumn="0" w:lastRow="0" w:noHBand="0" w:noVBand="1" w:val="04A0"/>
      </w:tblPr>
      <w:tblGrid>
        <w:gridCol w:w="2880"/>
        <w:gridCol w:w="2880"/>
        <w:gridCol w:w="2880"/>
      </w:tblGrid>
      <w:tr>
        <w:tc>
          <w:tcPr>
            <w:tcW w:type="dxa" w:w="3175"/>
            <w:shd w:val="clear" w:fill="D9E2F3"/>
          </w:tcPr>
          <w:p>
            <w:r>
              <w:rPr>
                <w:b/>
              </w:rPr>
            </w:r>
            <w:r>
              <w:rPr>
                <w:b/>
                <w:sz w:val="18"/>
              </w:rPr>
              <w:t>Bloque</w:t>
            </w:r>
          </w:p>
        </w:tc>
        <w:tc>
          <w:tcPr>
            <w:tcW w:type="dxa" w:w="1020"/>
            <w:shd w:val="clear" w:fill="D9E2F3"/>
          </w:tcPr>
          <w:p>
            <w:r>
              <w:rPr>
                <w:b/>
              </w:rPr>
            </w:r>
            <w:r>
              <w:rPr>
                <w:b/>
                <w:sz w:val="18"/>
              </w:rPr>
              <w:t>Preguntas</w:t>
            </w:r>
          </w:p>
        </w:tc>
        <w:tc>
          <w:tcPr>
            <w:tcW w:type="dxa" w:w="5329"/>
            <w:shd w:val="clear" w:fill="D9E2F3"/>
          </w:tcPr>
          <w:p>
            <w:r>
              <w:rPr>
                <w:b/>
              </w:rPr>
            </w:r>
            <w:r>
              <w:rPr>
                <w:b/>
                <w:sz w:val="18"/>
              </w:rPr>
              <w:t>Rol en el índice</w:t>
            </w:r>
          </w:p>
        </w:tc>
      </w:tr>
      <w:tr>
        <w:tc>
          <w:tcPr>
            <w:tcW w:type="dxa" w:w="3175"/>
          </w:tcPr>
          <w:p>
            <w:r/>
            <w:r>
              <w:rPr>
                <w:b w:val="0"/>
                <w:sz w:val="18"/>
              </w:rPr>
              <w:t>Metadata de campo</w:t>
            </w:r>
          </w:p>
        </w:tc>
        <w:tc>
          <w:tcPr>
            <w:tcW w:type="dxa" w:w="1020"/>
          </w:tcPr>
          <w:p>
            <w:r/>
            <w:r>
              <w:rPr>
                <w:b w:val="0"/>
                <w:sz w:val="18"/>
              </w:rPr>
              <w:t>3</w:t>
            </w:r>
          </w:p>
        </w:tc>
        <w:tc>
          <w:tcPr>
            <w:tcW w:type="dxa" w:w="5329"/>
          </w:tcPr>
          <w:p>
            <w:r/>
            <w:r>
              <w:rPr>
                <w:b w:val="0"/>
                <w:sz w:val="18"/>
              </w:rPr>
              <w:t>Auditoría de aplicación (fecha, encuestador, canal)</w:t>
            </w:r>
          </w:p>
        </w:tc>
      </w:tr>
      <w:tr>
        <w:tc>
          <w:tcPr>
            <w:tcW w:type="dxa" w:w="3175"/>
          </w:tcPr>
          <w:p>
            <w:r/>
            <w:r>
              <w:rPr>
                <w:b w:val="0"/>
                <w:sz w:val="18"/>
              </w:rPr>
              <w:t>Bloque 0 — Ficha de identificación (B0.1–B0.17)</w:t>
            </w:r>
          </w:p>
        </w:tc>
        <w:tc>
          <w:tcPr>
            <w:tcW w:type="dxa" w:w="1020"/>
          </w:tcPr>
          <w:p>
            <w:r/>
            <w:r>
              <w:rPr>
                <w:b w:val="0"/>
                <w:sz w:val="18"/>
              </w:rPr>
              <w:t>17</w:t>
            </w:r>
          </w:p>
        </w:tc>
        <w:tc>
          <w:tcPr>
            <w:tcW w:type="dxa" w:w="5329"/>
          </w:tcPr>
          <w:p>
            <w:r/>
            <w:r>
              <w:rPr>
                <w:b w:val="0"/>
                <w:sz w:val="18"/>
              </w:rPr>
              <w:t>Marco muestral (nombre, RUC, producto, socios, hectáreas, departamento, tipo de organización) + insumos de vulnerabilidad IV1–IV5</w:t>
            </w:r>
          </w:p>
        </w:tc>
      </w:tr>
      <w:tr>
        <w:tc>
          <w:tcPr>
            <w:tcW w:type="dxa" w:w="3175"/>
          </w:tcPr>
          <w:p>
            <w:r/>
            <w:r>
              <w:rPr>
                <w:b w:val="0"/>
                <w:sz w:val="18"/>
              </w:rPr>
              <w:t>Bloque P — Performance comercial (P1–P14, P1b)</w:t>
            </w:r>
          </w:p>
        </w:tc>
        <w:tc>
          <w:tcPr>
            <w:tcW w:type="dxa" w:w="1020"/>
          </w:tcPr>
          <w:p>
            <w:r/>
            <w:r>
              <w:rPr>
                <w:b w:val="0"/>
                <w:sz w:val="18"/>
              </w:rPr>
              <w:t>15</w:t>
            </w:r>
          </w:p>
        </w:tc>
        <w:tc>
          <w:tcPr>
            <w:tcW w:type="dxa" w:w="5329"/>
          </w:tcPr>
          <w:p>
            <w:r/>
            <w:r>
              <w:rPr>
                <w:b w:val="0"/>
                <w:sz w:val="18"/>
              </w:rPr>
              <w:t>Variable dependiente del objetivo (f) del proyecto madre; validación externa del índice; insumo de IV1. No puntúa dimensiones ISCAM</w:t>
            </w:r>
          </w:p>
        </w:tc>
      </w:tr>
      <w:tr>
        <w:tc>
          <w:tcPr>
            <w:tcW w:type="dxa" w:w="3175"/>
          </w:tcPr>
          <w:p>
            <w:r/>
            <w:r>
              <w:rPr>
                <w:b w:val="0"/>
                <w:sz w:val="18"/>
              </w:rPr>
              <w:t>D1–D11 (dimensiones EUDR)</w:t>
            </w:r>
          </w:p>
        </w:tc>
        <w:tc>
          <w:tcPr>
            <w:tcW w:type="dxa" w:w="1020"/>
          </w:tcPr>
          <w:p>
            <w:r/>
            <w:r>
              <w:rPr>
                <w:b w:val="0"/>
                <w:sz w:val="18"/>
              </w:rPr>
              <w:t>68</w:t>
            </w:r>
          </w:p>
        </w:tc>
        <w:tc>
          <w:tcPr>
            <w:tcW w:type="dxa" w:w="5329"/>
          </w:tcPr>
          <w:p>
            <w:r/>
            <w:r>
              <w:rPr>
                <w:b w:val="0"/>
                <w:sz w:val="18"/>
              </w:rPr>
              <w:t>Dimensiones del índice. D10 es bandera y D11 inventario: se reportan aparte, no promedian</w:t>
            </w:r>
          </w:p>
        </w:tc>
      </w:tr>
      <w:tr>
        <w:tc>
          <w:tcPr>
            <w:tcW w:type="dxa" w:w="3175"/>
          </w:tcPr>
          <w:p>
            <w:r/>
            <w:r>
              <w:rPr>
                <w:b w:val="0"/>
                <w:sz w:val="18"/>
              </w:rPr>
              <w:t>Pacto Verde — versión mínima (D12.42, D13.45, D14.51, D15.58)</w:t>
            </w:r>
          </w:p>
        </w:tc>
        <w:tc>
          <w:tcPr>
            <w:tcW w:type="dxa" w:w="1020"/>
          </w:tcPr>
          <w:p>
            <w:r/>
            <w:r>
              <w:rPr>
                <w:b w:val="0"/>
                <w:sz w:val="18"/>
              </w:rPr>
              <w:t>4</w:t>
            </w:r>
          </w:p>
        </w:tc>
        <w:tc>
          <w:tcPr>
            <w:tcW w:type="dxa" w:w="5329"/>
          </w:tcPr>
          <w:p>
            <w:r/>
            <w:r>
              <w:rPr>
                <w:b w:val="0"/>
                <w:sz w:val="18"/>
              </w:rPr>
              <w:t>ISA-PactoVerde (30% de ISA-Completo)</w:t>
            </w:r>
          </w:p>
        </w:tc>
      </w:tr>
      <w:tr>
        <w:tc>
          <w:tcPr>
            <w:tcW w:type="dxa" w:w="3175"/>
          </w:tcPr>
          <w:p>
            <w:r/>
            <w:r>
              <w:rPr>
                <w:b w:val="0"/>
                <w:sz w:val="18"/>
              </w:rPr>
              <w:t>PPWR — Envases (PP1–PP2)</w:t>
            </w:r>
          </w:p>
        </w:tc>
        <w:tc>
          <w:tcPr>
            <w:tcW w:type="dxa" w:w="1020"/>
          </w:tcPr>
          <w:p>
            <w:r/>
            <w:r>
              <w:rPr>
                <w:b w:val="0"/>
                <w:sz w:val="18"/>
              </w:rPr>
              <w:t>2</w:t>
            </w:r>
          </w:p>
        </w:tc>
        <w:tc>
          <w:tcPr>
            <w:tcW w:type="dxa" w:w="5329"/>
          </w:tcPr>
          <w:p>
            <w:r/>
            <w:r>
              <w:rPr>
                <w:b w:val="0"/>
                <w:sz w:val="18"/>
              </w:rPr>
              <w:t>Ponderador de envases del índice de Pacto Verde</w:t>
            </w:r>
          </w:p>
        </w:tc>
      </w:tr>
      <w:tr>
        <w:tc>
          <w:tcPr>
            <w:tcW w:type="dxa" w:w="3175"/>
          </w:tcPr>
          <w:p>
            <w:r/>
            <w:r>
              <w:rPr>
                <w:b w:val="0"/>
                <w:sz w:val="18"/>
              </w:rPr>
              <w:t>Bloque R — Indicadores PVE (R1–R10)</w:t>
            </w:r>
          </w:p>
        </w:tc>
        <w:tc>
          <w:tcPr>
            <w:tcW w:type="dxa" w:w="1020"/>
          </w:tcPr>
          <w:p>
            <w:r/>
            <w:r>
              <w:rPr>
                <w:b w:val="0"/>
                <w:sz w:val="18"/>
              </w:rPr>
              <w:t>10</w:t>
            </w:r>
          </w:p>
        </w:tc>
        <w:tc>
          <w:tcPr>
            <w:tcW w:type="dxa" w:w="5329"/>
          </w:tcPr>
          <w:p>
            <w:r/>
            <w:r>
              <w:rPr>
                <w:b w:val="0"/>
                <w:sz w:val="18"/>
              </w:rPr>
              <w:t>Indicadores del índice de Pacto Verde; indicador de validación externa, no insumo del índice</w:t>
            </w:r>
          </w:p>
        </w:tc>
      </w:tr>
      <w:tr>
        <w:tc>
          <w:tcPr>
            <w:tcW w:type="dxa" w:w="3175"/>
          </w:tcPr>
          <w:p>
            <w:r/>
            <w:r>
              <w:rPr>
                <w:b/>
                <w:sz w:val="18"/>
              </w:rPr>
              <w:t>Total</w:t>
            </w:r>
          </w:p>
        </w:tc>
        <w:tc>
          <w:tcPr>
            <w:tcW w:type="dxa" w:w="1020"/>
          </w:tcPr>
          <w:p>
            <w:r/>
            <w:r>
              <w:rPr>
                <w:b/>
                <w:sz w:val="18"/>
              </w:rPr>
              <w:t>119</w:t>
            </w:r>
          </w:p>
        </w:tc>
        <w:tc>
          <w:tcPr>
            <w:tcW w:type="dxa" w:w="5329"/>
          </w:tcPr>
          <w:p>
            <w:r/>
            <w:r>
              <w:rPr>
                <w:b w:val="0"/>
                <w:sz w:val="18"/>
              </w:rPr>
              <w:t>3 metadata + 116 de instrumento</w:t>
            </w:r>
          </w:p>
        </w:tc>
      </w:tr>
    </w:tbl>
    <w:p>
      <w:pPr>
        <w:spacing w:after="40"/>
      </w:pPr>
    </w:p>
    <w:p>
      <w:pPr>
        <w:spacing w:after="120"/>
      </w:pPr>
      <w:r>
        <w:rPr>
          <w:b w:val="0"/>
        </w:rPr>
        <w:t>Esta primera versión agregó 30 preguntas y modificó 5, cerrando los huecos de cobertura detectados en una revisión pregunta por pregunta contra el índice. El detalle de cada pregunta con su destino está en el mapa de correspondencia de la hoja de cálculo (119 filas, filtrables por bloque).</w:t>
      </w:r>
    </w:p>
    <w:p>
      <w:pPr>
        <w:pStyle w:val="Heading2"/>
      </w:pPr>
      <w:r>
        <w:t>1.2 Escalas, codificación y ramas</w:t>
      </w:r>
    </w:p>
    <w:tbl>
      <w:tblPr>
        <w:tblStyle w:val="TableGrid"/>
        <w:tblW w:type="auto" w:w="0"/>
        <w:tblLook w:firstColumn="1" w:firstRow="1" w:lastColumn="0" w:lastRow="0" w:noHBand="0" w:noVBand="1" w:val="04A0"/>
      </w:tblPr>
      <w:tblGrid>
        <w:gridCol w:w="2880"/>
        <w:gridCol w:w="2880"/>
        <w:gridCol w:w="2880"/>
      </w:tblGrid>
      <w:tr>
        <w:tc>
          <w:tcPr>
            <w:tcW w:type="dxa" w:w="3628"/>
            <w:shd w:val="clear" w:fill="D9E2F3"/>
          </w:tcPr>
          <w:p>
            <w:r>
              <w:rPr>
                <w:b/>
              </w:rPr>
            </w:r>
            <w:r>
              <w:rPr>
                <w:b/>
                <w:sz w:val="18"/>
              </w:rPr>
              <w:t>Escala</w:t>
            </w:r>
          </w:p>
        </w:tc>
        <w:tc>
          <w:tcPr>
            <w:tcW w:type="dxa" w:w="2835"/>
            <w:shd w:val="clear" w:fill="D9E2F3"/>
          </w:tcPr>
          <w:p>
            <w:r>
              <w:rPr>
                <w:b/>
              </w:rPr>
            </w:r>
            <w:r>
              <w:rPr>
                <w:b/>
                <w:sz w:val="18"/>
              </w:rPr>
              <w:t>Dónde se usa</w:t>
            </w:r>
          </w:p>
        </w:tc>
        <w:tc>
          <w:tcPr>
            <w:tcW w:type="dxa" w:w="3061"/>
            <w:shd w:val="clear" w:fill="D9E2F3"/>
          </w:tcPr>
          <w:p>
            <w:r>
              <w:rPr>
                <w:b/>
              </w:rPr>
            </w:r>
            <w:r>
              <w:rPr>
                <w:b/>
                <w:sz w:val="18"/>
              </w:rPr>
              <w:t>Conversión al índice</w:t>
            </w:r>
          </w:p>
        </w:tc>
      </w:tr>
      <w:tr>
        <w:tc>
          <w:tcPr>
            <w:tcW w:type="dxa" w:w="3628"/>
          </w:tcPr>
          <w:p>
            <w:r/>
            <w:r>
              <w:rPr>
                <w:b w:val="0"/>
                <w:sz w:val="18"/>
              </w:rPr>
              <w:t>Ordinal 0–4 con leyenda única (0 = No existe/No sabe · 1 = Informal o parcial · 2 = En desarrollo · 3 = Implementado · 4 = Implementado y verificado/auditado)</w:t>
            </w:r>
          </w:p>
        </w:tc>
        <w:tc>
          <w:tcPr>
            <w:tcW w:type="dxa" w:w="2835"/>
          </w:tcPr>
          <w:p>
            <w:r/>
            <w:r>
              <w:rPr>
                <w:b w:val="0"/>
                <w:sz w:val="18"/>
              </w:rPr>
              <w:t>D2.5, D2.7, D3.13, D4.16, D5.18, D5.18a, D8.29</w:t>
            </w:r>
          </w:p>
        </w:tc>
        <w:tc>
          <w:tcPr>
            <w:tcW w:type="dxa" w:w="3061"/>
          </w:tcPr>
          <w:p>
            <w:r/>
            <w:r>
              <w:rPr>
                <w:b w:val="0"/>
                <w:sz w:val="18"/>
              </w:rPr>
              <w:t>x25 → escala 0–100</w:t>
            </w:r>
          </w:p>
        </w:tc>
      </w:tr>
      <w:tr>
        <w:tc>
          <w:tcPr>
            <w:tcW w:type="dxa" w:w="3628"/>
          </w:tcPr>
          <w:p>
            <w:r/>
            <w:r>
              <w:rPr>
                <w:b w:val="0"/>
                <w:sz w:val="18"/>
              </w:rPr>
              <w:t>Tres niveles 0 / 1 / 2</w:t>
            </w:r>
          </w:p>
        </w:tc>
        <w:tc>
          <w:tcPr>
            <w:tcW w:type="dxa" w:w="2835"/>
          </w:tcPr>
          <w:p>
            <w:r/>
            <w:r>
              <w:rPr>
                <w:b w:val="0"/>
                <w:sz w:val="18"/>
              </w:rPr>
              <w:t>D12.42, D13.45, D14.51, D15.58</w:t>
            </w:r>
          </w:p>
        </w:tc>
        <w:tc>
          <w:tcPr>
            <w:tcW w:type="dxa" w:w="3061"/>
          </w:tcPr>
          <w:p>
            <w:r/>
            <w:r>
              <w:rPr>
                <w:b w:val="0"/>
                <w:sz w:val="18"/>
              </w:rPr>
              <w:t>Directo a la dimensión Pacto Verde; /2 → 0–1; x100 al componer ISA-Completo</w:t>
            </w:r>
          </w:p>
        </w:tc>
      </w:tr>
      <w:tr>
        <w:tc>
          <w:tcPr>
            <w:tcW w:type="dxa" w:w="3628"/>
          </w:tcPr>
          <w:p>
            <w:r/>
            <w:r>
              <w:rPr>
                <w:b w:val="0"/>
                <w:sz w:val="18"/>
              </w:rPr>
              <w:t>Porcentaje 0–100</w:t>
            </w:r>
          </w:p>
        </w:tc>
        <w:tc>
          <w:tcPr>
            <w:tcW w:type="dxa" w:w="2835"/>
          </w:tcPr>
          <w:p>
            <w:r/>
            <w:r>
              <w:rPr>
                <w:b w:val="0"/>
                <w:sz w:val="18"/>
              </w:rPr>
              <w:t>B0.7, B0.12, D2.6, D3.11, D8.30, P11, R1–R10</w:t>
            </w:r>
          </w:p>
        </w:tc>
        <w:tc>
          <w:tcPr>
            <w:tcW w:type="dxa" w:w="3061"/>
          </w:tcPr>
          <w:p>
            <w:r/>
            <w:r>
              <w:rPr>
                <w:b w:val="0"/>
                <w:sz w:val="18"/>
              </w:rPr>
              <w:t>Directo</w:t>
            </w:r>
          </w:p>
        </w:tc>
      </w:tr>
      <w:tr>
        <w:tc>
          <w:tcPr>
            <w:tcW w:type="dxa" w:w="3628"/>
          </w:tcPr>
          <w:p>
            <w:r/>
            <w:r>
              <w:rPr>
                <w:b w:val="0"/>
                <w:sz w:val="18"/>
              </w:rPr>
              <w:t>Categórica ordinal</w:t>
            </w:r>
          </w:p>
        </w:tc>
        <w:tc>
          <w:tcPr>
            <w:tcW w:type="dxa" w:w="2835"/>
          </w:tcPr>
          <w:p>
            <w:r/>
            <w:r>
              <w:rPr>
                <w:b w:val="0"/>
                <w:sz w:val="18"/>
              </w:rPr>
              <w:t>Resto de preguntas de opción múltiple</w:t>
            </w:r>
          </w:p>
        </w:tc>
        <w:tc>
          <w:tcPr>
            <w:tcW w:type="dxa" w:w="3061"/>
          </w:tcPr>
          <w:p>
            <w:r/>
            <w:r>
              <w:rPr>
                <w:b w:val="0"/>
                <w:sz w:val="18"/>
              </w:rPr>
              <w:t>Primera opción = mejor; verificar excepciones documentadas (D2.9, D4.15) contra la tabla de codificación</w:t>
            </w:r>
          </w:p>
        </w:tc>
      </w:tr>
      <w:tr>
        <w:tc>
          <w:tcPr>
            <w:tcW w:type="dxa" w:w="3628"/>
          </w:tcPr>
          <w:p>
            <w:r/>
            <w:r>
              <w:rPr>
                <w:b w:val="0"/>
                <w:sz w:val="18"/>
              </w:rPr>
              <w:t>Banderas y texto libre</w:t>
            </w:r>
          </w:p>
        </w:tc>
        <w:tc>
          <w:tcPr>
            <w:tcW w:type="dxa" w:w="2835"/>
          </w:tcPr>
          <w:p>
            <w:r/>
            <w:r>
              <w:rPr>
                <w:b w:val="0"/>
                <w:sz w:val="18"/>
              </w:rPr>
              <w:t>D2.10, D2.5b, D3.14i, D4.15a, D7.28, D10.36, D15.60; D5.19a, D7.28c, D11.38/39</w:t>
            </w:r>
          </w:p>
        </w:tc>
        <w:tc>
          <w:tcPr>
            <w:tcW w:type="dxa" w:w="3061"/>
          </w:tcPr>
          <w:p>
            <w:r/>
            <w:r>
              <w:rPr>
                <w:b w:val="0"/>
                <w:sz w:val="18"/>
              </w:rPr>
              <w:t>No promedian: se reportan por separado</w:t>
            </w:r>
          </w:p>
        </w:tc>
      </w:tr>
    </w:tbl>
    <w:p>
      <w:pPr>
        <w:spacing w:after="40"/>
      </w:pPr>
    </w:p>
    <w:p>
      <w:pPr>
        <w:spacing w:after="120"/>
      </w:pPr>
      <w:r>
        <w:rPr>
          <w:b/>
        </w:rPr>
        <w:t>Ramas condicionales</w:t>
      </w:r>
      <w:r>
        <w:rPr>
          <w:b w:val="0"/>
        </w:rPr>
        <w:t xml:space="preserve"> (si la rama no aplica, la respuesta queda vacía —no se inventa valor—): B0.5 → B0.6; P8 → P9; D1.3 → D1.3a; D2.5a → D2.5b; D6.25a → D6.25b; D7.28b → D7.28c.</w:t>
      </w:r>
    </w:p>
    <w:p>
      <w:pPr>
        <w:pStyle w:val="Heading2"/>
      </w:pPr>
      <w:r>
        <w:t>1.3 Diseño sin sesgo hacia el café</w:t>
      </w:r>
    </w:p>
    <w:p>
      <w:pPr>
        <w:spacing w:after="120"/>
      </w:pPr>
      <w:r>
        <w:rPr>
          <w:b w:val="0"/>
        </w:rPr>
        <w:t>El instrumento aplica por igual a café y cacao. Las decisiones de redacción que lo garantizan:</w:t>
      </w:r>
    </w:p>
    <w:p>
      <w:pPr>
        <w:pStyle w:val="ListBullet"/>
        <w:spacing w:after="60"/>
      </w:pPr>
      <w:r>
        <w:rPr>
          <w:b/>
          <w:sz w:val="20"/>
        </w:rPr>
        <w:t>Producto abierto:</w:t>
      </w:r>
      <w:r>
        <w:rPr>
          <w:b w:val="0"/>
          <w:sz w:val="20"/>
        </w:rPr>
        <w:t xml:space="preserve"> B0.3 pregunta el producto exportado y su código SA sin opción predeterminada. La distribución del marco real es 80 café / 83 cacao / 1 plátano / 10 sin dato (49% / 51%).</w:t>
      </w:r>
    </w:p>
    <w:p>
      <w:pPr>
        <w:pStyle w:val="ListBullet"/>
        <w:spacing w:after="60"/>
      </w:pPr>
      <w:r>
        <w:rPr>
          <w:b/>
          <w:sz w:val="20"/>
        </w:rPr>
        <w:t>D12.42 (huella de carbono)</w:t>
      </w:r>
      <w:r>
        <w:rPr>
          <w:b w:val="0"/>
          <w:sz w:val="20"/>
        </w:rPr>
        <w:t xml:space="preserve"> no depende de CalCafé v2.1 —calculadora validada solo para café (PromPerú / PUCP-PELCAN)—: pregunta si la organización "mide o ha calculado" su huella (alcance 1 y 2), con verificación por tercero como nivel máximo.</w:t>
      </w:r>
    </w:p>
    <w:p>
      <w:pPr>
        <w:pStyle w:val="ListBullet"/>
        <w:spacing w:after="60"/>
      </w:pPr>
      <w:r>
        <w:rPr>
          <w:b/>
          <w:sz w:val="20"/>
        </w:rPr>
        <w:t>D15.58 (fitosanitario/LMR)</w:t>
      </w:r>
      <w:r>
        <w:rPr>
          <w:b w:val="0"/>
          <w:sz w:val="20"/>
        </w:rPr>
        <w:t xml:space="preserve"> aplica a ambos productos y cierra el módulo Farm to Fork, que estaba sesgado al café por la dependencia de CalCafé.</w:t>
      </w:r>
    </w:p>
    <w:p>
      <w:pPr>
        <w:pStyle w:val="ListBullet"/>
        <w:spacing w:after="60"/>
      </w:pPr>
      <w:r>
        <w:rPr>
          <w:b/>
          <w:sz w:val="20"/>
        </w:rPr>
        <w:t>D14.51</w:t>
      </w:r>
      <w:r>
        <w:rPr>
          <w:b w:val="0"/>
          <w:sz w:val="20"/>
        </w:rPr>
        <w:t xml:space="preserve"> dice "pulpa o cáscara" (aplica a café y cacao), no "trilla" (específico de café).</w:t>
      </w:r>
    </w:p>
    <w:p>
      <w:pPr>
        <w:pStyle w:val="ListBullet"/>
        <w:spacing w:after="60"/>
      </w:pPr>
      <w:r>
        <w:rPr>
          <w:b/>
          <w:sz w:val="20"/>
        </w:rPr>
        <w:t>R5</w:t>
      </w:r>
      <w:r>
        <w:rPr>
          <w:b w:val="0"/>
          <w:sz w:val="20"/>
        </w:rPr>
        <w:t xml:space="preserve"> dice "distintos del café o cacao", no "distintos del café".</w:t>
      </w:r>
    </w:p>
    <w:p>
      <w:pPr>
        <w:pStyle w:val="ListBullet"/>
        <w:spacing w:after="60"/>
      </w:pPr>
      <w:r>
        <w:rPr>
          <w:b/>
          <w:sz w:val="20"/>
        </w:rPr>
        <w:t>Ninguna fórmula del índice usa el producto como criterio</w:t>
      </w:r>
      <w:r>
        <w:rPr>
          <w:b w:val="0"/>
          <w:sz w:val="20"/>
        </w:rPr>
        <w:t xml:space="preserve"> de cálculo o filtro; la paridad se verifica con un corte por producto (§2.6).</w:t>
      </w:r>
    </w:p>
    <w:p>
      <w:pPr>
        <w:pStyle w:val="Heading2"/>
      </w:pPr>
      <w:r>
        <w:t>1.4 Datos faltantes: regla y umbral</w:t>
      </w:r>
    </w:p>
    <w:p>
      <w:pPr>
        <w:pStyle w:val="ListBullet"/>
        <w:spacing w:after="60"/>
      </w:pPr>
      <w:r>
        <w:rPr>
          <w:b w:val="0"/>
          <w:sz w:val="20"/>
        </w:rPr>
        <w:t>Nunca imputar. Una dimensión completa sin respuesta es, con alta probabilidad, MNAR (la ausencia depende del propio valor no observado): imputar con la media sesgaría el índice hacia arriba exactamente donde debería mostrar el vacío.</w:t>
      </w:r>
    </w:p>
    <w:p>
      <w:pPr>
        <w:pStyle w:val="ListBullet"/>
        <w:spacing w:after="60"/>
      </w:pPr>
      <w:r>
        <w:rPr>
          <w:b w:val="0"/>
          <w:sz w:val="20"/>
        </w:rPr>
        <w:t>Dimensión con respuesta parcial: promediar sobre las preguntas efectivamente respondidas.</w:t>
      </w:r>
    </w:p>
    <w:p>
      <w:pPr>
        <w:pStyle w:val="ListBullet"/>
        <w:spacing w:after="60"/>
      </w:pPr>
      <w:r>
        <w:rPr>
          <w:b w:val="0"/>
          <w:sz w:val="20"/>
        </w:rPr>
        <w:t>Dimensión totalmente ausente en una organización que sí alcanza el umbral general: excluirla y re-ponderar proporcionalmente las restantes de su bloque.</w:t>
      </w:r>
    </w:p>
    <w:p>
      <w:pPr>
        <w:pStyle w:val="ListBullet"/>
        <w:spacing w:after="60"/>
      </w:pPr>
      <w:r>
        <w:rPr>
          <w:b w:val="0"/>
          <w:sz w:val="20"/>
        </w:rPr>
        <w:t>Umbral mínimo ISA-EUDR: 7 de 9 dimensiones con al menos el 70% de sus preguntas de escala respondidas; si no, la organización se reporta como "diagnóstico EUDR incompleto".</w:t>
      </w:r>
    </w:p>
    <w:p>
      <w:pPr>
        <w:pStyle w:val="ListBullet"/>
        <w:spacing w:after="60"/>
      </w:pPr>
      <w:r>
        <w:rPr>
          <w:b w:val="0"/>
          <w:sz w:val="20"/>
        </w:rPr>
        <w:t>Umbral mínimo ISA-PactoVerde: 3 de 4 dimensiones Pacto Verde con al menos el 70% respondido.</w:t>
      </w:r>
    </w:p>
    <w:p>
      <w:pPr>
        <w:pStyle w:val="ListBullet"/>
        <w:spacing w:after="60"/>
      </w:pPr>
      <w:r>
        <w:rPr>
          <w:b w:val="0"/>
          <w:sz w:val="20"/>
        </w:rPr>
        <w:t>Distinguir "ausente" (se excluye y re-pondera) de "cero real" (se mantiene; en el bloque núcleo geométrico anula el producto — es la señal que el método busca mostrar).</w:t>
      </w:r>
    </w:p>
    <w:p>
      <w:pPr>
        <w:pStyle w:val="ListBullet"/>
        <w:spacing w:after="60"/>
      </w:pPr>
      <w:r>
        <w:rPr>
          <w:b w:val="0"/>
          <w:sz w:val="20"/>
        </w:rPr>
        <w:t>Regla operativa en la hoja de cálculo: sin dato se trata como 0 y el semáforo muestra "sin instrumento" —la ausencia de dato no implica cumplimiento—.</w:t>
      </w:r>
    </w:p>
    <w:p>
      <w:pPr>
        <w:pStyle w:val="Heading2"/>
      </w:pPr>
      <w:r>
        <w:t>1.5 Trazabilidad del diseño (de dónde salió cada pregunta nueva)</w:t>
      </w:r>
    </w:p>
    <w:tbl>
      <w:tblPr>
        <w:tblStyle w:val="TableGrid"/>
        <w:tblW w:type="auto" w:w="0"/>
        <w:tblLook w:firstColumn="1" w:firstRow="1" w:lastColumn="0" w:lastRow="0" w:noHBand="0" w:noVBand="1" w:val="04A0"/>
      </w:tblPr>
      <w:tblGrid>
        <w:gridCol w:w="2880"/>
        <w:gridCol w:w="2880"/>
        <w:gridCol w:w="2880"/>
      </w:tblGrid>
      <w:tr>
        <w:tc>
          <w:tcPr>
            <w:tcW w:type="dxa" w:w="2608"/>
            <w:shd w:val="clear" w:fill="D9E2F3"/>
          </w:tcPr>
          <w:p>
            <w:r>
              <w:rPr>
                <w:b/>
              </w:rPr>
            </w:r>
            <w:r>
              <w:rPr>
                <w:b/>
                <w:sz w:val="18"/>
              </w:rPr>
              <w:t>Origen de la necesidad</w:t>
            </w:r>
          </w:p>
        </w:tc>
        <w:tc>
          <w:tcPr>
            <w:tcW w:type="dxa" w:w="5669"/>
            <w:shd w:val="clear" w:fill="D9E2F3"/>
          </w:tcPr>
          <w:p>
            <w:r>
              <w:rPr>
                <w:b/>
              </w:rPr>
            </w:r>
            <w:r>
              <w:rPr>
                <w:b/>
                <w:sz w:val="18"/>
              </w:rPr>
              <w:t>Preguntas agregadas</w:t>
            </w:r>
          </w:p>
        </w:tc>
        <w:tc>
          <w:tcPr>
            <w:tcW w:type="dxa" w:w="567"/>
            <w:shd w:val="clear" w:fill="D9E2F3"/>
          </w:tcPr>
          <w:p>
            <w:r>
              <w:rPr>
                <w:b/>
              </w:rPr>
            </w:r>
            <w:r>
              <w:rPr>
                <w:b/>
                <w:sz w:val="18"/>
              </w:rPr>
              <w:t>N</w:t>
            </w:r>
          </w:p>
        </w:tc>
      </w:tr>
      <w:tr>
        <w:tc>
          <w:tcPr>
            <w:tcW w:type="dxa" w:w="2608"/>
          </w:tcPr>
          <w:p>
            <w:r/>
            <w:r>
              <w:rPr>
                <w:b w:val="0"/>
                <w:sz w:val="18"/>
              </w:rPr>
              <w:t>Variables del cuestionario de verificación rápida que no tenían pregunta en el instrumento</w:t>
            </w:r>
          </w:p>
        </w:tc>
        <w:tc>
          <w:tcPr>
            <w:tcW w:type="dxa" w:w="5669"/>
          </w:tcPr>
          <w:p>
            <w:r/>
            <w:r>
              <w:rPr>
                <w:b w:val="0"/>
                <w:sz w:val="18"/>
              </w:rPr>
              <w:t>B0.17 (RNCA) · D2.5a / D2.5b (proveedores externos no socios y su trazabilidad) · D3.14h (autorizaciones ambientales) · D3.14i (sanción ambiental vigente) · D4.15a (alertas de deforestación) · D6.22c (personal de datos) · D7.26a / D7.26b (comprador UE/CSDDD y cláusula contractual) · D10.36a (asesoría EUDR específica) · D11.39a (plataforma de trazabilidad del sector) · PP1 / PP2 (tipo de saco y certificación FSC)</w:t>
            </w:r>
          </w:p>
        </w:tc>
        <w:tc>
          <w:tcPr>
            <w:tcW w:type="dxa" w:w="567"/>
          </w:tcPr>
          <w:p>
            <w:r/>
            <w:r>
              <w:rPr>
                <w:b w:val="0"/>
                <w:sz w:val="18"/>
              </w:rPr>
              <w:t>13</w:t>
            </w:r>
          </w:p>
        </w:tc>
      </w:tr>
      <w:tr>
        <w:tc>
          <w:tcPr>
            <w:tcW w:type="dxa" w:w="2608"/>
          </w:tcPr>
          <w:p>
            <w:r/>
            <w:r>
              <w:rPr>
                <w:b w:val="0"/>
                <w:sz w:val="18"/>
              </w:rPr>
              <w:t>Dimensiones Pacto Verde sin dato (30% de ISA-Completo sin fuente)</w:t>
            </w:r>
          </w:p>
        </w:tc>
        <w:tc>
          <w:tcPr>
            <w:tcW w:type="dxa" w:w="5669"/>
          </w:tcPr>
          <w:p>
            <w:r/>
            <w:r>
              <w:rPr>
                <w:b w:val="0"/>
                <w:sz w:val="18"/>
              </w:rPr>
              <w:t>D12.42 (huella de carbono) · D13.45 (reporte de sostenibilidad) · D14.51 (gestión de residuos) · D15.58 (monitoreo LMR)</w:t>
            </w:r>
          </w:p>
        </w:tc>
        <w:tc>
          <w:tcPr>
            <w:tcW w:type="dxa" w:w="567"/>
          </w:tcPr>
          <w:p>
            <w:r/>
            <w:r>
              <w:rPr>
                <w:b w:val="0"/>
                <w:sz w:val="18"/>
              </w:rPr>
              <w:t>4</w:t>
            </w:r>
          </w:p>
        </w:tc>
      </w:tr>
      <w:tr>
        <w:tc>
          <w:tcPr>
            <w:tcW w:type="dxa" w:w="2608"/>
          </w:tcPr>
          <w:p>
            <w:r/>
            <w:r>
              <w:rPr>
                <w:b w:val="0"/>
                <w:sz w:val="18"/>
              </w:rPr>
              <w:t>Indicadores del índice de Pacto Verde sin pregunta fuente</w:t>
            </w:r>
          </w:p>
        </w:tc>
        <w:tc>
          <w:tcPr>
            <w:tcW w:type="dxa" w:w="5669"/>
          </w:tcPr>
          <w:p>
            <w:r/>
            <w:r>
              <w:rPr>
                <w:b w:val="0"/>
                <w:sz w:val="18"/>
              </w:rPr>
              <w:t>R1–R10 (crédito, formalización, capacitación, retención, diversificación, premium, inversión EUDR, reclamos, energía renovable, residuos)</w:t>
            </w:r>
          </w:p>
        </w:tc>
        <w:tc>
          <w:tcPr>
            <w:tcW w:type="dxa" w:w="567"/>
          </w:tcPr>
          <w:p>
            <w:r/>
            <w:r>
              <w:rPr>
                <w:b w:val="0"/>
                <w:sz w:val="18"/>
              </w:rPr>
              <w:t>10</w:t>
            </w:r>
          </w:p>
        </w:tc>
      </w:tr>
      <w:tr>
        <w:tc>
          <w:tcPr>
            <w:tcW w:type="dxa" w:w="2608"/>
          </w:tcPr>
          <w:p>
            <w:r/>
            <w:r>
              <w:rPr>
                <w:b w:val="0"/>
                <w:sz w:val="18"/>
              </w:rPr>
              <w:t>Campos de ficha que la hoja usaba como proxy de vulnerabilidad</w:t>
            </w:r>
          </w:p>
        </w:tc>
        <w:tc>
          <w:tcPr>
            <w:tcW w:type="dxa" w:w="5669"/>
          </w:tcPr>
          <w:p>
            <w:r/>
            <w:r>
              <w:rPr>
                <w:b w:val="0"/>
                <w:sz w:val="18"/>
              </w:rPr>
              <w:t>B0.15 (tipo de organización) · B0.16 (departamento)</w:t>
            </w:r>
          </w:p>
        </w:tc>
        <w:tc>
          <w:tcPr>
            <w:tcW w:type="dxa" w:w="567"/>
          </w:tcPr>
          <w:p>
            <w:r/>
            <w:r>
              <w:rPr>
                <w:b w:val="0"/>
                <w:sz w:val="18"/>
              </w:rPr>
              <w:t>2</w:t>
            </w:r>
          </w:p>
        </w:tc>
      </w:tr>
      <w:tr>
        <w:tc>
          <w:tcPr>
            <w:tcW w:type="dxa" w:w="2608"/>
          </w:tcPr>
          <w:p>
            <w:r/>
            <w:r>
              <w:rPr>
                <w:b w:val="0"/>
                <w:sz w:val="18"/>
              </w:rPr>
              <w:t>Redacción: rol EUDR explícito como rama de D1.3</w:t>
            </w:r>
          </w:p>
        </w:tc>
        <w:tc>
          <w:tcPr>
            <w:tcW w:type="dxa" w:w="5669"/>
          </w:tcPr>
          <w:p>
            <w:r/>
            <w:r>
              <w:rPr>
                <w:b w:val="0"/>
                <w:sz w:val="18"/>
              </w:rPr>
              <w:t>D1.3a</w:t>
            </w:r>
          </w:p>
        </w:tc>
        <w:tc>
          <w:tcPr>
            <w:tcW w:type="dxa" w:w="567"/>
          </w:tcPr>
          <w:p>
            <w:r/>
            <w:r>
              <w:rPr>
                <w:b w:val="0"/>
                <w:sz w:val="18"/>
              </w:rPr>
              <w:t>1</w:t>
            </w:r>
          </w:p>
        </w:tc>
      </w:tr>
      <w:tr>
        <w:tc>
          <w:tcPr>
            <w:tcW w:type="dxa" w:w="2608"/>
          </w:tcPr>
          <w:p>
            <w:r/>
            <w:r>
              <w:rPr>
                <w:b/>
                <w:sz w:val="18"/>
              </w:rPr>
              <w:t>Total preguntas nuevas</w:t>
            </w:r>
          </w:p>
        </w:tc>
        <w:tc>
          <w:tcPr>
            <w:tcW w:type="dxa" w:w="5669"/>
          </w:tcPr>
          <w:p>
            <w:r/>
          </w:p>
        </w:tc>
        <w:tc>
          <w:tcPr>
            <w:tcW w:type="dxa" w:w="567"/>
          </w:tcPr>
          <w:p>
            <w:r/>
            <w:r>
              <w:rPr>
                <w:b/>
                <w:sz w:val="18"/>
              </w:rPr>
              <w:t>30</w:t>
            </w:r>
          </w:p>
        </w:tc>
      </w:tr>
    </w:tbl>
    <w:p>
      <w:pPr>
        <w:spacing w:after="40"/>
      </w:pPr>
    </w:p>
    <w:p>
      <w:pPr>
        <w:spacing w:after="120"/>
      </w:pPr>
      <w:r>
        <w:rPr>
          <w:b w:val="0"/>
        </w:rPr>
        <w:t>Además se modificaron 5 preguntas para eliminar ambigüedad: B0.8 (destinos dentro y fuera de la UE, principal primero), D3.12 (opción explícita de área natural protegida / zona de amortiguamiento), D4.15 (precisa el cruce con mapas de deforestación), D6.22 (distingue partida de tecnología y datos) y D9.34 (incluye fuente de financiamiento identificada).</w:t>
      </w:r>
    </w:p>
    <w:p>
      <w:pPr>
        <w:pStyle w:val="Heading2"/>
      </w:pPr>
      <w:r>
        <w:t>1.6 Correspondencia pregunta a destino en el índice</w:t>
      </w:r>
    </w:p>
    <w:tbl>
      <w:tblPr>
        <w:tblStyle w:val="TableGrid"/>
        <w:tblW w:type="auto" w:w="0"/>
        <w:tblLook w:firstColumn="1" w:firstRow="1" w:lastColumn="0" w:lastRow="0" w:noHBand="0" w:noVBand="1" w:val="04A0"/>
      </w:tblPr>
      <w:tblGrid>
        <w:gridCol w:w="2880"/>
        <w:gridCol w:w="2880"/>
        <w:gridCol w:w="2880"/>
      </w:tblGrid>
      <w:tr>
        <w:tc>
          <w:tcPr>
            <w:tcW w:type="dxa" w:w="2381"/>
            <w:shd w:val="clear" w:fill="D9E2F3"/>
          </w:tcPr>
          <w:p>
            <w:r>
              <w:rPr>
                <w:b/>
              </w:rPr>
            </w:r>
            <w:r>
              <w:rPr>
                <w:b/>
                <w:sz w:val="18"/>
              </w:rPr>
              <w:t>Bloque</w:t>
            </w:r>
          </w:p>
        </w:tc>
        <w:tc>
          <w:tcPr>
            <w:tcW w:type="dxa" w:w="1020"/>
            <w:shd w:val="clear" w:fill="D9E2F3"/>
          </w:tcPr>
          <w:p>
            <w:r>
              <w:rPr>
                <w:b/>
              </w:rPr>
            </w:r>
            <w:r>
              <w:rPr>
                <w:b/>
                <w:sz w:val="18"/>
              </w:rPr>
              <w:t>Preguntas</w:t>
            </w:r>
          </w:p>
        </w:tc>
        <w:tc>
          <w:tcPr>
            <w:tcW w:type="dxa" w:w="5443"/>
            <w:shd w:val="clear" w:fill="D9E2F3"/>
          </w:tcPr>
          <w:p>
            <w:r>
              <w:rPr>
                <w:b/>
              </w:rPr>
            </w:r>
            <w:r>
              <w:rPr>
                <w:b/>
                <w:sz w:val="18"/>
              </w:rPr>
              <w:t>Destino principal en el índice</w:t>
            </w:r>
          </w:p>
        </w:tc>
      </w:tr>
      <w:tr>
        <w:tc>
          <w:tcPr>
            <w:tcW w:type="dxa" w:w="2381"/>
          </w:tcPr>
          <w:p>
            <w:r/>
            <w:r>
              <w:rPr>
                <w:b w:val="0"/>
                <w:sz w:val="18"/>
              </w:rPr>
              <w:t>Metadata</w:t>
            </w:r>
          </w:p>
        </w:tc>
        <w:tc>
          <w:tcPr>
            <w:tcW w:type="dxa" w:w="1020"/>
          </w:tcPr>
          <w:p>
            <w:r/>
            <w:r>
              <w:rPr>
                <w:b w:val="0"/>
                <w:sz w:val="18"/>
              </w:rPr>
              <w:t>3</w:t>
            </w:r>
          </w:p>
        </w:tc>
        <w:tc>
          <w:tcPr>
            <w:tcW w:type="dxa" w:w="5443"/>
          </w:tcPr>
          <w:p>
            <w:r/>
            <w:r>
              <w:rPr>
                <w:b w:val="0"/>
                <w:sz w:val="18"/>
              </w:rPr>
              <w:t>Columnas de auditoría de la aplicación</w:t>
            </w:r>
          </w:p>
        </w:tc>
      </w:tr>
      <w:tr>
        <w:tc>
          <w:tcPr>
            <w:tcW w:type="dxa" w:w="2381"/>
          </w:tcPr>
          <w:p>
            <w:r/>
            <w:r>
              <w:rPr>
                <w:b w:val="0"/>
                <w:sz w:val="18"/>
              </w:rPr>
              <w:t>Bloque 0</w:t>
            </w:r>
          </w:p>
        </w:tc>
        <w:tc>
          <w:tcPr>
            <w:tcW w:type="dxa" w:w="1020"/>
          </w:tcPr>
          <w:p>
            <w:r/>
            <w:r>
              <w:rPr>
                <w:b w:val="0"/>
                <w:sz w:val="18"/>
              </w:rPr>
              <w:t>17</w:t>
            </w:r>
          </w:p>
        </w:tc>
        <w:tc>
          <w:tcPr>
            <w:tcW w:type="dxa" w:w="5443"/>
          </w:tcPr>
          <w:p>
            <w:r/>
            <w:r>
              <w:rPr>
                <w:b w:val="0"/>
                <w:sz w:val="18"/>
              </w:rPr>
              <w:t>Marco muestral + insumos de IV1–IV5</w:t>
            </w:r>
          </w:p>
        </w:tc>
      </w:tr>
      <w:tr>
        <w:tc>
          <w:tcPr>
            <w:tcW w:type="dxa" w:w="2381"/>
          </w:tcPr>
          <w:p>
            <w:r/>
            <w:r>
              <w:rPr>
                <w:b w:val="0"/>
                <w:sz w:val="18"/>
              </w:rPr>
              <w:t>Bloque P</w:t>
            </w:r>
          </w:p>
        </w:tc>
        <w:tc>
          <w:tcPr>
            <w:tcW w:type="dxa" w:w="1020"/>
          </w:tcPr>
          <w:p>
            <w:r/>
            <w:r>
              <w:rPr>
                <w:b w:val="0"/>
                <w:sz w:val="18"/>
              </w:rPr>
              <w:t>15</w:t>
            </w:r>
          </w:p>
        </w:tc>
        <w:tc>
          <w:tcPr>
            <w:tcW w:type="dxa" w:w="5443"/>
          </w:tcPr>
          <w:p>
            <w:r/>
            <w:r>
              <w:rPr>
                <w:b w:val="0"/>
                <w:sz w:val="18"/>
              </w:rPr>
              <w:t>Insumos de IV1 y validación externa; no puntúa dimensiones</w:t>
            </w:r>
          </w:p>
        </w:tc>
      </w:tr>
      <w:tr>
        <w:tc>
          <w:tcPr>
            <w:tcW w:type="dxa" w:w="2381"/>
          </w:tcPr>
          <w:p>
            <w:r/>
            <w:r>
              <w:rPr>
                <w:b w:val="0"/>
                <w:sz w:val="18"/>
              </w:rPr>
              <w:t>D1–D11</w:t>
            </w:r>
          </w:p>
        </w:tc>
        <w:tc>
          <w:tcPr>
            <w:tcW w:type="dxa" w:w="1020"/>
          </w:tcPr>
          <w:p>
            <w:r/>
            <w:r>
              <w:rPr>
                <w:b w:val="0"/>
                <w:sz w:val="18"/>
              </w:rPr>
              <w:t>68</w:t>
            </w:r>
          </w:p>
        </w:tc>
        <w:tc>
          <w:tcPr>
            <w:tcW w:type="dxa" w:w="5443"/>
          </w:tcPr>
          <w:p>
            <w:r/>
            <w:r>
              <w:rPr>
                <w:b w:val="0"/>
                <w:sz w:val="18"/>
              </w:rPr>
              <w:t>Dimensiones del índice; banderas reportadas aparte</w:t>
            </w:r>
          </w:p>
        </w:tc>
      </w:tr>
      <w:tr>
        <w:tc>
          <w:tcPr>
            <w:tcW w:type="dxa" w:w="2381"/>
          </w:tcPr>
          <w:p>
            <w:r/>
            <w:r>
              <w:rPr>
                <w:b w:val="0"/>
                <w:sz w:val="18"/>
              </w:rPr>
              <w:t>Pacto Verde</w:t>
            </w:r>
          </w:p>
        </w:tc>
        <w:tc>
          <w:tcPr>
            <w:tcW w:type="dxa" w:w="1020"/>
          </w:tcPr>
          <w:p>
            <w:r/>
            <w:r>
              <w:rPr>
                <w:b w:val="0"/>
                <w:sz w:val="18"/>
              </w:rPr>
              <w:t>4</w:t>
            </w:r>
          </w:p>
        </w:tc>
        <w:tc>
          <w:tcPr>
            <w:tcW w:type="dxa" w:w="5443"/>
          </w:tcPr>
          <w:p>
            <w:r/>
            <w:r>
              <w:rPr>
                <w:b w:val="0"/>
                <w:sz w:val="18"/>
              </w:rPr>
              <w:t>ISA-PactoVerde (30% de ISA-Completo)</w:t>
            </w:r>
          </w:p>
        </w:tc>
      </w:tr>
      <w:tr>
        <w:tc>
          <w:tcPr>
            <w:tcW w:type="dxa" w:w="2381"/>
          </w:tcPr>
          <w:p>
            <w:r/>
            <w:r>
              <w:rPr>
                <w:b w:val="0"/>
                <w:sz w:val="18"/>
              </w:rPr>
              <w:t>PPWR</w:t>
            </w:r>
          </w:p>
        </w:tc>
        <w:tc>
          <w:tcPr>
            <w:tcW w:type="dxa" w:w="1020"/>
          </w:tcPr>
          <w:p>
            <w:r/>
            <w:r>
              <w:rPr>
                <w:b w:val="0"/>
                <w:sz w:val="18"/>
              </w:rPr>
              <w:t>2</w:t>
            </w:r>
          </w:p>
        </w:tc>
        <w:tc>
          <w:tcPr>
            <w:tcW w:type="dxa" w:w="5443"/>
          </w:tcPr>
          <w:p>
            <w:r/>
            <w:r>
              <w:rPr>
                <w:b w:val="0"/>
                <w:sz w:val="18"/>
              </w:rPr>
              <w:t>Ponderador de envases</w:t>
            </w:r>
          </w:p>
        </w:tc>
      </w:tr>
      <w:tr>
        <w:tc>
          <w:tcPr>
            <w:tcW w:type="dxa" w:w="2381"/>
          </w:tcPr>
          <w:p>
            <w:r/>
            <w:r>
              <w:rPr>
                <w:b w:val="0"/>
                <w:sz w:val="18"/>
              </w:rPr>
              <w:t>Bloque R</w:t>
            </w:r>
          </w:p>
        </w:tc>
        <w:tc>
          <w:tcPr>
            <w:tcW w:type="dxa" w:w="1020"/>
          </w:tcPr>
          <w:p>
            <w:r/>
            <w:r>
              <w:rPr>
                <w:b w:val="0"/>
                <w:sz w:val="18"/>
              </w:rPr>
              <w:t>10</w:t>
            </w:r>
          </w:p>
        </w:tc>
        <w:tc>
          <w:tcPr>
            <w:tcW w:type="dxa" w:w="5443"/>
          </w:tcPr>
          <w:p>
            <w:r/>
            <w:r>
              <w:rPr>
                <w:b w:val="0"/>
                <w:sz w:val="18"/>
              </w:rPr>
              <w:t>Indicadores del índice de Pacto Verde (validación externa)</w:t>
            </w:r>
          </w:p>
        </w:tc>
      </w:tr>
    </w:tbl>
    <w:p>
      <w:pPr>
        <w:spacing w:after="40"/>
      </w:pPr>
    </w:p>
    <w:p>
      <w:pPr>
        <w:spacing w:after="120"/>
      </w:pPr>
      <w:r>
        <w:rPr>
          <w:b w:val="0"/>
        </w:rPr>
        <w:t>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r>
        <w:br w:type="page"/>
      </w:r>
    </w:p>
    <w:p>
      <w:pPr>
        <w:pStyle w:val="Heading1"/>
      </w:pPr>
      <w:r>
        <w:t>2. El índice: construcción, fórmulas y escalas</w:t>
      </w:r>
    </w:p>
    <w:p>
      <w:pPr>
        <w:pStyle w:val="Heading2"/>
      </w:pPr>
      <w:r>
        <w:t>2.1 Arquitectura de la hoja de cálculo</w:t>
      </w:r>
    </w:p>
    <w:tbl>
      <w:tblPr>
        <w:tblStyle w:val="TableGrid"/>
        <w:tblW w:type="auto" w:w="0"/>
        <w:tblLook w:firstColumn="1" w:firstRow="1" w:lastColumn="0" w:lastRow="0" w:noHBand="0" w:noVBand="1" w:val="04A0"/>
      </w:tblPr>
      <w:tblGrid>
        <w:gridCol w:w="2880"/>
        <w:gridCol w:w="2880"/>
        <w:gridCol w:w="2880"/>
      </w:tblGrid>
      <w:tr>
        <w:tc>
          <w:tcPr>
            <w:tcW w:type="dxa" w:w="2154"/>
            <w:shd w:val="clear" w:fill="D9E2F3"/>
          </w:tcPr>
          <w:p>
            <w:r>
              <w:rPr>
                <w:b/>
              </w:rPr>
            </w:r>
            <w:r>
              <w:rPr>
                <w:b/>
                <w:sz w:val="18"/>
              </w:rPr>
              <w:t>Área funcional</w:t>
            </w:r>
          </w:p>
        </w:tc>
        <w:tc>
          <w:tcPr>
            <w:tcW w:type="dxa" w:w="1814"/>
            <w:shd w:val="clear" w:fill="D9E2F3"/>
          </w:tcPr>
          <w:p>
            <w:r>
              <w:rPr>
                <w:b/>
              </w:rPr>
            </w:r>
            <w:r>
              <w:rPr>
                <w:b/>
                <w:sz w:val="18"/>
              </w:rPr>
              <w:t>Rol</w:t>
            </w:r>
          </w:p>
        </w:tc>
        <w:tc>
          <w:tcPr>
            <w:tcW w:type="dxa" w:w="5556"/>
            <w:shd w:val="clear" w:fill="D9E2F3"/>
          </w:tcPr>
          <w:p>
            <w:r>
              <w:rPr>
                <w:b/>
              </w:rPr>
            </w:r>
            <w:r>
              <w:rPr>
                <w:b/>
                <w:sz w:val="18"/>
              </w:rPr>
              <w:t>Contenido</w:t>
            </w:r>
          </w:p>
        </w:tc>
      </w:tr>
      <w:tr>
        <w:tc>
          <w:tcPr>
            <w:tcW w:type="dxa" w:w="2154"/>
          </w:tcPr>
          <w:p>
            <w:r/>
            <w:r>
              <w:rPr>
                <w:b w:val="0"/>
                <w:sz w:val="18"/>
              </w:rPr>
              <w:t>Instrucciones de uso</w:t>
            </w:r>
          </w:p>
        </w:tc>
        <w:tc>
          <w:tcPr>
            <w:tcW w:type="dxa" w:w="1814"/>
          </w:tcPr>
          <w:p>
            <w:r/>
            <w:r>
              <w:rPr>
                <w:b w:val="0"/>
                <w:sz w:val="18"/>
              </w:rPr>
              <w:t>Gobernanza del uso</w:t>
            </w:r>
          </w:p>
        </w:tc>
        <w:tc>
          <w:tcPr>
            <w:tcW w:type="dxa" w:w="5556"/>
          </w:tcPr>
          <w:p>
            <w:r/>
            <w:r>
              <w:rPr>
                <w:b w:val="0"/>
                <w:sz w:val="18"/>
              </w:rPr>
              <w:t>Flujo de aplicación; semáforo (Crítico 0–33 / Vulnerable 34–66 / Preparado 67–100)</w:t>
            </w:r>
          </w:p>
        </w:tc>
      </w:tr>
      <w:tr>
        <w:tc>
          <w:tcPr>
            <w:tcW w:type="dxa" w:w="2154"/>
          </w:tcPr>
          <w:p>
            <w:r/>
            <w:r>
              <w:rPr>
                <w:b w:val="0"/>
                <w:sz w:val="18"/>
              </w:rPr>
              <w:t>Mapa de correspondencia</w:t>
            </w:r>
          </w:p>
        </w:tc>
        <w:tc>
          <w:tcPr>
            <w:tcW w:type="dxa" w:w="1814"/>
          </w:tcPr>
          <w:p>
            <w:r/>
            <w:r>
              <w:rPr>
                <w:b w:val="0"/>
                <w:sz w:val="18"/>
              </w:rPr>
              <w:t>Conexión instrumento a hoja</w:t>
            </w:r>
          </w:p>
        </w:tc>
        <w:tc>
          <w:tcPr>
            <w:tcW w:type="dxa" w:w="5556"/>
          </w:tcPr>
          <w:p>
            <w:r/>
            <w:r>
              <w:rPr>
                <w:b w:val="0"/>
                <w:sz w:val="18"/>
              </w:rPr>
              <w:t>Las 119 preguntas con su destino; marca de nueva (30) o modificada (5) en esta primera versión; filtro automático</w:t>
            </w:r>
          </w:p>
        </w:tc>
      </w:tr>
      <w:tr>
        <w:tc>
          <w:tcPr>
            <w:tcW w:type="dxa" w:w="2154"/>
          </w:tcPr>
          <w:p>
            <w:r/>
            <w:r>
              <w:rPr>
                <w:b w:val="0"/>
                <w:sz w:val="18"/>
              </w:rPr>
              <w:t>Ponderadores</w:t>
            </w:r>
          </w:p>
        </w:tc>
        <w:tc>
          <w:tcPr>
            <w:tcW w:type="dxa" w:w="1814"/>
          </w:tcPr>
          <w:p>
            <w:r/>
            <w:r>
              <w:rPr>
                <w:b w:val="0"/>
                <w:sz w:val="18"/>
              </w:rPr>
              <w:t>Supuestos</w:t>
            </w:r>
          </w:p>
        </w:tc>
        <w:tc>
          <w:tcPr>
            <w:tcW w:type="dxa" w:w="5556"/>
          </w:tcPr>
          <w:p>
            <w:r/>
            <w:r>
              <w:rPr>
                <w:b w:val="0"/>
                <w:sz w:val="18"/>
              </w:rPr>
              <w:t>Índice de Pacto Verde editable en 7 componentes (exposición UE 25, trazabilidad 20, diligencia 15, capacidad 10, presión del comprador 15, certificación 10, envases 5) y las fórmulas del bloque ISCAM documentadas como texto</w:t>
            </w:r>
          </w:p>
        </w:tc>
      </w:tr>
      <w:tr>
        <w:tc>
          <w:tcPr>
            <w:tcW w:type="dxa" w:w="2154"/>
          </w:tcPr>
          <w:p>
            <w:r/>
            <w:r>
              <w:rPr>
                <w:b w:val="0"/>
                <w:sz w:val="18"/>
              </w:rPr>
              <w:t>Marco muestral</w:t>
            </w:r>
          </w:p>
        </w:tc>
        <w:tc>
          <w:tcPr>
            <w:tcW w:type="dxa" w:w="1814"/>
          </w:tcPr>
          <w:p>
            <w:r/>
            <w:r>
              <w:rPr>
                <w:b w:val="0"/>
                <w:sz w:val="18"/>
              </w:rPr>
              <w:t>174 organizaciones</w:t>
            </w:r>
          </w:p>
        </w:tc>
        <w:tc>
          <w:tcPr>
            <w:tcW w:type="dxa" w:w="5556"/>
          </w:tcPr>
          <w:p>
            <w:r/>
            <w:r>
              <w:rPr>
                <w:b w:val="0"/>
                <w:sz w:val="18"/>
              </w:rPr>
              <w:t>36 variables de dato (comercio exterior, fiscalización, certificaciones, score de legalidad, dimensiones Pacto Verde, indicadores PVE) + clasificación</w:t>
            </w:r>
          </w:p>
        </w:tc>
      </w:tr>
      <w:tr>
        <w:tc>
          <w:tcPr>
            <w:tcW w:type="dxa" w:w="2154"/>
          </w:tcPr>
          <w:p>
            <w:r/>
            <w:r>
              <w:rPr>
                <w:b w:val="0"/>
                <w:sz w:val="18"/>
              </w:rPr>
              <w:t>Verificación rápida</w:t>
            </w:r>
          </w:p>
        </w:tc>
        <w:tc>
          <w:tcPr>
            <w:tcW w:type="dxa" w:w="1814"/>
          </w:tcPr>
          <w:p>
            <w:r/>
            <w:r>
              <w:rPr>
                <w:b w:val="0"/>
                <w:sz w:val="18"/>
              </w:rPr>
              <w:t>Respaldo y validación</w:t>
            </w:r>
          </w:p>
        </w:tc>
        <w:tc>
          <w:tcPr>
            <w:tcW w:type="dxa" w:w="5556"/>
          </w:tcPr>
          <w:p>
            <w:r/>
            <w:r>
              <w:rPr>
                <w:b w:val="0"/>
                <w:sz w:val="18"/>
              </w:rPr>
              <w:t>36 preguntas proxy por dimensión con umbrales 0.67/0.34</w:t>
            </w:r>
          </w:p>
        </w:tc>
      </w:tr>
      <w:tr>
        <w:tc>
          <w:tcPr>
            <w:tcW w:type="dxa" w:w="2154"/>
          </w:tcPr>
          <w:p>
            <w:r/>
            <w:r>
              <w:rPr>
                <w:b w:val="0"/>
                <w:sz w:val="18"/>
              </w:rPr>
              <w:t>Scorecards</w:t>
            </w:r>
          </w:p>
        </w:tc>
        <w:tc>
          <w:tcPr>
            <w:tcW w:type="dxa" w:w="1814"/>
          </w:tcPr>
          <w:p>
            <w:r/>
            <w:r>
              <w:rPr>
                <w:b w:val="0"/>
                <w:sz w:val="18"/>
              </w:rPr>
              <w:t>Resultado por organización</w:t>
            </w:r>
          </w:p>
        </w:tc>
        <w:tc>
          <w:tcPr>
            <w:tcW w:type="dxa" w:w="5556"/>
          </w:tcPr>
          <w:p>
            <w:r/>
            <w:r>
              <w:rPr>
                <w:b w:val="0"/>
                <w:sz w:val="18"/>
              </w:rPr>
              <w:t>ISA-Completo, semáforo, ranking y entradas manuales de D2, D5 y D6</w:t>
            </w:r>
          </w:p>
        </w:tc>
      </w:tr>
      <w:tr>
        <w:tc>
          <w:tcPr>
            <w:tcW w:type="dxa" w:w="2154"/>
          </w:tcPr>
          <w:p>
            <w:r/>
            <w:r>
              <w:rPr>
                <w:b w:val="0"/>
                <w:sz w:val="18"/>
              </w:rPr>
              <w:t>Motor de cálculo</w:t>
            </w:r>
          </w:p>
        </w:tc>
        <w:tc>
          <w:tcPr>
            <w:tcW w:type="dxa" w:w="1814"/>
          </w:tcPr>
          <w:p>
            <w:r/>
            <w:r>
              <w:rPr>
                <w:b w:val="0"/>
                <w:sz w:val="18"/>
              </w:rPr>
              <w:t>Cálculo del índice</w:t>
            </w:r>
          </w:p>
        </w:tc>
        <w:tc>
          <w:tcPr>
            <w:tcW w:type="dxa" w:w="5556"/>
          </w:tcPr>
          <w:p>
            <w:r/>
            <w:r>
              <w:rPr>
                <w:b w:val="0"/>
                <w:sz w:val="18"/>
              </w:rPr>
              <w:t>Dimensiones D1–D11, IP1–IP5, IV1–IV5, IP, IV, RE, tipología 2x2, banderas, ISA-PV, indicador PVE, ISA-EUDR, ISA-Completo</w:t>
            </w:r>
          </w:p>
        </w:tc>
      </w:tr>
      <w:tr>
        <w:tc>
          <w:tcPr>
            <w:tcW w:type="dxa" w:w="2154"/>
          </w:tcPr>
          <w:p>
            <w:r/>
            <w:r>
              <w:rPr>
                <w:b w:val="0"/>
                <w:sz w:val="18"/>
              </w:rPr>
              <w:t>Radar departamental</w:t>
            </w:r>
          </w:p>
        </w:tc>
        <w:tc>
          <w:tcPr>
            <w:tcW w:type="dxa" w:w="1814"/>
          </w:tcPr>
          <w:p>
            <w:r/>
            <w:r>
              <w:rPr>
                <w:b w:val="0"/>
                <w:sz w:val="18"/>
              </w:rPr>
              <w:t>Agregación</w:t>
            </w:r>
          </w:p>
        </w:tc>
        <w:tc>
          <w:tcPr>
            <w:tcW w:type="dxa" w:w="5556"/>
          </w:tcPr>
          <w:p>
            <w:r/>
            <w:r>
              <w:rPr>
                <w:b w:val="0"/>
                <w:sz w:val="18"/>
              </w:rPr>
              <w:t>Promedio por departamento y por dimensión (11 dimensiones x 15 departamentos) + corte por producto</w:t>
            </w:r>
          </w:p>
        </w:tc>
      </w:tr>
    </w:tbl>
    <w:p>
      <w:pPr>
        <w:spacing w:after="40"/>
      </w:pPr>
    </w:p>
    <w:p>
      <w:pPr>
        <w:pStyle w:val="Heading2"/>
      </w:pPr>
      <w:r>
        <w:t>2.2 Índices y fórmulas</w:t>
      </w:r>
    </w:p>
    <w:tbl>
      <w:tblPr>
        <w:tblStyle w:val="TableGrid"/>
        <w:tblW w:type="auto" w:w="0"/>
        <w:tblLook w:firstColumn="1" w:firstRow="1" w:lastColumn="0" w:lastRow="0" w:noHBand="0" w:noVBand="1" w:val="04A0"/>
      </w:tblPr>
      <w:tblGrid>
        <w:gridCol w:w="4320"/>
        <w:gridCol w:w="4320"/>
      </w:tblGrid>
      <w:tr>
        <w:tc>
          <w:tcPr>
            <w:tcW w:type="dxa" w:w="3175"/>
            <w:shd w:val="clear" w:fill="D9E2F3"/>
          </w:tcPr>
          <w:p>
            <w:r>
              <w:rPr>
                <w:b/>
              </w:rPr>
            </w:r>
            <w:r>
              <w:rPr>
                <w:b/>
                <w:sz w:val="18"/>
              </w:rPr>
              <w:t>Índice</w:t>
            </w:r>
          </w:p>
        </w:tc>
        <w:tc>
          <w:tcPr>
            <w:tcW w:type="dxa" w:w="5556"/>
            <w:shd w:val="clear" w:fill="D9E2F3"/>
          </w:tcPr>
          <w:p>
            <w:r>
              <w:rPr>
                <w:b/>
              </w:rPr>
            </w:r>
            <w:r>
              <w:rPr>
                <w:b/>
                <w:sz w:val="18"/>
              </w:rPr>
              <w:t>Fórmula</w:t>
            </w:r>
          </w:p>
        </w:tc>
      </w:tr>
      <w:tr>
        <w:tc>
          <w:tcPr>
            <w:tcW w:type="dxa" w:w="3175"/>
          </w:tcPr>
          <w:p>
            <w:r/>
            <w:r>
              <w:rPr>
                <w:b w:val="0"/>
                <w:sz w:val="18"/>
              </w:rPr>
              <w:t>Dimensiones D1–D11</w:t>
            </w:r>
          </w:p>
        </w:tc>
        <w:tc>
          <w:tcPr>
            <w:tcW w:type="dxa" w:w="5556"/>
          </w:tcPr>
          <w:p>
            <w:r/>
            <w:r>
              <w:rPr>
                <w:b w:val="0"/>
                <w:sz w:val="18"/>
              </w:rPr>
              <w:t>valor por organización, escala 0–100</w:t>
            </w:r>
          </w:p>
        </w:tc>
      </w:tr>
      <w:tr>
        <w:tc>
          <w:tcPr>
            <w:tcW w:type="dxa" w:w="3175"/>
          </w:tcPr>
          <w:p>
            <w:r/>
            <w:r>
              <w:rPr>
                <w:b w:val="0"/>
                <w:sz w:val="18"/>
              </w:rPr>
              <w:t>IP1 · Trazabilidad y origen</w:t>
            </w:r>
          </w:p>
        </w:tc>
        <w:tc>
          <w:tcPr>
            <w:tcW w:type="dxa" w:w="5556"/>
          </w:tcPr>
          <w:p>
            <w:r/>
            <w:r>
              <w:rPr>
                <w:b w:val="0"/>
                <w:sz w:val="18"/>
              </w:rPr>
              <w:t>= D2</w:t>
            </w:r>
          </w:p>
        </w:tc>
      </w:tr>
      <w:tr>
        <w:tc>
          <w:tcPr>
            <w:tcW w:type="dxa" w:w="3175"/>
          </w:tcPr>
          <w:p>
            <w:r/>
            <w:r>
              <w:rPr>
                <w:b w:val="0"/>
                <w:sz w:val="18"/>
              </w:rPr>
              <w:t>IP2 · Legalidad x Deforestación</w:t>
            </w:r>
          </w:p>
        </w:tc>
        <w:tc>
          <w:tcPr>
            <w:tcW w:type="dxa" w:w="5556"/>
          </w:tcPr>
          <w:p>
            <w:r/>
            <w:r>
              <w:rPr>
                <w:b w:val="0"/>
                <w:sz w:val="18"/>
              </w:rPr>
              <w:t>= RAIZ(D3 x D4)</w:t>
            </w:r>
          </w:p>
        </w:tc>
      </w:tr>
      <w:tr>
        <w:tc>
          <w:tcPr>
            <w:tcW w:type="dxa" w:w="3175"/>
          </w:tcPr>
          <w:p>
            <w:r/>
            <w:r>
              <w:rPr>
                <w:b w:val="0"/>
                <w:sz w:val="18"/>
              </w:rPr>
              <w:t>IP3 · Capacidades organizacionales</w:t>
            </w:r>
          </w:p>
        </w:tc>
        <w:tc>
          <w:tcPr>
            <w:tcW w:type="dxa" w:w="5556"/>
          </w:tcPr>
          <w:p>
            <w:r/>
            <w:r>
              <w:rPr>
                <w:b w:val="0"/>
                <w:sz w:val="18"/>
              </w:rPr>
              <w:t>= (D5 + D6 + D8) / 3</w:t>
            </w:r>
          </w:p>
        </w:tc>
      </w:tr>
      <w:tr>
        <w:tc>
          <w:tcPr>
            <w:tcW w:type="dxa" w:w="3175"/>
          </w:tcPr>
          <w:p>
            <w:r/>
            <w:r>
              <w:rPr>
                <w:b w:val="0"/>
                <w:sz w:val="18"/>
              </w:rPr>
              <w:t>IP4 · Información y documentación</w:t>
            </w:r>
          </w:p>
        </w:tc>
        <w:tc>
          <w:tcPr>
            <w:tcW w:type="dxa" w:w="5556"/>
          </w:tcPr>
          <w:p>
            <w:r/>
            <w:r>
              <w:rPr>
                <w:b w:val="0"/>
                <w:sz w:val="18"/>
              </w:rPr>
              <w:t>= (D6 + D2) / 2</w:t>
            </w:r>
          </w:p>
        </w:tc>
      </w:tr>
      <w:tr>
        <w:tc>
          <w:tcPr>
            <w:tcW w:type="dxa" w:w="3175"/>
          </w:tcPr>
          <w:p>
            <w:r/>
            <w:r>
              <w:rPr>
                <w:b w:val="0"/>
                <w:sz w:val="18"/>
              </w:rPr>
              <w:t>IP5 · Mercado y riesgo</w:t>
            </w:r>
          </w:p>
        </w:tc>
        <w:tc>
          <w:tcPr>
            <w:tcW w:type="dxa" w:w="5556"/>
          </w:tcPr>
          <w:p>
            <w:r/>
            <w:r>
              <w:rPr>
                <w:b w:val="0"/>
                <w:sz w:val="18"/>
              </w:rPr>
              <w:t>= (D7 + D9 + Certificación) / 3</w:t>
            </w:r>
          </w:p>
        </w:tc>
      </w:tr>
      <w:tr>
        <w:tc>
          <w:tcPr>
            <w:tcW w:type="dxa" w:w="3175"/>
          </w:tcPr>
          <w:p>
            <w:r/>
            <w:r>
              <w:rPr>
                <w:b/>
                <w:sz w:val="18"/>
              </w:rPr>
              <w:t>IP — Índice de Preparación</w:t>
            </w:r>
          </w:p>
        </w:tc>
        <w:tc>
          <w:tcPr>
            <w:tcW w:type="dxa" w:w="5556"/>
          </w:tcPr>
          <w:p>
            <w:r/>
            <w:r>
              <w:rPr>
                <w:b w:val="0"/>
                <w:sz w:val="18"/>
              </w:rPr>
              <w:t>= promedio(IP1:IP5), 20% cada sub-dimensión</w:t>
            </w:r>
          </w:p>
        </w:tc>
      </w:tr>
      <w:tr>
        <w:tc>
          <w:tcPr>
            <w:tcW w:type="dxa" w:w="3175"/>
          </w:tcPr>
          <w:p>
            <w:r/>
            <w:r>
              <w:rPr>
                <w:b w:val="0"/>
                <w:sz w:val="18"/>
              </w:rPr>
              <w:t>IV1 · Exposición UE</w:t>
            </w:r>
          </w:p>
        </w:tc>
        <w:tc>
          <w:tcPr>
            <w:tcW w:type="dxa" w:w="5556"/>
          </w:tcPr>
          <w:p>
            <w:r/>
            <w:r>
              <w:rPr>
                <w:b w:val="0"/>
                <w:sz w:val="18"/>
              </w:rPr>
              <w:t>= % del FOB exportado a la UE (tope 100)</w:t>
            </w:r>
          </w:p>
        </w:tc>
      </w:tr>
      <w:tr>
        <w:tc>
          <w:tcPr>
            <w:tcW w:type="dxa" w:w="3175"/>
          </w:tcPr>
          <w:p>
            <w:r/>
            <w:r>
              <w:rPr>
                <w:b w:val="0"/>
                <w:sz w:val="18"/>
              </w:rPr>
              <w:t>IV2 · Rol regulatorio</w:t>
            </w:r>
          </w:p>
        </w:tc>
        <w:tc>
          <w:tcPr>
            <w:tcW w:type="dxa" w:w="5556"/>
          </w:tcPr>
          <w:p>
            <w:r/>
            <w:r>
              <w:rPr>
                <w:b w:val="0"/>
                <w:sz w:val="18"/>
              </w:rPr>
              <w:t>= D1 (base 50 si D1 = 0)</w:t>
            </w:r>
          </w:p>
        </w:tc>
      </w:tr>
      <w:tr>
        <w:tc>
          <w:tcPr>
            <w:tcW w:type="dxa" w:w="3175"/>
          </w:tcPr>
          <w:p>
            <w:r/>
            <w:r>
              <w:rPr>
                <w:b w:val="0"/>
                <w:sz w:val="18"/>
              </w:rPr>
              <w:t>IV3 · Fragilidad territorial</w:t>
            </w:r>
          </w:p>
        </w:tc>
        <w:tc>
          <w:tcPr>
            <w:tcW w:type="dxa" w:w="5556"/>
          </w:tcPr>
          <w:p>
            <w:r/>
            <w:r>
              <w:rPr>
                <w:b w:val="0"/>
                <w:sz w:val="18"/>
              </w:rPr>
              <w:t xml:space="preserve">= hectáreas por socio: 2 o más → 35; 0.5–2 → 50; menos de 0.5 → 65; </w:t>
            </w:r>
            <w:r>
              <w:rPr>
                <w:b/>
                <w:sz w:val="18"/>
              </w:rPr>
              <w:t>sin dato → 65</w:t>
            </w:r>
          </w:p>
        </w:tc>
      </w:tr>
      <w:tr>
        <w:tc>
          <w:tcPr>
            <w:tcW w:type="dxa" w:w="3175"/>
          </w:tcPr>
          <w:p>
            <w:r/>
            <w:r>
              <w:rPr>
                <w:b w:val="0"/>
                <w:sz w:val="18"/>
              </w:rPr>
              <w:t>IV4 · Certificación/legalidad</w:t>
            </w:r>
          </w:p>
        </w:tc>
        <w:tc>
          <w:tcPr>
            <w:tcW w:type="dxa" w:w="5556"/>
          </w:tcPr>
          <w:p>
            <w:r/>
            <w:r>
              <w:rPr>
                <w:b w:val="0"/>
                <w:sz w:val="18"/>
              </w:rPr>
              <w:t>= sin certificado → 70; con certificado → 30</w:t>
            </w:r>
          </w:p>
        </w:tc>
      </w:tr>
      <w:tr>
        <w:tc>
          <w:tcPr>
            <w:tcW w:type="dxa" w:w="3175"/>
          </w:tcPr>
          <w:p>
            <w:r/>
            <w:r>
              <w:rPr>
                <w:b w:val="0"/>
                <w:sz w:val="18"/>
              </w:rPr>
              <w:t>IV5 · Riesgo social</w:t>
            </w:r>
          </w:p>
        </w:tc>
        <w:tc>
          <w:tcPr>
            <w:tcW w:type="dxa" w:w="5556"/>
          </w:tcPr>
          <w:p>
            <w:r/>
            <w:r>
              <w:rPr>
                <w:b w:val="0"/>
                <w:sz w:val="18"/>
              </w:rPr>
              <w:t>= tipo de organización: asociación o pendiente → 65; resto → 40</w:t>
            </w:r>
          </w:p>
        </w:tc>
      </w:tr>
      <w:tr>
        <w:tc>
          <w:tcPr>
            <w:tcW w:type="dxa" w:w="3175"/>
          </w:tcPr>
          <w:p>
            <w:r/>
            <w:r>
              <w:rPr>
                <w:b/>
                <w:sz w:val="18"/>
              </w:rPr>
              <w:t>IV — Índice de Vulnerabilidad</w:t>
            </w:r>
          </w:p>
        </w:tc>
        <w:tc>
          <w:tcPr>
            <w:tcW w:type="dxa" w:w="5556"/>
          </w:tcPr>
          <w:p>
            <w:r/>
            <w:r>
              <w:rPr>
                <w:b w:val="0"/>
                <w:sz w:val="18"/>
              </w:rPr>
              <w:t>= promedio(IV1:IV5)</w:t>
            </w:r>
          </w:p>
        </w:tc>
      </w:tr>
      <w:tr>
        <w:tc>
          <w:tcPr>
            <w:tcW w:type="dxa" w:w="3175"/>
          </w:tcPr>
          <w:p>
            <w:r/>
            <w:r>
              <w:rPr>
                <w:b/>
                <w:sz w:val="18"/>
              </w:rPr>
              <w:t>RE — Riesgo de Exclusión</w:t>
            </w:r>
          </w:p>
        </w:tc>
        <w:tc>
          <w:tcPr>
            <w:tcW w:type="dxa" w:w="5556"/>
          </w:tcPr>
          <w:p>
            <w:r/>
            <w:r>
              <w:rPr>
                <w:b w:val="0"/>
                <w:sz w:val="18"/>
              </w:rPr>
              <w:t>= IV x (1 − IP/100)</w:t>
            </w:r>
          </w:p>
        </w:tc>
      </w:tr>
      <w:tr>
        <w:tc>
          <w:tcPr>
            <w:tcW w:type="dxa" w:w="3175"/>
          </w:tcPr>
          <w:p>
            <w:r/>
            <w:r>
              <w:rPr>
                <w:b w:val="0"/>
                <w:sz w:val="18"/>
              </w:rPr>
              <w:t>Tipología ISCAM 2x2</w:t>
            </w:r>
          </w:p>
        </w:tc>
        <w:tc>
          <w:tcPr>
            <w:tcW w:type="dxa" w:w="5556"/>
          </w:tcPr>
          <w:p>
            <w:r/>
            <w:r>
              <w:rPr>
                <w:b w:val="0"/>
                <w:sz w:val="18"/>
              </w:rPr>
              <w:t>corte IP = 50 x IV = 50 → Resilientes / Expuestas Adaptables / Riesgo Latente / Riesgo Crítico</w:t>
            </w:r>
          </w:p>
        </w:tc>
      </w:tr>
      <w:tr>
        <w:tc>
          <w:tcPr>
            <w:tcW w:type="dxa" w:w="3175"/>
          </w:tcPr>
          <w:p>
            <w:r/>
            <w:r>
              <w:rPr>
                <w:b w:val="0"/>
                <w:sz w:val="18"/>
              </w:rPr>
              <w:t>Banderas duras</w:t>
            </w:r>
          </w:p>
        </w:tc>
        <w:tc>
          <w:tcPr>
            <w:tcW w:type="dxa" w:w="5556"/>
          </w:tcPr>
          <w:p>
            <w:r/>
            <w:r>
              <w:rPr>
                <w:b w:val="0"/>
                <w:sz w:val="18"/>
              </w:rPr>
              <w:t>hoy: inh. vigente de legalidad (D3 = 0); las banderas del instrumento se reportan aparte</w:t>
            </w:r>
          </w:p>
        </w:tc>
      </w:tr>
      <w:tr>
        <w:tc>
          <w:tcPr>
            <w:tcW w:type="dxa" w:w="3175"/>
          </w:tcPr>
          <w:p>
            <w:r/>
            <w:r>
              <w:rPr>
                <w:b w:val="0"/>
                <w:sz w:val="18"/>
              </w:rPr>
              <w:t>ISA-PV (Pacto Verde)</w:t>
            </w:r>
          </w:p>
        </w:tc>
        <w:tc>
          <w:tcPr>
            <w:tcW w:type="dxa" w:w="5556"/>
          </w:tcPr>
          <w:p>
            <w:r/>
            <w:r>
              <w:rPr>
                <w:b w:val="0"/>
                <w:sz w:val="18"/>
              </w:rPr>
              <w:t>= promedio(D12:D15) / 2, escala 0–1</w:t>
            </w:r>
          </w:p>
        </w:tc>
      </w:tr>
      <w:tr>
        <w:tc>
          <w:tcPr>
            <w:tcW w:type="dxa" w:w="3175"/>
          </w:tcPr>
          <w:p>
            <w:r/>
            <w:r>
              <w:rPr>
                <w:b w:val="0"/>
                <w:sz w:val="18"/>
              </w:rPr>
              <w:t>Indicador PVE</w:t>
            </w:r>
          </w:p>
        </w:tc>
        <w:tc>
          <w:tcPr>
            <w:tcW w:type="dxa" w:w="5556"/>
          </w:tcPr>
          <w:p>
            <w:r/>
            <w:r>
              <w:rPr>
                <w:b w:val="0"/>
                <w:sz w:val="18"/>
              </w:rPr>
              <w:t xml:space="preserve">= promedio de los 14 indicadores PVE — </w:t>
            </w:r>
            <w:r>
              <w:rPr>
                <w:b/>
                <w:sz w:val="18"/>
              </w:rPr>
              <w:t>no compone ISA-Completo</w:t>
            </w:r>
            <w:r>
              <w:rPr>
                <w:b w:val="0"/>
                <w:sz w:val="18"/>
              </w:rPr>
              <w:t xml:space="preserve"> (decisión documentada, §2.8)</w:t>
            </w:r>
          </w:p>
        </w:tc>
      </w:tr>
      <w:tr>
        <w:tc>
          <w:tcPr>
            <w:tcW w:type="dxa" w:w="3175"/>
          </w:tcPr>
          <w:p>
            <w:r/>
            <w:r>
              <w:rPr>
                <w:b/>
                <w:sz w:val="18"/>
              </w:rPr>
              <w:t>ISA-EUDR</w:t>
            </w:r>
          </w:p>
        </w:tc>
        <w:tc>
          <w:tcPr>
            <w:tcW w:type="dxa" w:w="5556"/>
          </w:tcPr>
          <w:p>
            <w:r/>
            <w:r>
              <w:rPr>
                <w:b w:val="0"/>
                <w:sz w:val="18"/>
              </w:rPr>
              <w:t>= 0.875 x (D1·D2·D3·D4·D5·D6·D7)^(1/7) + 0.125 x ((D8+D9)/2)</w:t>
            </w:r>
          </w:p>
        </w:tc>
      </w:tr>
      <w:tr>
        <w:tc>
          <w:tcPr>
            <w:tcW w:type="dxa" w:w="3175"/>
          </w:tcPr>
          <w:p>
            <w:r/>
            <w:r>
              <w:rPr>
                <w:b/>
                <w:sz w:val="18"/>
              </w:rPr>
              <w:t>ISA-Completo</w:t>
            </w:r>
          </w:p>
        </w:tc>
        <w:tc>
          <w:tcPr>
            <w:tcW w:type="dxa" w:w="5556"/>
          </w:tcPr>
          <w:p>
            <w:r/>
            <w:r>
              <w:rPr>
                <w:b w:val="0"/>
                <w:sz w:val="18"/>
              </w:rPr>
              <w:t>= 0.70 x ISA-EUDR + 0.30 x ISA-PV x 100</w:t>
            </w:r>
          </w:p>
        </w:tc>
      </w:tr>
    </w:tbl>
    <w:p>
      <w:pPr>
        <w:spacing w:after="40"/>
      </w:pPr>
    </w:p>
    <w:p>
      <w:pPr>
        <w:pStyle w:val="Heading2"/>
      </w:pPr>
      <w:r>
        <w:t>2.3 Pesos y reglas de agregación</w:t>
      </w:r>
    </w:p>
    <w:p>
      <w:pPr>
        <w:pStyle w:val="ListBullet"/>
        <w:spacing w:after="60"/>
      </w:pPr>
      <w:r>
        <w:rPr>
          <w:b/>
          <w:sz w:val="20"/>
        </w:rPr>
        <w:t>ISA-EUDR (D1–D9):</w:t>
      </w:r>
      <w:r>
        <w:rPr>
          <w:b w:val="0"/>
          <w:sz w:val="20"/>
        </w:rPr>
        <w:t xml:space="preserve">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Bullet"/>
        <w:spacing w:after="60"/>
      </w:pPr>
      <w:r>
        <w:rPr>
          <w:b/>
          <w:sz w:val="20"/>
        </w:rPr>
        <w:t>ISA-PactoVerde (D12–D15):</w:t>
      </w:r>
      <w:r>
        <w:rPr>
          <w:b w:val="0"/>
          <w:sz w:val="20"/>
        </w:rPr>
        <w:t xml:space="preserve"> media aritmética simple por dimensión y entre las cuatro; los módulos son complementarios (la huella informa el reporte, la circularidad reduce la huella, el fitosanitario protege el mismo mercado), no sustitutas estrictas.</w:t>
      </w:r>
    </w:p>
    <w:p>
      <w:pPr>
        <w:pStyle w:val="ListBullet"/>
        <w:spacing w:after="60"/>
      </w:pPr>
      <w:r>
        <w:rPr>
          <w:b/>
          <w:sz w:val="20"/>
        </w:rPr>
        <w:t>ISA-Completo:</w:t>
      </w:r>
      <w:r>
        <w:rPr>
          <w:b w:val="0"/>
          <w:sz w:val="20"/>
        </w:rPr>
        <w:t xml:space="preserve"> 70% ISA-EUDR + 30% ISA-PactoVerde. El acceso al mercado UE lo decide el EUDR; la competitividad de largo plazo depende del Pacto Verde completo. Pesos a validar con el piloto (análisis de sensibilidad).</w:t>
      </w:r>
    </w:p>
    <w:p>
      <w:pPr>
        <w:pStyle w:val="ListBullet"/>
        <w:spacing w:after="60"/>
      </w:pPr>
      <w:r>
        <w:rPr>
          <w:b/>
          <w:sz w:val="20"/>
        </w:rPr>
        <w:t>IP:</w:t>
      </w:r>
      <w:r>
        <w:rPr>
          <w:b w:val="0"/>
          <w:sz w:val="20"/>
        </w:rPr>
        <w:t xml:space="preserve"> 20% a cada una de las 5 sub-dimensiones (pesos iguales por defecto OECD/JRC; pendiente panel AHP del proyecto madre).</w:t>
      </w:r>
    </w:p>
    <w:p>
      <w:pPr>
        <w:pStyle w:val="ListBullet"/>
        <w:spacing w:after="60"/>
      </w:pPr>
      <w:r>
        <w:rPr>
          <w:b/>
          <w:sz w:val="20"/>
        </w:rPr>
        <w:t>IV:</w:t>
      </w:r>
      <w:r>
        <w:rPr>
          <w:b w:val="0"/>
          <w:sz w:val="20"/>
        </w:rPr>
        <w:t xml:space="preserve"> promedio simple de las 5 sub-dimensiones.</w:t>
      </w:r>
    </w:p>
    <w:p>
      <w:pPr>
        <w:pStyle w:val="ListBullet"/>
        <w:spacing w:after="60"/>
      </w:pPr>
      <w:r>
        <w:rPr>
          <w:b/>
          <w:sz w:val="20"/>
        </w:rPr>
        <w:t>Índice de Pacto Verde (ponderadores):</w:t>
      </w:r>
      <w:r>
        <w:rPr>
          <w:b w:val="0"/>
          <w:sz w:val="20"/>
        </w:rPr>
        <w:t xml:space="preserve"> exposición UE 25% · trazabilidad 20% · diligencia 15% · capacidad 10% · presión del comprador 15% · certificación 10% · envases/PPWR 5%.</w:t>
      </w:r>
    </w:p>
    <w:p>
      <w:pPr>
        <w:pStyle w:val="Heading2"/>
      </w:pPr>
      <w:r>
        <w:t>2.4 Escalas y normalización</w:t>
      </w:r>
    </w:p>
    <w:tbl>
      <w:tblPr>
        <w:tblStyle w:val="TableGrid"/>
        <w:tblW w:type="auto" w:w="0"/>
        <w:tblLook w:firstColumn="1" w:firstRow="1" w:lastColumn="0" w:lastRow="0" w:noHBand="0" w:noVBand="1" w:val="04A0"/>
      </w:tblPr>
      <w:tblGrid>
        <w:gridCol w:w="2880"/>
        <w:gridCol w:w="2880"/>
        <w:gridCol w:w="2880"/>
      </w:tblGrid>
      <w:tr>
        <w:tc>
          <w:tcPr>
            <w:tcW w:type="dxa" w:w="1474"/>
            <w:shd w:val="clear" w:fill="D9E2F3"/>
          </w:tcPr>
          <w:p>
            <w:r>
              <w:rPr>
                <w:b/>
              </w:rPr>
            </w:r>
            <w:r>
              <w:rPr>
                <w:b/>
                <w:sz w:val="18"/>
              </w:rPr>
              <w:t>Escala</w:t>
            </w:r>
          </w:p>
        </w:tc>
        <w:tc>
          <w:tcPr>
            <w:tcW w:type="dxa" w:w="4649"/>
            <w:shd w:val="clear" w:fill="D9E2F3"/>
          </w:tcPr>
          <w:p>
            <w:r>
              <w:rPr>
                <w:b/>
              </w:rPr>
            </w:r>
            <w:r>
              <w:rPr>
                <w:b/>
                <w:sz w:val="18"/>
              </w:rPr>
              <w:t>Dónde</w:t>
            </w:r>
          </w:p>
        </w:tc>
        <w:tc>
          <w:tcPr>
            <w:tcW w:type="dxa" w:w="3175"/>
            <w:shd w:val="clear" w:fill="D9E2F3"/>
          </w:tcPr>
          <w:p>
            <w:r>
              <w:rPr>
                <w:b/>
              </w:rPr>
            </w:r>
            <w:r>
              <w:rPr>
                <w:b/>
                <w:sz w:val="18"/>
              </w:rPr>
              <w:t>Normalización</w:t>
            </w:r>
          </w:p>
        </w:tc>
      </w:tr>
      <w:tr>
        <w:tc>
          <w:tcPr>
            <w:tcW w:type="dxa" w:w="1474"/>
          </w:tcPr>
          <w:p>
            <w:r/>
            <w:r>
              <w:rPr>
                <w:b w:val="0"/>
                <w:sz w:val="18"/>
              </w:rPr>
              <w:t>0–4 (instrumento)</w:t>
            </w:r>
          </w:p>
        </w:tc>
        <w:tc>
          <w:tcPr>
            <w:tcW w:type="dxa" w:w="4649"/>
          </w:tcPr>
          <w:p>
            <w:r/>
            <w:r>
              <w:rPr>
                <w:b w:val="0"/>
                <w:sz w:val="18"/>
              </w:rPr>
              <w:t>Preguntas de escala</w:t>
            </w:r>
          </w:p>
        </w:tc>
        <w:tc>
          <w:tcPr>
            <w:tcW w:type="dxa" w:w="3175"/>
          </w:tcPr>
          <w:p>
            <w:r/>
            <w:r>
              <w:rPr>
                <w:b w:val="0"/>
                <w:sz w:val="18"/>
              </w:rPr>
              <w:t>x25 → 0–100</w:t>
            </w:r>
          </w:p>
        </w:tc>
      </w:tr>
      <w:tr>
        <w:tc>
          <w:tcPr>
            <w:tcW w:type="dxa" w:w="1474"/>
          </w:tcPr>
          <w:p>
            <w:r/>
            <w:r>
              <w:rPr>
                <w:b w:val="0"/>
                <w:sz w:val="18"/>
              </w:rPr>
              <w:t>0 / 1 / 2</w:t>
            </w:r>
          </w:p>
        </w:tc>
        <w:tc>
          <w:tcPr>
            <w:tcW w:type="dxa" w:w="4649"/>
          </w:tcPr>
          <w:p>
            <w:r/>
            <w:r>
              <w:rPr>
                <w:b w:val="0"/>
                <w:sz w:val="18"/>
              </w:rPr>
              <w:t>D12.42, D13.45, D14.51, D15.58</w:t>
            </w:r>
          </w:p>
        </w:tc>
        <w:tc>
          <w:tcPr>
            <w:tcW w:type="dxa" w:w="3175"/>
          </w:tcPr>
          <w:p>
            <w:r/>
            <w:r>
              <w:rPr>
                <w:b w:val="0"/>
                <w:sz w:val="18"/>
              </w:rPr>
              <w:t>/2 → 0–1 (ISA-PV); x100 al componer el 30% de ISA-Completo</w:t>
            </w:r>
          </w:p>
        </w:tc>
      </w:tr>
      <w:tr>
        <w:tc>
          <w:tcPr>
            <w:tcW w:type="dxa" w:w="1474"/>
          </w:tcPr>
          <w:p>
            <w:r/>
            <w:r>
              <w:rPr>
                <w:b w:val="0"/>
                <w:sz w:val="18"/>
              </w:rPr>
              <w:t>0–100</w:t>
            </w:r>
          </w:p>
        </w:tc>
        <w:tc>
          <w:tcPr>
            <w:tcW w:type="dxa" w:w="4649"/>
          </w:tcPr>
          <w:p>
            <w:r/>
            <w:r>
              <w:rPr>
                <w:b w:val="0"/>
                <w:sz w:val="18"/>
              </w:rPr>
              <w:t>ISA-EUDR, ISA-Completo, IP, IV, dimensiones, semáforo (cortes 34 y 67)</w:t>
            </w:r>
          </w:p>
        </w:tc>
        <w:tc>
          <w:tcPr>
            <w:tcW w:type="dxa" w:w="3175"/>
          </w:tcPr>
          <w:p>
            <w:r/>
            <w:r>
              <w:rPr>
                <w:b w:val="0"/>
                <w:sz w:val="18"/>
              </w:rPr>
              <w:t>nativa</w:t>
            </w:r>
          </w:p>
        </w:tc>
      </w:tr>
      <w:tr>
        <w:tc>
          <w:tcPr>
            <w:tcW w:type="dxa" w:w="1474"/>
          </w:tcPr>
          <w:p>
            <w:r/>
            <w:r>
              <w:rPr>
                <w:b w:val="0"/>
                <w:sz w:val="18"/>
              </w:rPr>
              <w:t>0–1</w:t>
            </w:r>
          </w:p>
        </w:tc>
        <w:tc>
          <w:tcPr>
            <w:tcW w:type="dxa" w:w="4649"/>
          </w:tcPr>
          <w:p>
            <w:r/>
            <w:r>
              <w:rPr>
                <w:b w:val="0"/>
                <w:sz w:val="18"/>
              </w:rPr>
              <w:t>ISA-PV</w:t>
            </w:r>
          </w:p>
        </w:tc>
        <w:tc>
          <w:tcPr>
            <w:tcW w:type="dxa" w:w="3175"/>
          </w:tcPr>
          <w:p>
            <w:r/>
            <w:r>
              <w:rPr>
                <w:b w:val="0"/>
                <w:sz w:val="18"/>
              </w:rPr>
              <w:t>se multiplica por 100 solo al entrar en ISA-Completo</w:t>
            </w:r>
          </w:p>
        </w:tc>
      </w:tr>
      <w:tr>
        <w:tc>
          <w:tcPr>
            <w:tcW w:type="dxa" w:w="1474"/>
          </w:tcPr>
          <w:p>
            <w:r/>
            <w:r>
              <w:rPr>
                <w:b w:val="0"/>
                <w:sz w:val="18"/>
              </w:rPr>
              <w:t>Proxy</w:t>
            </w:r>
          </w:p>
        </w:tc>
        <w:tc>
          <w:tcPr>
            <w:tcW w:type="dxa" w:w="4649"/>
          </w:tcPr>
          <w:p>
            <w:r/>
            <w:r>
              <w:rPr>
                <w:b w:val="0"/>
                <w:sz w:val="18"/>
              </w:rPr>
              <w:t>cuestionario de verificación rápida, umbrales 0.67 / 0.34</w:t>
            </w:r>
          </w:p>
        </w:tc>
        <w:tc>
          <w:tcPr>
            <w:tcW w:type="dxa" w:w="3175"/>
          </w:tcPr>
          <w:p>
            <w:r/>
            <w:r>
              <w:rPr>
                <w:b w:val="0"/>
                <w:sz w:val="18"/>
              </w:rPr>
              <w:t>respaldo y validación; no alimenta el índice directamente</w:t>
            </w:r>
          </w:p>
        </w:tc>
      </w:tr>
    </w:tbl>
    <w:p>
      <w:pPr>
        <w:spacing w:after="40"/>
      </w:pPr>
    </w:p>
    <w:p>
      <w:pPr>
        <w:spacing w:after="120"/>
      </w:pPr>
      <w:r>
        <w:rPr>
          <w:b/>
        </w:rPr>
        <w:t>Corrección de escala aplicada el 2026-10-14:</w:t>
      </w:r>
      <w:r>
        <w:rPr>
          <w:b w:val="0"/>
        </w:rPr>
        <w:t xml:space="preserve"> antes, ISA-Completo mezclaba 0–100 con 0–1, de modo que el componente Pacto Verde aportaba como máximo 0.3 puntos de 100. Ahora ISA-Completo = 0.70 x ISA-EUDR + 0.30 x ISA-PV x 100.</w:t>
      </w:r>
    </w:p>
    <w:p>
      <w:pPr>
        <w:pStyle w:val="Heading2"/>
      </w:pPr>
      <w:r>
        <w:t>2.5 Semáforo y tipología de priorización</w:t>
      </w:r>
    </w:p>
    <w:p>
      <w:pPr>
        <w:pStyle w:val="ListBullet"/>
        <w:spacing w:after="60"/>
      </w:pPr>
      <w:r>
        <w:rPr>
          <w:b/>
          <w:sz w:val="20"/>
        </w:rPr>
        <w:t>Semáforo por organización</w:t>
      </w:r>
      <w:r>
        <w:rPr>
          <w:b w:val="0"/>
          <w:sz w:val="20"/>
        </w:rPr>
        <w:t xml:space="preserve"> (ISA-Completo): Crítico 0–33 · Vulnerable 34–66 · Preparado 67–100. Una sola taxonomía en instrucciones, scorecards y marco muestral.</w:t>
      </w:r>
    </w:p>
    <w:p>
      <w:pPr>
        <w:pStyle w:val="ListBullet"/>
        <w:spacing w:after="60"/>
      </w:pPr>
      <w:r>
        <w:rPr>
          <w:b/>
          <w:sz w:val="20"/>
        </w:rPr>
        <w:t>Tipología 2x2 ISCAM</w:t>
      </w:r>
      <w:r>
        <w:rPr>
          <w:b w:val="0"/>
          <w:sz w:val="20"/>
        </w:rPr>
        <w:t xml:space="preserve">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Bullet"/>
        <w:spacing w:after="60"/>
      </w:pPr>
      <w:r>
        <w:rPr>
          <w:b/>
          <w:sz w:val="20"/>
        </w:rPr>
        <w:t>RE = IV x (1 − IP/100):</w:t>
      </w:r>
      <w:r>
        <w:rPr>
          <w:b w:val="0"/>
          <w:sz w:val="20"/>
        </w:rPr>
        <w:t xml:space="preserve"> operacionaliza que la preparación modera la vulnerabilidad (Hipótesis 3 del proyecto madre).</w:t>
      </w:r>
    </w:p>
    <w:p>
      <w:pPr>
        <w:pStyle w:val="ListBullet"/>
        <w:spacing w:after="60"/>
      </w:pPr>
      <w:r>
        <w:rPr>
          <w:b/>
          <w:sz w:val="20"/>
        </w:rPr>
        <w:t>Ranking</w:t>
      </w:r>
      <w:r>
        <w:rPr>
          <w:b w:val="0"/>
          <w:sz w:val="20"/>
        </w:rPr>
        <w:t xml:space="preserve"> por ISA-Completo para comparar organizaciones.</w:t>
      </w:r>
    </w:p>
    <w:p>
      <w:pPr>
        <w:pStyle w:val="Heading2"/>
      </w:pPr>
      <w:r>
        <w:t>2.6 Corte por producto: paridad café/cacao</w:t>
      </w:r>
    </w:p>
    <w:p>
      <w:pPr>
        <w:spacing w:after="120"/>
      </w:pPr>
      <w:r>
        <w:rPr>
          <w:b w:val="0"/>
        </w:rPr>
        <w:t>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 83 / 10) la muestra está equilibrada; si el levantamiento introduce subrepresentación, se corrige la cuota muestral, no los resultados.</w:t>
      </w:r>
    </w:p>
    <w:p>
      <w:pPr>
        <w:pStyle w:val="Heading2"/>
      </w:pPr>
      <w:r>
        <w:t>2.7 Agregación territorial</w:t>
      </w:r>
    </w:p>
    <w:p>
      <w:pPr>
        <w:spacing w:after="120"/>
      </w:pPr>
      <w:r>
        <w:rPr>
          <w:b w:val="0"/>
        </w:rPr>
        <w:t>El radar promedia cada dimensión por departamento (11 dimensiones x 15 departamentos, más promedios muestrales). D2, D5 y D6 provienen de las scorecards (carga del instrumento); D1, D3, D4 y D7–D11 del motor de cálculo. Sin dato se muestra como 0: la ausencia de dato no implica cumplimiento. Los promedios se alinean por organización dentro de la misma hoja para evitar desfases.</w:t>
      </w:r>
    </w:p>
    <w:p>
      <w:pPr>
        <w:pStyle w:val="Heading2"/>
      </w:pPr>
      <w:r>
        <w:t>2.8 Decisiones metodológicas registradas</w:t>
      </w:r>
    </w:p>
    <w:tbl>
      <w:tblPr>
        <w:tblStyle w:val="TableGrid"/>
        <w:tblW w:type="auto" w:w="0"/>
        <w:tblLook w:firstColumn="1" w:firstRow="1" w:lastColumn="0" w:lastRow="0" w:noHBand="0" w:noVBand="1" w:val="04A0"/>
      </w:tblPr>
      <w:tblGrid>
        <w:gridCol w:w="2880"/>
        <w:gridCol w:w="2880"/>
        <w:gridCol w:w="2880"/>
      </w:tblGrid>
      <w:tr>
        <w:tc>
          <w:tcPr>
            <w:tcW w:type="dxa" w:w="2494"/>
            <w:shd w:val="clear" w:fill="D9E2F3"/>
          </w:tcPr>
          <w:p>
            <w:r>
              <w:rPr>
                <w:b/>
              </w:rPr>
            </w:r>
            <w:r>
              <w:rPr>
                <w:b/>
                <w:sz w:val="18"/>
              </w:rPr>
              <w:t>Decisión</w:t>
            </w:r>
          </w:p>
        </w:tc>
        <w:tc>
          <w:tcPr>
            <w:tcW w:type="dxa" w:w="2381"/>
            <w:shd w:val="clear" w:fill="D9E2F3"/>
          </w:tcPr>
          <w:p>
            <w:r>
              <w:rPr>
                <w:b/>
              </w:rPr>
            </w:r>
            <w:r>
              <w:rPr>
                <w:b/>
                <w:sz w:val="18"/>
              </w:rPr>
              <w:t>Resolución</w:t>
            </w:r>
          </w:p>
        </w:tc>
        <w:tc>
          <w:tcPr>
            <w:tcW w:type="dxa" w:w="4535"/>
            <w:shd w:val="clear" w:fill="D9E2F3"/>
          </w:tcPr>
          <w:p>
            <w:r>
              <w:rPr>
                <w:b/>
              </w:rPr>
            </w:r>
            <w:r>
              <w:rPr>
                <w:b/>
                <w:sz w:val="18"/>
              </w:rPr>
              <w:t>Fundamento</w:t>
            </w:r>
          </w:p>
        </w:tc>
      </w:tr>
      <w:tr>
        <w:tc>
          <w:tcPr>
            <w:tcW w:type="dxa" w:w="2494"/>
          </w:tcPr>
          <w:p>
            <w:r/>
            <w:r>
              <w:rPr>
                <w:b w:val="0"/>
                <w:sz w:val="18"/>
              </w:rPr>
              <w:t>Indicador PVE (indicadores de performance) dentro de ISA-Completo</w:t>
            </w:r>
          </w:p>
        </w:tc>
        <w:tc>
          <w:tcPr>
            <w:tcW w:type="dxa" w:w="2381"/>
          </w:tcPr>
          <w:p>
            <w:r/>
            <w:r>
              <w:rPr>
                <w:b/>
                <w:sz w:val="18"/>
              </w:rPr>
              <w:t>No entra.</w:t>
            </w:r>
            <w:r>
              <w:rPr>
                <w:b w:val="0"/>
                <w:sz w:val="18"/>
              </w:rPr>
              <w:t xml:space="preserve"> Queda como indicador de validación externa</w:t>
            </w:r>
          </w:p>
        </w:tc>
        <w:tc>
          <w:tcPr>
            <w:tcW w:type="dxa" w:w="4535"/>
          </w:tcPr>
          <w:p>
            <w:r/>
            <w:r>
              <w:rPr>
                <w:b w:val="0"/>
                <w:sz w:val="18"/>
              </w:rPr>
              <w:t>El índice es el regresor/predictor del objetivo (f) del proyecto madre y la performance es la variable dependiente —incluirla sería circular—; el proyecto madre usa los indicadores de performance como validación externa del índice (Fase 4, paso 12: certificaciones, % volumen trazable, continuidad exportadora, acceso a mercado UE); el impacto en performance/exclusión ya está operacionalizado en RE = IV x (1 − IP/100)</w:t>
            </w:r>
          </w:p>
        </w:tc>
      </w:tr>
      <w:tr>
        <w:tc>
          <w:tcPr>
            <w:tcW w:type="dxa" w:w="2494"/>
          </w:tcPr>
          <w:p>
            <w:r/>
            <w:r>
              <w:rPr>
                <w:b w:val="0"/>
                <w:sz w:val="18"/>
              </w:rPr>
              <w:t>Etiqueta de la dimensión 11 (antes "género e inclusión")</w:t>
            </w:r>
          </w:p>
        </w:tc>
        <w:tc>
          <w:tcPr>
            <w:tcW w:type="dxa" w:w="2381"/>
          </w:tcPr>
          <w:p>
            <w:r/>
            <w:r>
              <w:rPr>
                <w:b/>
                <w:sz w:val="18"/>
              </w:rPr>
              <w:t>Renombrada a "D11 — Ecosistema (inventario, no promedia)"</w:t>
            </w:r>
          </w:p>
        </w:tc>
        <w:tc>
          <w:tcPr>
            <w:tcW w:type="dxa" w:w="4535"/>
          </w:tcPr>
          <w:p>
            <w:r/>
            <w:r>
              <w:rPr>
                <w:b w:val="0"/>
                <w:sz w:val="18"/>
              </w:rPr>
              <w:t>En el diseño del proyecto madre el género no es una dimensión: es insumo de IV5 vía la pregunta de mujeres en la directiva (sub-dimensión 5 de vulnerabilidad, "riesgo social y comercial"). D11 es el ecosistema de apoyo externo del instrumento (D11.38–D11.39a)</w:t>
            </w:r>
          </w:p>
        </w:tc>
      </w:tr>
      <w:tr>
        <w:tc>
          <w:tcPr>
            <w:tcW w:type="dxa" w:w="2494"/>
          </w:tcPr>
          <w:p>
            <w:r/>
            <w:r>
              <w:rPr>
                <w:b w:val="0"/>
                <w:sz w:val="18"/>
              </w:rPr>
              <w:t>IV1–IV5 placeholders</w:t>
            </w:r>
          </w:p>
        </w:tc>
        <w:tc>
          <w:tcPr>
            <w:tcW w:type="dxa" w:w="2381"/>
          </w:tcPr>
          <w:p>
            <w:r/>
            <w:r>
              <w:rPr>
                <w:b w:val="0"/>
                <w:sz w:val="18"/>
              </w:rPr>
              <w:t>Proxies documentados; definición de diseño al ingresar el instrumento</w:t>
            </w:r>
          </w:p>
        </w:tc>
        <w:tc>
          <w:tcPr>
            <w:tcW w:type="dxa" w:w="4535"/>
          </w:tcPr>
          <w:p>
            <w:r/>
            <w:r>
              <w:rPr>
                <w:b w:val="0"/>
                <w:sz w:val="18"/>
              </w:rPr>
              <w:t>IV1 = exposición UE real; IV3 = hectáreas por socio con umbrales y sin dato a 65; IV2/IV4/IV5 documentados como proxies. Al cargar el instrumento se reescriben con los insumos ya capturados (B0.7/P1/P1b/P4/D7.26a; B0.4/B0.10/B0.11/B0.13/B0.14; B0.12 + D3.14i)</w:t>
            </w:r>
          </w:p>
        </w:tc>
      </w:tr>
      <w:tr>
        <w:tc>
          <w:tcPr>
            <w:tcW w:type="dxa" w:w="2494"/>
          </w:tcPr>
          <w:p>
            <w:r/>
            <w:r>
              <w:rPr>
                <w:b w:val="0"/>
                <w:sz w:val="18"/>
              </w:rPr>
              <w:t>Colisión de prefijos P (performance comercial vs indicadores PVE)</w:t>
            </w:r>
          </w:p>
        </w:tc>
        <w:tc>
          <w:tcPr>
            <w:tcW w:type="dxa" w:w="2381"/>
          </w:tcPr>
          <w:p>
            <w:r/>
            <w:r>
              <w:rPr>
                <w:b/>
                <w:sz w:val="18"/>
              </w:rPr>
              <w:t>Bloque R</w:t>
            </w:r>
            <w:r>
              <w:rPr>
                <w:b w:val="0"/>
                <w:sz w:val="18"/>
              </w:rPr>
              <w:t xml:space="preserve"> para los indicadores PVE</w:t>
            </w:r>
          </w:p>
        </w:tc>
        <w:tc>
          <w:tcPr>
            <w:tcW w:type="dxa" w:w="4535"/>
          </w:tcPr>
          <w:p>
            <w:r/>
            <w:r>
              <w:rPr>
                <w:b w:val="0"/>
                <w:sz w:val="18"/>
              </w:rPr>
              <w:t>Evita que un mismo identificador signifique dos cosas distintas</w:t>
            </w:r>
          </w:p>
        </w:tc>
      </w:tr>
    </w:tbl>
    <w:p>
      <w:pPr>
        <w:spacing w:after="40"/>
      </w:pPr>
    </w:p>
    <w:p>
      <w:r>
        <w:br w:type="page"/>
      </w:r>
    </w:p>
    <w:p>
      <w:pPr>
        <w:pStyle w:val="Heading1"/>
      </w:pPr>
      <w:r>
        <w:t>3. Estado de implementación y correcciones aplicadas</w:t>
      </w:r>
    </w:p>
    <w:p>
      <w:pPr>
        <w:spacing w:after="120"/>
      </w:pPr>
      <w:r>
        <w:rPr>
          <w:b w:val="0"/>
        </w:rPr>
        <w:t>La revisión célula por célula de la hoja de cálculo detectó 12 defectos. Al 2026-10-14, 10 están cerrados (corregidos o resueltos por decisión documentada) y queda uno pendiente, que depende de que existan respuestas reales que cargar:</w:t>
      </w:r>
    </w:p>
    <w:tbl>
      <w:tblPr>
        <w:tblStyle w:val="TableGrid"/>
        <w:tblW w:type="auto" w:w="0"/>
        <w:tblLook w:firstColumn="1" w:firstRow="1" w:lastColumn="0" w:lastRow="0" w:noHBand="0" w:noVBand="1" w:val="04A0"/>
      </w:tblPr>
      <w:tblGrid>
        <w:gridCol w:w="2160"/>
        <w:gridCol w:w="2160"/>
        <w:gridCol w:w="2160"/>
        <w:gridCol w:w="2160"/>
      </w:tblGrid>
      <w:tr>
        <w:tc>
          <w:tcPr>
            <w:tcW w:type="dxa" w:w="454"/>
            <w:shd w:val="clear" w:fill="D9E2F3"/>
          </w:tcPr>
          <w:p>
            <w:r>
              <w:rPr>
                <w:b/>
              </w:rPr>
            </w:r>
            <w:r>
              <w:rPr>
                <w:b/>
                <w:sz w:val="18"/>
              </w:rPr>
              <w:t>#</w:t>
            </w:r>
          </w:p>
        </w:tc>
        <w:tc>
          <w:tcPr>
            <w:tcW w:type="dxa" w:w="3742"/>
            <w:shd w:val="clear" w:fill="D9E2F3"/>
          </w:tcPr>
          <w:p>
            <w:r>
              <w:rPr>
                <w:b/>
              </w:rPr>
            </w:r>
            <w:r>
              <w:rPr>
                <w:b/>
                <w:sz w:val="18"/>
              </w:rPr>
              <w:t>Defecto</w:t>
            </w:r>
          </w:p>
        </w:tc>
        <w:tc>
          <w:tcPr>
            <w:tcW w:type="dxa" w:w="1361"/>
            <w:shd w:val="clear" w:fill="D9E2F3"/>
          </w:tcPr>
          <w:p>
            <w:r>
              <w:rPr>
                <w:b/>
              </w:rPr>
            </w:r>
            <w:r>
              <w:rPr>
                <w:b/>
                <w:sz w:val="18"/>
              </w:rPr>
              <w:t>Estado</w:t>
            </w:r>
          </w:p>
        </w:tc>
        <w:tc>
          <w:tcPr>
            <w:tcW w:type="dxa" w:w="3969"/>
            <w:shd w:val="clear" w:fill="D9E2F3"/>
          </w:tcPr>
          <w:p>
            <w:r>
              <w:rPr>
                <w:b/>
              </w:rPr>
            </w:r>
            <w:r>
              <w:rPr>
                <w:b/>
                <w:sz w:val="18"/>
              </w:rPr>
              <w:t>Corrección</w:t>
            </w:r>
          </w:p>
        </w:tc>
      </w:tr>
      <w:tr>
        <w:tc>
          <w:tcPr>
            <w:tcW w:type="dxa" w:w="454"/>
          </w:tcPr>
          <w:p>
            <w:r/>
            <w:r>
              <w:rPr>
                <w:b w:val="0"/>
                <w:sz w:val="18"/>
              </w:rPr>
              <w:t>1</w:t>
            </w:r>
          </w:p>
        </w:tc>
        <w:tc>
          <w:tcPr>
            <w:tcW w:type="dxa" w:w="3742"/>
          </w:tcPr>
          <w:p>
            <w:r/>
            <w:r>
              <w:rPr>
                <w:b w:val="0"/>
                <w:sz w:val="18"/>
              </w:rPr>
              <w:t>Fórmulas del bloque de ponderadores que no evaluaban (función en español, símbolo de raíz, nombres definidos inexistentes, referencias a celdas vacías)</w:t>
            </w:r>
          </w:p>
        </w:tc>
        <w:tc>
          <w:tcPr>
            <w:tcW w:type="dxa" w:w="1361"/>
          </w:tcPr>
          <w:p>
            <w:r/>
            <w:r>
              <w:rPr>
                <w:b w:val="0"/>
                <w:sz w:val="18"/>
              </w:rPr>
              <w:t>Corregido</w:t>
            </w:r>
          </w:p>
        </w:tc>
        <w:tc>
          <w:tcPr>
            <w:tcW w:type="dxa" w:w="3969"/>
          </w:tcPr>
          <w:p>
            <w:r/>
            <w:r>
              <w:rPr>
                <w:b w:val="0"/>
                <w:sz w:val="18"/>
              </w:rPr>
              <w:t>Celdas convertidas a descripción documentada con su equivalencia; fila del ISA-EUDR completada; proxies de IV1–IV5 documentados</w:t>
            </w:r>
          </w:p>
        </w:tc>
      </w:tr>
      <w:tr>
        <w:tc>
          <w:tcPr>
            <w:tcW w:type="dxa" w:w="454"/>
          </w:tcPr>
          <w:p>
            <w:r/>
            <w:r>
              <w:rPr>
                <w:b w:val="0"/>
                <w:sz w:val="18"/>
              </w:rPr>
              <w:t>2</w:t>
            </w:r>
          </w:p>
        </w:tc>
        <w:tc>
          <w:tcPr>
            <w:tcW w:type="dxa" w:w="3742"/>
          </w:tcPr>
          <w:p>
            <w:r/>
            <w:r>
              <w:rPr>
                <w:b w:val="0"/>
                <w:sz w:val="18"/>
              </w:rPr>
              <w:t>La clasificación del marco muestral se mostraba desplazada dos organizaciones</w:t>
            </w:r>
          </w:p>
        </w:tc>
        <w:tc>
          <w:tcPr>
            <w:tcW w:type="dxa" w:w="1361"/>
          </w:tcPr>
          <w:p>
            <w:r/>
            <w:r>
              <w:rPr>
                <w:b w:val="0"/>
                <w:sz w:val="18"/>
              </w:rPr>
              <w:t>Corregido</w:t>
            </w:r>
          </w:p>
        </w:tc>
        <w:tc>
          <w:tcPr>
            <w:tcW w:type="dxa" w:w="3969"/>
          </w:tcPr>
          <w:p>
            <w:r/>
            <w:r>
              <w:rPr>
                <w:b w:val="0"/>
                <w:sz w:val="18"/>
              </w:rPr>
              <w:t>Referencia a la misma organización en la scorecard</w:t>
            </w:r>
          </w:p>
        </w:tc>
      </w:tr>
      <w:tr>
        <w:tc>
          <w:tcPr>
            <w:tcW w:type="dxa" w:w="454"/>
          </w:tcPr>
          <w:p>
            <w:r/>
            <w:r>
              <w:rPr>
                <w:b w:val="0"/>
                <w:sz w:val="18"/>
              </w:rPr>
              <w:t>3</w:t>
            </w:r>
          </w:p>
        </w:tc>
        <w:tc>
          <w:tcPr>
            <w:tcW w:type="dxa" w:w="3742"/>
          </w:tcPr>
          <w:p>
            <w:r/>
            <w:r>
              <w:rPr>
                <w:b w:val="0"/>
                <w:sz w:val="18"/>
              </w:rPr>
              <w:t>Los promedios muestrales excluían la última organización</w:t>
            </w:r>
          </w:p>
        </w:tc>
        <w:tc>
          <w:tcPr>
            <w:tcW w:type="dxa" w:w="1361"/>
          </w:tcPr>
          <w:p>
            <w:r/>
            <w:r>
              <w:rPr>
                <w:b w:val="0"/>
                <w:sz w:val="18"/>
              </w:rPr>
              <w:t>Corregido</w:t>
            </w:r>
          </w:p>
        </w:tc>
        <w:tc>
          <w:tcPr>
            <w:tcW w:type="dxa" w:w="3969"/>
          </w:tcPr>
          <w:p>
            <w:r/>
            <w:r>
              <w:rPr>
                <w:b w:val="0"/>
                <w:sz w:val="18"/>
              </w:rPr>
              <w:t>Los promedios cubren las 174 organizaciones</w:t>
            </w:r>
          </w:p>
        </w:tc>
      </w:tr>
      <w:tr>
        <w:tc>
          <w:tcPr>
            <w:tcW w:type="dxa" w:w="454"/>
          </w:tcPr>
          <w:p>
            <w:r/>
            <w:r>
              <w:rPr>
                <w:b w:val="0"/>
                <w:sz w:val="18"/>
              </w:rPr>
              <w:t>4</w:t>
            </w:r>
          </w:p>
        </w:tc>
        <w:tc>
          <w:tcPr>
            <w:tcW w:type="dxa" w:w="3742"/>
          </w:tcPr>
          <w:p>
            <w:r/>
            <w:r>
              <w:rPr>
                <w:b w:val="0"/>
                <w:sz w:val="18"/>
              </w:rPr>
              <w:t>El radar reportaba dos veces la dimensión de legalidad y ninguna la de presión del comprador; una columna cruzaba hojas con desfase de organización</w:t>
            </w:r>
          </w:p>
        </w:tc>
        <w:tc>
          <w:tcPr>
            <w:tcW w:type="dxa" w:w="1361"/>
          </w:tcPr>
          <w:p>
            <w:r/>
            <w:r>
              <w:rPr>
                <w:b w:val="0"/>
                <w:sz w:val="18"/>
              </w:rPr>
              <w:t>Corregido</w:t>
            </w:r>
          </w:p>
        </w:tc>
        <w:tc>
          <w:tcPr>
            <w:tcW w:type="dxa" w:w="3969"/>
          </w:tcPr>
          <w:p>
            <w:r/>
            <w:r>
              <w:rPr>
                <w:b w:val="0"/>
                <w:sz w:val="18"/>
              </w:rPr>
              <w:t>Cada dimensión se promedia con criterios de la misma hoja</w:t>
            </w:r>
          </w:p>
        </w:tc>
      </w:tr>
      <w:tr>
        <w:tc>
          <w:tcPr>
            <w:tcW w:type="dxa" w:w="454"/>
          </w:tcPr>
          <w:p>
            <w:r/>
            <w:r>
              <w:rPr>
                <w:b w:val="0"/>
                <w:sz w:val="18"/>
              </w:rPr>
              <w:t>5</w:t>
            </w:r>
          </w:p>
        </w:tc>
        <w:tc>
          <w:tcPr>
            <w:tcW w:type="dxa" w:w="3742"/>
          </w:tcPr>
          <w:p>
            <w:r/>
            <w:r>
              <w:rPr>
                <w:b w:val="0"/>
                <w:sz w:val="18"/>
              </w:rPr>
              <w:t>Cuatro dimensiones del radar estaban fijas en cero (sin reporte por departamento)</w:t>
            </w:r>
          </w:p>
        </w:tc>
        <w:tc>
          <w:tcPr>
            <w:tcW w:type="dxa" w:w="1361"/>
          </w:tcPr>
          <w:p>
            <w:r/>
            <w:r>
              <w:rPr>
                <w:b w:val="0"/>
                <w:sz w:val="18"/>
              </w:rPr>
              <w:t>Corregido</w:t>
            </w:r>
          </w:p>
        </w:tc>
        <w:tc>
          <w:tcPr>
            <w:tcW w:type="dxa" w:w="3969"/>
          </w:tcPr>
          <w:p>
            <w:r/>
            <w:r>
              <w:rPr>
                <w:b w:val="0"/>
                <w:sz w:val="18"/>
              </w:rPr>
              <w:t>Conectadas al motor de cálculo; fórmulas huérfanas eliminadas</w:t>
            </w:r>
          </w:p>
        </w:tc>
      </w:tr>
      <w:tr>
        <w:tc>
          <w:tcPr>
            <w:tcW w:type="dxa" w:w="454"/>
          </w:tcPr>
          <w:p>
            <w:r/>
            <w:r>
              <w:rPr>
                <w:b w:val="0"/>
                <w:sz w:val="18"/>
              </w:rPr>
              <w:t>6</w:t>
            </w:r>
          </w:p>
        </w:tc>
        <w:tc>
          <w:tcPr>
            <w:tcW w:type="dxa" w:w="3742"/>
          </w:tcPr>
          <w:p>
            <w:r/>
            <w:r>
              <w:rPr>
                <w:b w:val="0"/>
                <w:sz w:val="18"/>
              </w:rPr>
              <w:t>Error de escala en ISA-Completo (Pacto Verde en 0–1 contra EUDR en 0–100)</w:t>
            </w:r>
          </w:p>
        </w:tc>
        <w:tc>
          <w:tcPr>
            <w:tcW w:type="dxa" w:w="1361"/>
          </w:tcPr>
          <w:p>
            <w:r/>
            <w:r>
              <w:rPr>
                <w:b w:val="0"/>
                <w:sz w:val="18"/>
              </w:rPr>
              <w:t>Corregido</w:t>
            </w:r>
          </w:p>
        </w:tc>
        <w:tc>
          <w:tcPr>
            <w:tcW w:type="dxa" w:w="3969"/>
          </w:tcPr>
          <w:p>
            <w:r/>
            <w:r>
              <w:rPr>
                <w:b w:val="0"/>
                <w:sz w:val="18"/>
              </w:rPr>
              <w:t>ISA-Completo = 0.70 x ISA-EUDR + 0.30 x ISA-PV x 100</w:t>
            </w:r>
          </w:p>
        </w:tc>
      </w:tr>
      <w:tr>
        <w:tc>
          <w:tcPr>
            <w:tcW w:type="dxa" w:w="454"/>
          </w:tcPr>
          <w:p>
            <w:r/>
            <w:r>
              <w:rPr>
                <w:b w:val="0"/>
                <w:sz w:val="18"/>
              </w:rPr>
              <w:t>7</w:t>
            </w:r>
          </w:p>
        </w:tc>
        <w:tc>
          <w:tcPr>
            <w:tcW w:type="dxa" w:w="3742"/>
          </w:tcPr>
          <w:p>
            <w:r/>
            <w:r>
              <w:rPr>
                <w:b w:val="0"/>
                <w:sz w:val="18"/>
              </w:rPr>
              <w:t>IV1–IV5 placeholders incoherentes (IV1 multiplicaba por 50 una escala 0–1; IV3 trataba "sin hectáreas" como bajo riesgo)</w:t>
            </w:r>
          </w:p>
        </w:tc>
        <w:tc>
          <w:tcPr>
            <w:tcW w:type="dxa" w:w="1361"/>
          </w:tcPr>
          <w:p>
            <w:r/>
            <w:r>
              <w:rPr>
                <w:b w:val="0"/>
                <w:sz w:val="18"/>
              </w:rPr>
              <w:t>Corregido</w:t>
            </w:r>
          </w:p>
        </w:tc>
        <w:tc>
          <w:tcPr>
            <w:tcW w:type="dxa" w:w="3969"/>
          </w:tcPr>
          <w:p>
            <w:r/>
            <w:r>
              <w:rPr>
                <w:b w:val="0"/>
                <w:sz w:val="18"/>
              </w:rPr>
              <w:t>IV1 = exposición UE real; IV3 = hectáreas por socio con umbrales y sin dato a 65</w:t>
            </w:r>
          </w:p>
        </w:tc>
      </w:tr>
      <w:tr>
        <w:tc>
          <w:tcPr>
            <w:tcW w:type="dxa" w:w="454"/>
          </w:tcPr>
          <w:p>
            <w:r/>
            <w:r>
              <w:rPr>
                <w:b w:val="0"/>
                <w:sz w:val="18"/>
              </w:rPr>
              <w:t>8</w:t>
            </w:r>
          </w:p>
        </w:tc>
        <w:tc>
          <w:tcPr>
            <w:tcW w:type="dxa" w:w="3742"/>
          </w:tcPr>
          <w:p>
            <w:r/>
            <w:r>
              <w:rPr>
                <w:b w:val="0"/>
                <w:sz w:val="18"/>
              </w:rPr>
              <w:t>Colisiones semánticas de nombres (dimensión 11 etiquetada como tema de género, prefijos repetidos, tres taxonomías de semáforo)</w:t>
            </w:r>
          </w:p>
        </w:tc>
        <w:tc>
          <w:tcPr>
            <w:tcW w:type="dxa" w:w="1361"/>
          </w:tcPr>
          <w:p>
            <w:r/>
            <w:r>
              <w:rPr>
                <w:b w:val="0"/>
                <w:sz w:val="18"/>
              </w:rPr>
              <w:t>Corregido</w:t>
            </w:r>
          </w:p>
        </w:tc>
        <w:tc>
          <w:tcPr>
            <w:tcW w:type="dxa" w:w="3969"/>
          </w:tcPr>
          <w:p>
            <w:r/>
            <w:r>
              <w:rPr>
                <w:b w:val="0"/>
                <w:sz w:val="18"/>
              </w:rPr>
              <w:t>Etiqueta de la dimensión 11 corregida (§2.8); etiquetas de ponderadores desambiguadas; semáforo unificado; prefijo resuelto con el Bloque R</w:t>
            </w:r>
          </w:p>
        </w:tc>
      </w:tr>
      <w:tr>
        <w:tc>
          <w:tcPr>
            <w:tcW w:type="dxa" w:w="454"/>
          </w:tcPr>
          <w:p>
            <w:r/>
            <w:r>
              <w:rPr>
                <w:b w:val="0"/>
                <w:sz w:val="18"/>
              </w:rPr>
              <w:t>9</w:t>
            </w:r>
          </w:p>
        </w:tc>
        <w:tc>
          <w:tcPr>
            <w:tcW w:type="dxa" w:w="3742"/>
          </w:tcPr>
          <w:p>
            <w:r/>
            <w:r>
              <w:rPr>
                <w:b w:val="0"/>
                <w:sz w:val="18"/>
              </w:rPr>
              <w:t>Falta la capa de ingesta (codificación 0-4 a 0-100 y carga con join por RUC)</w:t>
            </w:r>
          </w:p>
        </w:tc>
        <w:tc>
          <w:tcPr>
            <w:tcW w:type="dxa" w:w="1361"/>
          </w:tcPr>
          <w:p>
            <w:r/>
            <w:r>
              <w:rPr>
                <w:b/>
                <w:sz w:val="18"/>
              </w:rPr>
              <w:t>Pendiente</w:t>
            </w:r>
          </w:p>
        </w:tc>
        <w:tc>
          <w:tcPr>
            <w:tcW w:type="dxa" w:w="3969"/>
          </w:tcPr>
          <w:p>
            <w:r/>
            <w:r>
              <w:rPr>
                <w:b w:val="0"/>
                <w:sz w:val="18"/>
              </w:rPr>
              <w:t>Las dimensiones sin fuente externa siguen en 0 hasta ingresar el instrumento; el mapa de correspondencia es la guía de carga</w:t>
            </w:r>
          </w:p>
        </w:tc>
      </w:tr>
      <w:tr>
        <w:tc>
          <w:tcPr>
            <w:tcW w:type="dxa" w:w="454"/>
          </w:tcPr>
          <w:p>
            <w:r/>
            <w:r>
              <w:rPr>
                <w:b w:val="0"/>
                <w:sz w:val="18"/>
              </w:rPr>
              <w:t>10</w:t>
            </w:r>
          </w:p>
        </w:tc>
        <w:tc>
          <w:tcPr>
            <w:tcW w:type="dxa" w:w="3742"/>
          </w:tcPr>
          <w:p>
            <w:r/>
            <w:r>
              <w:rPr>
                <w:b w:val="0"/>
                <w:sz w:val="18"/>
              </w:rPr>
              <w:t>Datos sucios (certificación con espacio final, valor fuera de dominio, registros sin nombre ni departamento, valores escritos a mano en lugar de fórmula)</w:t>
            </w:r>
          </w:p>
        </w:tc>
        <w:tc>
          <w:tcPr>
            <w:tcW w:type="dxa" w:w="1361"/>
          </w:tcPr>
          <w:p>
            <w:r/>
            <w:r>
              <w:rPr>
                <w:b w:val="0"/>
                <w:sz w:val="18"/>
              </w:rPr>
              <w:t>Corregido</w:t>
            </w:r>
          </w:p>
        </w:tc>
        <w:tc>
          <w:tcPr>
            <w:tcW w:type="dxa" w:w="3969"/>
          </w:tcPr>
          <w:p>
            <w:r/>
            <w:r>
              <w:rPr>
                <w:b w:val="0"/>
                <w:sz w:val="18"/>
              </w:rPr>
              <w:t>Limpieza verificada contra respaldo: los valores manuales coincidían con la fuente antes de reemplazarlos por fórmula</w:t>
            </w:r>
          </w:p>
        </w:tc>
      </w:tr>
      <w:tr>
        <w:tc>
          <w:tcPr>
            <w:tcW w:type="dxa" w:w="454"/>
          </w:tcPr>
          <w:p>
            <w:r/>
            <w:r>
              <w:rPr>
                <w:b w:val="0"/>
                <w:sz w:val="18"/>
              </w:rPr>
              <w:t>11</w:t>
            </w:r>
          </w:p>
        </w:tc>
        <w:tc>
          <w:tcPr>
            <w:tcW w:type="dxa" w:w="3742"/>
          </w:tcPr>
          <w:p>
            <w:r/>
            <w:r>
              <w:rPr>
                <w:b w:val="0"/>
                <w:sz w:val="18"/>
              </w:rPr>
              <w:t>Indicador PVE calculado pero sin uso</w:t>
            </w:r>
          </w:p>
        </w:tc>
        <w:tc>
          <w:tcPr>
            <w:tcW w:type="dxa" w:w="1361"/>
          </w:tcPr>
          <w:p>
            <w:r/>
            <w:r>
              <w:rPr>
                <w:b w:val="0"/>
                <w:sz w:val="18"/>
              </w:rPr>
              <w:t>Resuelto (decisión)</w:t>
            </w:r>
          </w:p>
        </w:tc>
        <w:tc>
          <w:tcPr>
            <w:tcW w:type="dxa" w:w="3969"/>
          </w:tcPr>
          <w:p>
            <w:r/>
            <w:r>
              <w:rPr>
                <w:b w:val="0"/>
                <w:sz w:val="18"/>
              </w:rPr>
              <w:t>No entra en ISA-Completo: es la variable de validación externa del índice (§2.8)</w:t>
            </w:r>
          </w:p>
        </w:tc>
      </w:tr>
      <w:tr>
        <w:tc>
          <w:tcPr>
            <w:tcW w:type="dxa" w:w="454"/>
          </w:tcPr>
          <w:p>
            <w:r/>
            <w:r>
              <w:rPr>
                <w:b w:val="0"/>
                <w:sz w:val="18"/>
              </w:rPr>
              <w:t>12</w:t>
            </w:r>
          </w:p>
        </w:tc>
        <w:tc>
          <w:tcPr>
            <w:tcW w:type="dxa" w:w="3742"/>
          </w:tcPr>
          <w:p>
            <w:r/>
            <w:r>
              <w:rPr>
                <w:b w:val="0"/>
                <w:sz w:val="18"/>
              </w:rPr>
              <w:t>Semáforo "sin instrumento" en las 174 organizaciones</w:t>
            </w:r>
          </w:p>
        </w:tc>
        <w:tc>
          <w:tcPr>
            <w:tcW w:type="dxa" w:w="1361"/>
          </w:tcPr>
          <w:p>
            <w:r/>
            <w:r>
              <w:rPr>
                <w:b w:val="0"/>
                <w:sz w:val="18"/>
              </w:rPr>
              <w:t>Esperado</w:t>
            </w:r>
          </w:p>
        </w:tc>
        <w:tc>
          <w:tcPr>
            <w:tcW w:type="dxa" w:w="3969"/>
          </w:tcPr>
          <w:p>
            <w:r/>
            <w:r>
              <w:rPr>
                <w:b w:val="0"/>
                <w:sz w:val="18"/>
              </w:rPr>
              <w:t>Etiqueta correcta mientras no haya carga del instrumento</w:t>
            </w:r>
          </w:p>
        </w:tc>
      </w:tr>
    </w:tbl>
    <w:p>
      <w:pPr>
        <w:spacing w:after="40"/>
      </w:pPr>
    </w:p>
    <w:p>
      <w:pPr>
        <w:pStyle w:val="Heading1"/>
      </w:pPr>
      <w:r>
        <w:t>4. Validación y robustez</w:t>
      </w:r>
    </w:p>
    <w:p>
      <w:pPr>
        <w:pStyle w:val="ListBullet"/>
        <w:spacing w:after="60"/>
      </w:pPr>
      <w:r>
        <w:rPr>
          <w:b/>
          <w:sz w:val="20"/>
        </w:rPr>
        <w:t>Consistencia interna:</w:t>
      </w:r>
      <w:r>
        <w:rPr>
          <w:b w:val="0"/>
          <w:sz w:val="20"/>
        </w:rPr>
        <w:t xml:space="preserve"> alfa de Cronbach (Cronbach, 1951) por dimensión con los datos del piloto; un alfa &lt; 0.6 obliga a revisar la redacción antes de escalar.</w:t>
      </w:r>
    </w:p>
    <w:p>
      <w:pPr>
        <w:pStyle w:val="ListBullet"/>
        <w:spacing w:after="60"/>
      </w:pPr>
      <w:r>
        <w:rPr>
          <w:b/>
          <w:sz w:val="20"/>
        </w:rPr>
        <w:t>Estructura multivariada:</w:t>
      </w:r>
      <w:r>
        <w:rPr>
          <w:b w:val="0"/>
          <w:sz w:val="20"/>
        </w:rPr>
        <w:t xml:space="preserve"> Análisis de Componentes Principales sobre D1–D15 con la primera ronda completa para verificar el supuesto de pesos iguales.</w:t>
      </w:r>
    </w:p>
    <w:p>
      <w:pPr>
        <w:pStyle w:val="ListBullet"/>
        <w:spacing w:after="60"/>
      </w:pPr>
      <w:r>
        <w:rPr>
          <w:b/>
          <w:sz w:val="20"/>
        </w:rPr>
        <w:t>Sensibilidad:</w:t>
      </w:r>
      <w:r>
        <w:rPr>
          <w:b w:val="0"/>
          <w:sz w:val="20"/>
        </w:rPr>
        <w:t xml:space="preserve"> recálculo con media aritmética vs. geométrica; con pesos iguales entre las 9 dimensiones; con pesos alternativos 70/30 (80/20, 60/40, 50/50); y con la regla estricta de datos faltantes vs. la re-ponderación. Correlación de rangos (Spearman) en cada caso.</w:t>
      </w:r>
    </w:p>
    <w:p>
      <w:pPr>
        <w:pStyle w:val="ListBullet"/>
        <w:spacing w:after="60"/>
      </w:pPr>
      <w:r>
        <w:rPr>
          <w:b/>
          <w:sz w:val="20"/>
        </w:rPr>
        <w:t>Bootstrap</w:t>
      </w:r>
      <w:r>
        <w:rPr>
          <w:b w:val="0"/>
          <w:sz w:val="20"/>
        </w:rPr>
        <w:t xml:space="preserve"> (B = 1000) para intervalos de confianza de ISA, IP, IV y RE por cooperativa y del ranking agregado, una vez exista la primera ronda completa (requisito de robustez del proyecto madre).</w:t>
      </w:r>
    </w:p>
    <w:p>
      <w:pPr>
        <w:pStyle w:val="ListBullet"/>
        <w:spacing w:after="60"/>
      </w:pPr>
      <w:r>
        <w:rPr>
          <w:b/>
          <w:sz w:val="20"/>
        </w:rPr>
        <w:t>Calibración por raking</w:t>
      </w:r>
      <w:r>
        <w:rPr>
          <w:b w:val="0"/>
          <w:sz w:val="20"/>
        </w:rPr>
        <w:t xml:space="preserve"> (Deville &amp; Särndal, 1992; recomendado por AAPOR 2013 para muestras no probabilísticas por cuotas) contra los totales marginales del universo (producto, tamaño, territorio) para reportar el índice ajustado junto al sin ajustar.</w:t>
      </w:r>
    </w:p>
    <w:p>
      <w:pPr>
        <w:pStyle w:val="ListBullet"/>
        <w:spacing w:after="60"/>
      </w:pPr>
      <w:r>
        <w:rPr>
          <w:b/>
          <w:sz w:val="20"/>
        </w:rPr>
        <w:t>Validación externa del índice:</w:t>
      </w:r>
      <w:r>
        <w:rPr>
          <w:b w:val="0"/>
          <w:sz w:val="20"/>
        </w:rPr>
        <w:t xml:space="preserve"> correlacionar IP/RE contra certificaciones, % volumen trazable, continuidad exportadora y acceso a mercado UE (Fase 4, paso 12 del proyecto madre) —donde entra el indicador PVE y el Bloque P—.</w:t>
      </w:r>
    </w:p>
    <w:p>
      <w:pPr>
        <w:pStyle w:val="Heading1"/>
      </w:pPr>
      <w:r>
        <w:t>5. Trazabilidad y auditoría</w:t>
      </w:r>
    </w:p>
    <w:p>
      <w:pPr>
        <w:pStyle w:val="ListBullet"/>
        <w:spacing w:after="60"/>
      </w:pPr>
      <w:r>
        <w:rPr>
          <w:b w:val="0"/>
          <w:sz w:val="20"/>
        </w:rPr>
        <w:t>Cada pregunta del instrumento tiene un destino identificado en el mapa de correspondencia de la hoja de cálculo (119 filas), resumido por bloque en §1.6 de este documento.</w:t>
      </w:r>
    </w:p>
    <w:p>
      <w:pPr>
        <w:pStyle w:val="ListBullet"/>
        <w:spacing w:after="60"/>
      </w:pPr>
      <w:r>
        <w:rPr>
          <w:b w:val="0"/>
          <w:sz w:val="20"/>
        </w:rPr>
        <w:t>Cada corrección de fórmula queda registrada con su descripción en el estado de implementación (§3) y en las notas del área de ponderadores de la hoja de cálculo.</w:t>
      </w:r>
    </w:p>
    <w:p>
      <w:pPr>
        <w:pStyle w:val="ListBullet"/>
        <w:spacing w:after="60"/>
      </w:pPr>
      <w:r>
        <w:rPr>
          <w:b w:val="0"/>
          <w:sz w:val="20"/>
        </w:rPr>
        <w:t>Verificación programática del estado actual: 0 fórmulas inválidas en las 8 áreas de la hoja; cobertura de las 174 organizaciones en cada corrección; 165 celdas de promedio del radar; 119 preguntas únicas sin duplicados.</w:t>
      </w:r>
    </w:p>
    <w:p>
      <w:pPr>
        <w:pStyle w:val="ListBullet"/>
        <w:spacing w:after="60"/>
      </w:pPr>
      <w:r>
        <w:rPr>
          <w:b w:val="0"/>
          <w:sz w:val="20"/>
        </w:rPr>
        <w:t>Cada intervención sobre la hoja de cálculo se realiza sobre una copia fechada previa, de modo que cualquier estado anterior es reconstruible.</w:t>
      </w:r>
    </w:p>
    <w:p>
      <w:pPr>
        <w:pStyle w:val="ListBullet"/>
        <w:spacing w:after="60"/>
      </w:pPr>
      <w:r>
        <w:rPr>
          <w:b w:val="0"/>
          <w:sz w:val="20"/>
        </w:rPr>
        <w:t>Reglas de integridad para quien cargue datos: el RUC nunca queda vacío (clave de unión entre fuentes); no reordenar las columnas una vez iniciado el levantamiento; las ramas quedan vacías si no aplican; banderas y mapeos fuera de los promedios.</w:t>
      </w:r>
    </w:p>
    <w:p>
      <w:pPr>
        <w:pStyle w:val="Heading1"/>
      </w:pPr>
      <w:r>
        <w:t>6. Pendientes y próximos pasos</w:t>
      </w:r>
    </w:p>
    <w:p>
      <w:pPr>
        <w:pStyle w:val="ListNumber"/>
        <w:spacing w:after="60"/>
      </w:pPr>
      <w:r>
        <w:rPr>
          <w:b/>
          <w:sz w:val="20"/>
        </w:rPr>
        <w:t>Capa de ingesta (único bloqueante del cálculo):</w:t>
      </w:r>
      <w:r>
        <w:rPr>
          <w:b w:val="0"/>
          <w:sz w:val="20"/>
        </w:rPr>
        <w:t xml:space="preserve"> tabla de codificación (0–4 a 0–100, categóricas ordinales, porcentaje directo) + carga con unión por RUC contra el marco muestral. El mapa de correspondencia es la guía; sin ella, las dimensiones sin fuente externa permanecen en 0.</w:t>
      </w:r>
    </w:p>
    <w:p>
      <w:pPr>
        <w:pStyle w:val="ListNumber"/>
        <w:spacing w:after="60"/>
      </w:pPr>
      <w:r>
        <w:rPr>
          <w:b/>
          <w:sz w:val="20"/>
        </w:rPr>
        <w:t>Piloto de comprensibilidad</w:t>
      </w:r>
      <w:r>
        <w:rPr>
          <w:b w:val="0"/>
          <w:sz w:val="20"/>
        </w:rPr>
        <w:t xml:space="preserve"> y ajuste de ítems con no-respuesta &gt; 20%.</w:t>
      </w:r>
    </w:p>
    <w:p>
      <w:pPr>
        <w:pStyle w:val="ListNumber"/>
        <w:spacing w:after="60"/>
      </w:pPr>
      <w:r>
        <w:rPr>
          <w:b/>
          <w:sz w:val="20"/>
        </w:rPr>
        <w:t>Escalar las 17 preguntas restantes del módulo Pacto Verde</w:t>
      </w:r>
      <w:r>
        <w:rPr>
          <w:b w:val="0"/>
          <w:sz w:val="20"/>
        </w:rPr>
        <w:t xml:space="preserve"> (D12.40/41/43/44, D13.46–D13.50, D14.52–D14.55, D15.56/57/59/60) tras la evaluación con el técnico de campo; los identificadores ya están reservados.</w:t>
      </w:r>
    </w:p>
    <w:p>
      <w:pPr>
        <w:pStyle w:val="ListNumber"/>
        <w:spacing w:after="60"/>
      </w:pPr>
      <w:r>
        <w:rPr>
          <w:b/>
          <w:sz w:val="20"/>
        </w:rPr>
        <w:t>Reescribir IV1–IV5 con las definiciones de diseño</w:t>
      </w:r>
      <w:r>
        <w:rPr>
          <w:b w:val="0"/>
          <w:sz w:val="20"/>
        </w:rPr>
        <w:t xml:space="preserve"> una vez ingresado el instrumento (insumos ya capturados).</w:t>
      </w:r>
    </w:p>
    <w:p>
      <w:pPr>
        <w:pStyle w:val="ListNumber"/>
        <w:spacing w:after="60"/>
      </w:pPr>
      <w:r>
        <w:rPr>
          <w:b/>
          <w:sz w:val="20"/>
        </w:rPr>
        <w:t>Panel AHP</w:t>
      </w:r>
      <w:r>
        <w:rPr>
          <w:b w:val="0"/>
          <w:sz w:val="20"/>
        </w:rPr>
        <w:t xml:space="preserve"> para validar los pesos de IP e IV (Fase 1 del proyecto madre).</w:t>
      </w:r>
    </w:p>
    <w:p>
      <w:pPr>
        <w:pStyle w:val="Heading1"/>
      </w:pPr>
      <w:r>
        <w:t>Fundamento</w:t>
      </w:r>
    </w:p>
    <w:p>
      <w:pPr>
        <w:spacing w:after="120"/>
      </w:pPr>
      <w:r>
        <w:rPr>
          <w:b w:val="0"/>
        </w:rPr>
        <w:t>Los requisitos de esta primera versión provienen del proyecto madre —</w:t>
      </w:r>
      <w:r>
        <w:rPr>
          <w:b/>
        </w:rPr>
        <w:t>ISCAM, Universidad del Pacífico: *El impacto del Pacto Verde Europeo en la performance de las cooperativas peruanas</w:t>
      </w:r>
      <w:r>
        <w:rPr>
          <w:b w:val="0"/>
        </w:rPr>
        <w:t>*—: encuesta organizacional con escala ordinal 0–4, muestreo no probabilístico por cuotas con calibración ex-post, índice sintético de alineamiento con agregación geométrica en el núcleo (precedente IDH-PNUD 2010), robustez con alfa/PCA/bootstrap y validación externa contra indicadores de performance (Fase 4).</w:t>
      </w:r>
    </w:p>
    <w:p>
      <w:pPr>
        <w:spacing w:after="120"/>
      </w:pPr>
      <w:r>
        <w:rPr>
          <w:b/>
        </w:rPr>
        <w:t>Referencias metodológicas externas citadas:</w:t>
      </w:r>
      <w:r>
        <w:rPr>
          <w:b w:val="0"/>
        </w:rPr>
        <w:t xml:space="preserve"> OECD/JRC, *Handbook on Constructing Composite Indicators* (2008); Greco, Ishizaka, Tasiou &amp; Torrisi (2019), *Social Indicators Research* 141; PNUD, *Informe de Desarrollo Humano 2010* (cambio de media aritmética a geométrica); Rubin (1976) y Little &amp; Rubin (2002) sobre datos faltantes; Deville &amp; Särndal (1992) y AAPOR (2013) sobre calibración/raking; Cronbach (1951); Saaty (AHP); *Capability Maturity Model Integration* (SEI/Carnegie Mellon); SAI Platform Farm Sustainability Assessment; Team Europe Initiative on Deforestation-free Value Chains (2025, Vietnam) —que aporta "género e inclusión" como criterio transversal de preparación con "riesgo de exclusión"; Grabs (2024/2025, *Regulation &amp; Governance*) sobre construcción de cumplimiento EUDR en cadenas de café; estudio sobre membresía cooperativa y cumplimiento EUDR en cacao (Côte d'Ivoire, 2025); CalCafé v2.1 (PromPerú / PUCP-PELCAN), calculadora de ciclo de vida validada solo para café.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